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caps w:val="false"/>
          <w:smallCaps w:val="false"/>
          <w:bdr w:val="single" w:sz="16" w:space="1" w:color="000000"/>
        </w:rPr>
      </w:pPr>
      <w:bookmarkStart w:id="0" w:name="ea0261699-10q_authid.htm"/>
      <w:bookmarkStart w:id="1" w:name="ksea026169910q_authid"/>
      <w:bookmarkEnd w:id="0"/>
      <w:bookmarkEnd w:id="1"/>
      <w:r>
        <w:rPr>
          <w:caps w:val="false"/>
          <w:smallCaps w:val="false"/>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10-Q</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QUARTERLY REPORT UNDER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quarterly period ended September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to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001-40747</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266950" cy="1762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66950" cy="17621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210" w:type="dxa"/>
        <w:jc w:val="left"/>
        <w:tblInd w:w="0" w:type="dxa"/>
        <w:tblLayout w:type="fixed"/>
        <w:tblCellMar>
          <w:top w:w="0" w:type="dxa"/>
          <w:left w:w="0" w:type="dxa"/>
          <w:bottom w:w="28" w:type="dxa"/>
          <w:right w:w="0" w:type="dxa"/>
        </w:tblCellMar>
      </w:tblPr>
      <w:tblGrid>
        <w:gridCol w:w="2525"/>
        <w:gridCol w:w="90"/>
        <w:gridCol w:w="1595"/>
      </w:tblGrid>
      <w:tr>
        <w:trPr/>
        <w:tc>
          <w:tcPr>
            <w:tcW w:w="252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46-2069547</w:t>
            </w:r>
          </w:p>
        </w:tc>
      </w:tr>
      <w:tr>
        <w:trPr/>
        <w:tc>
          <w:tcPr>
            <w:tcW w:w="252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(I.R.S. Employer </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 North Logan Street, Suite 660, Unit 51767,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Denver, CO 80203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516-274-8700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8805" w:type="dxa"/>
        <w:jc w:val="left"/>
        <w:tblInd w:w="0" w:type="dxa"/>
        <w:tblLayout w:type="fixed"/>
        <w:tblCellMar>
          <w:top w:w="0" w:type="dxa"/>
          <w:left w:w="0" w:type="dxa"/>
          <w:bottom w:w="28" w:type="dxa"/>
          <w:right w:w="0" w:type="dxa"/>
        </w:tblCellMar>
      </w:tblPr>
      <w:tblGrid>
        <w:gridCol w:w="3605"/>
        <w:gridCol w:w="90"/>
        <w:gridCol w:w="1370"/>
        <w:gridCol w:w="90"/>
        <w:gridCol w:w="3650"/>
      </w:tblGrid>
      <w:tr>
        <w:trPr/>
        <w:tc>
          <w:tcPr>
            <w:tcW w:w="360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50"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6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3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AUID</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6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2135"/>
        <w:gridCol w:w="2570"/>
      </w:tblGrid>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w:t>
            </w:r>
          </w:p>
        </w:tc>
      </w:tr>
      <w:tr>
        <w:trPr/>
        <w:tc>
          <w:tcPr>
            <w:tcW w:w="21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w:t>
            </w:r>
          </w:p>
        </w:tc>
      </w:tr>
      <w:tr>
        <w:trPr/>
        <w:tc>
          <w:tcPr>
            <w:tcW w:w="2135" w:type="dxa"/>
            <w:tcBorders/>
            <w:vAlign w:val="center"/>
          </w:tcPr>
          <w:p>
            <w:pPr>
              <w:pStyle w:val="TableContents"/>
              <w:bidi w:val="0"/>
              <w:spacing w:before="0" w:after="283"/>
              <w:jc w:val="left"/>
              <w:rPr>
                <w:caps w:val="false"/>
                <w:smallCaps w:val="false"/>
              </w:rPr>
            </w:pPr>
            <w:r>
              <w:rPr>
                <w:caps w:val="false"/>
                <w:smallCaps w:val="false"/>
              </w:rPr>
              <w:t> </w:t>
            </w:r>
          </w:p>
        </w:tc>
        <w:tc>
          <w:tcPr>
            <w:tcW w:w="25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shares outstanding of each of the issuer’s classes of common stock as of the latest practicable date.</w:t>
      </w:r>
    </w:p>
    <w:p>
      <w:pPr>
        <w:pStyle w:val="TextBody"/>
        <w:bidi w:val="0"/>
        <w:spacing w:before="0" w:after="0"/>
        <w:ind w:left="0" w:right="0" w:hanging="0"/>
        <w:jc w:val="center"/>
        <w:rPr>
          <w:caps w:val="false"/>
          <w:smallCaps w:val="false"/>
        </w:rPr>
      </w:pPr>
      <w:r>
        <w:rPr>
          <w:caps w:val="false"/>
          <w:smallCaps w:val="false"/>
        </w:rPr>
        <w:t> </w:t>
      </w:r>
    </w:p>
    <w:tbl>
      <w:tblPr>
        <w:tblW w:w="5920" w:type="dxa"/>
        <w:jc w:val="left"/>
        <w:tblInd w:w="0" w:type="dxa"/>
        <w:tblLayout w:type="fixed"/>
        <w:tblCellMar>
          <w:top w:w="0" w:type="dxa"/>
          <w:left w:w="0" w:type="dxa"/>
          <w:bottom w:w="28" w:type="dxa"/>
          <w:right w:w="0" w:type="dxa"/>
        </w:tblCellMar>
      </w:tblPr>
      <w:tblGrid>
        <w:gridCol w:w="2885"/>
        <w:gridCol w:w="90"/>
        <w:gridCol w:w="2945"/>
      </w:tblGrid>
      <w:tr>
        <w:trPr/>
        <w:tc>
          <w:tcPr>
            <w:tcW w:w="288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w:t>
            </w:r>
          </w:p>
        </w:tc>
        <w:tc>
          <w:tcPr>
            <w:tcW w:w="9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bottom w:val="single" w:sz="12"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at November 11, 2025</w:t>
            </w:r>
          </w:p>
        </w:tc>
      </w:tr>
      <w:tr>
        <w:trPr/>
        <w:tc>
          <w:tcPr>
            <w:tcW w:w="28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w:t>
            </w:r>
          </w:p>
        </w:tc>
        <w:tc>
          <w:tcPr>
            <w:tcW w:w="9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94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13,443,740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40"/>
        <w:gridCol w:w="90"/>
        <w:gridCol w:w="775"/>
      </w:tblGrid>
      <w:tr>
        <w:trPr/>
        <w:tc>
          <w:tcPr>
            <w:tcW w:w="9340"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12" w:space="0" w:color="000000"/>
            </w:tcBorders>
            <w:tcMar>
              <w:bottom w:w="28" w:type="dxa"/>
            </w:tcMar>
            <w:vAlign w:val="center"/>
          </w:tcPr>
          <w:p>
            <w:pPr>
              <w:pStyle w:val="TableContents"/>
              <w:bidi w:val="0"/>
              <w:spacing w:before="0" w:after="283"/>
              <w:ind w:left="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 No.</w:t>
            </w:r>
          </w:p>
        </w:tc>
      </w:tr>
      <w:tr>
        <w:trPr/>
        <w:tc>
          <w:tcPr>
            <w:tcW w:w="9340" w:type="dxa"/>
            <w:tcBorders/>
            <w:shd w:fill="CCEEFF" w:val="clear"/>
            <w:vAlign w:val="center"/>
          </w:tcPr>
          <w:p>
            <w:pPr>
              <w:pStyle w:val="TableContents"/>
              <w:bidi w:val="0"/>
              <w:spacing w:before="0" w:after="283"/>
              <w:jc w:val="center"/>
              <w:rPr/>
            </w:pPr>
            <w:hyperlink w:anchor="a_001">
              <w:r>
                <w:rPr>
                  <w:rStyle w:val="InternetLink"/>
                  <w:rFonts w:ascii="Times New Roman;Times;Serif" w:hAnsi="Times New Roman;Times;Serif"/>
                  <w:b/>
                  <w:i w:val="false"/>
                  <w:caps w:val="false"/>
                  <w:smallCaps w:val="false"/>
                  <w:sz w:val="20"/>
                </w:rPr>
                <w:t>PART I – FINANCIAL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Item 1. Financial Statements (unaudited)</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September 30, 2025 and December 31, 2024</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for the Three and Nine Months Ended September 30, 2025 and 2024</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Comprehensive Loss for the Three and Nine Months Ended September 30, 2025 and 2024</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September 30, 2025 and 2024</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Condensed Consolidated Statements of Cash Flows for the Nine Months Ended September 30, 2025 and 2024</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val="false"/>
                  <w:i w:val="false"/>
                  <w:caps w:val="false"/>
                  <w:smallCaps w:val="false"/>
                  <w:sz w:val="20"/>
                </w:rPr>
                <w:t>Item 4. Controls and Procedures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center"/>
              <w:rPr/>
            </w:pPr>
            <w:hyperlink w:anchor="a_012">
              <w:r>
                <w:rPr>
                  <w:rStyle w:val="InternetLink"/>
                  <w:rFonts w:ascii="Times New Roman;Times;Serif" w:hAnsi="Times New Roman;Times;Serif"/>
                  <w:b/>
                  <w:i w:val="false"/>
                  <w:caps w:val="false"/>
                  <w:smallCaps w:val="false"/>
                  <w:sz w:val="20"/>
                </w:rPr>
                <w:t>PART II – OTHER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b w:val="false"/>
                  <w:i w:val="false"/>
                  <w:caps w:val="false"/>
                  <w:smallCaps w:val="false"/>
                  <w:sz w:val="20"/>
                </w:rPr>
                <w:t>Item 1. Legal Proceedings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b w:val="false"/>
                  <w:i w:val="false"/>
                  <w:caps w:val="false"/>
                  <w:smallCaps w:val="false"/>
                  <w:sz w:val="20"/>
                </w:rPr>
                <w:t>Item 1A. Risk Factors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b w:val="false"/>
                  <w:i w:val="false"/>
                  <w:caps w:val="false"/>
                  <w:smallCaps w:val="false"/>
                  <w:sz w:val="20"/>
                </w:rPr>
                <w:t>Item 3. Defaults Upon Senior Securities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b w:val="false"/>
                  <w:i w:val="false"/>
                  <w:caps w:val="false"/>
                  <w:smallCaps w:val="false"/>
                  <w:sz w:val="20"/>
                </w:rPr>
                <w:t>Item 4. Mine Safety Disclosures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b w:val="false"/>
                  <w:i w:val="false"/>
                  <w:caps w:val="false"/>
                  <w:smallCaps w:val="false"/>
                  <w:sz w:val="20"/>
                </w:rPr>
                <w:t>Item 5. Other Information</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ind w:left="0" w:right="0" w:hanging="18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934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r>
      <w:tr>
        <w:trPr/>
        <w:tc>
          <w:tcPr>
            <w:tcW w:w="9340" w:type="dxa"/>
            <w:tcBorders/>
            <w:shd w:fill="CCEEFF" w:val="clear"/>
            <w:vAlign w:val="center"/>
          </w:tcPr>
          <w:p>
            <w:pPr>
              <w:pStyle w:val="TableContents"/>
              <w:bidi w:val="0"/>
              <w:spacing w:before="0" w:after="283"/>
              <w:jc w:val="left"/>
              <w:rPr/>
            </w:pPr>
            <w:hyperlink w:anchor="a_019">
              <w:r>
                <w:rPr>
                  <w:rStyle w:val="InternetLink"/>
                  <w:rFonts w:ascii="Times New Roman;Times;Serif" w:hAnsi="Times New Roman;Times;Serif"/>
                  <w:b w:val="false"/>
                  <w:i w:val="false"/>
                  <w:caps w:val="false"/>
                  <w:smallCaps w:val="false"/>
                  <w:sz w:val="20"/>
                </w:rPr>
                <w:t>Item 6. Exhibits</w:t>
              </w:r>
            </w:hyperlink>
          </w:p>
        </w:tc>
        <w:tc>
          <w:tcPr>
            <w:tcW w:w="9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7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STATEMENT REGARDING FORWARD-LOOKING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Words such as, but not limited to, “believe,” “expect,” “anticipate,” “estimate,” “intend,” “plan,” “targets,” “likely,” “aim,” “will,” “would,” “could,” and similar expressions or phrases identify forward-looking statements. We have based these forward-looking statements largely on our current expectations and future events and financial trends that we believe may affect our financial condition, results of operation, business strategy and financial needs.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thoroughly this report and the documents that we refer to herein with the understanding that our actual future results may be materially different from and/or worse than what we expect. We qualify all of our forward-looking statements by these cautionary statements including those made in this report, in Part I. Item 1A. Risk Factors also appear in our Annual Report on Form 10-K for the year ended December 31, 2024 and our other filings with the Securities and Exchange Commission. Some examples of risk factors which may affect our business are as follows:</w:t>
      </w:r>
    </w:p>
    <w:p>
      <w:pPr>
        <w:pStyle w:val="TextBody"/>
        <w:bidi w:val="0"/>
        <w:spacing w:before="0" w:after="0"/>
        <w:ind w:left="0" w:right="0" w:firstLine="720"/>
        <w:jc w:val="both"/>
        <w:rPr>
          <w:caps w:val="false"/>
          <w:smallCaps w:val="false"/>
        </w:rPr>
      </w:pPr>
      <w:r>
        <w:rPr>
          <w:caps w:val="false"/>
          <w:smallCaps w:val="false"/>
        </w:rPr>
        <w:t> </w:t>
      </w:r>
    </w:p>
    <w:tbl>
      <w:tblPr>
        <w:tblW w:w="6250" w:type="dxa"/>
        <w:jc w:val="left"/>
        <w:tblInd w:w="0" w:type="dxa"/>
        <w:tblLayout w:type="fixed"/>
        <w:tblCellMar>
          <w:top w:w="0" w:type="dxa"/>
          <w:left w:w="0" w:type="dxa"/>
          <w:bottom w:w="0" w:type="dxa"/>
          <w:right w:w="0" w:type="dxa"/>
        </w:tblCellMar>
      </w:tblPr>
      <w:tblGrid>
        <w:gridCol w:w="105"/>
        <w:gridCol w:w="200"/>
        <w:gridCol w:w="594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lack of significant revenues, positive cash flow and history of losses,</w:t>
            </w:r>
          </w:p>
        </w:tc>
      </w:tr>
      <w:tr>
        <w:trPr/>
        <w:tc>
          <w:tcPr>
            <w:tcW w:w="105" w:type="dxa"/>
            <w:tcBorders/>
            <w:vAlign w:val="center"/>
          </w:tcPr>
          <w:p>
            <w:pPr>
              <w:pStyle w:val="TableContents"/>
              <w:bidi w:val="0"/>
              <w:spacing w:before="0" w:after="283"/>
              <w:jc w:val="both"/>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 and competition;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9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9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customers for existing and new products;</w:t>
            </w:r>
          </w:p>
        </w:tc>
      </w:tr>
    </w:tbl>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0" w:type="dxa"/>
          <w:right w:w="0" w:type="dxa"/>
        </w:tblCellMar>
      </w:tblPr>
      <w:tblGrid>
        <w:gridCol w:w="105"/>
        <w:gridCol w:w="200"/>
        <w:gridCol w:w="788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8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maintain and update our technology and product and service portfolio;</w:t>
            </w:r>
          </w:p>
        </w:tc>
      </w:tr>
    </w:tbl>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105"/>
        <w:gridCol w:w="200"/>
        <w:gridCol w:w="426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party software and developers;</w:t>
            </w:r>
          </w:p>
        </w:tc>
      </w:tr>
    </w:tbl>
    <w:p>
      <w:pPr>
        <w:pStyle w:val="TextBody"/>
        <w:bidi w:val="0"/>
        <w:spacing w:before="0" w:after="0"/>
        <w:ind w:left="0" w:right="0" w:hanging="0"/>
        <w:jc w:val="left"/>
        <w:rPr>
          <w:caps w:val="false"/>
          <w:smallCaps w:val="false"/>
        </w:rPr>
      </w:pPr>
      <w:r>
        <w:rPr>
          <w:caps w:val="false"/>
          <w:smallCaps w:val="false"/>
        </w:rPr>
        <w:t> </w:t>
      </w:r>
    </w:p>
    <w:tbl>
      <w:tblPr>
        <w:tblW w:w="5215" w:type="dxa"/>
        <w:jc w:val="left"/>
        <w:tblInd w:w="0" w:type="dxa"/>
        <w:tblLayout w:type="fixed"/>
        <w:tblCellMar>
          <w:top w:w="0" w:type="dxa"/>
          <w:left w:w="0" w:type="dxa"/>
          <w:bottom w:w="0" w:type="dxa"/>
          <w:right w:w="0" w:type="dxa"/>
        </w:tblCellMar>
      </w:tblPr>
      <w:tblGrid>
        <w:gridCol w:w="105"/>
        <w:gridCol w:w="200"/>
        <w:gridCol w:w="491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49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breaches of network or IT security and presentation attacks;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hire and retain key personnel and additional talent;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raise capital under acceptable terms;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listing of our common stock on the Nasdaq Capital Market;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990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adequately protect our intellectual property, or the loss of some of our intellectual property rights through costly litigation or administrative proceedings;</w:t>
            </w:r>
          </w:p>
        </w:tc>
      </w:tr>
    </w:tbl>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105"/>
        <w:gridCol w:w="200"/>
        <w:gridCol w:w="5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operate in non-US markets;</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wars in Ukraine and the Middle East;</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price and market volatility and the risk of securities litigation;</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legislation and government regulation; and</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 </w:t>
            </w:r>
          </w:p>
        </w:tc>
        <w:tc>
          <w:tcPr>
            <w:tcW w:w="561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5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inflation and access to capital.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sections of this report include additional factors which could adversely impact our business and financial performance.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Except for our ongoing obligations to disclose material information under the Federal securities laws, we undertake no obligation to release publicly any revisions to any forward-looking statements, to report events or to report the occurrence of unanticipated events. These forward-looking statements speak only as of the date of this report, and you should not rely on these statements without also considering the risks and uncertainties associated with these statements and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PERTINENT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specifically set forth to the contrary, when used in this report the terms “authID” the “Company,” “we,” “our,” “us,” and similar terms refer to authID Inc., a Delaware corporation and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which appears on our website www.authID.ai is not part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60"/>
        <w:gridCol w:w="90"/>
        <w:gridCol w:w="155"/>
        <w:gridCol w:w="1145"/>
        <w:gridCol w:w="110"/>
        <w:gridCol w:w="90"/>
        <w:gridCol w:w="155"/>
        <w:gridCol w:w="1145"/>
        <w:gridCol w:w="155"/>
      </w:tblGrid>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w:t>
            </w:r>
          </w:p>
        </w:tc>
        <w:tc>
          <w:tcPr>
            <w:tcW w:w="155"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(unaudited)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ASSETS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Assets:</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4,899,658</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8,471,561</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 net of allowance for credit losses of $49,000 and $0 respectively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191,338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97,897</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 net of allowance for credit losses of $0 and $0 respectively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101,349</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426,859</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contract costs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230,544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617,918</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 net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984,352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460,192</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assets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6,407,241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10,074,427</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Intangible Assets, net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213,718</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Goodwill</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4,183,232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4,183,232</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assets</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10,729,416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14,471,377</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LIABILITIES AND STOCKHOLDERS’ EQUITY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1,275,346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1,715,410</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 liability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459,657</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Severance liability</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325,000</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Convertible debt, net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240,884</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531,580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215,237</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current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1,816,010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2,956,188</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1,816,010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2,956,188</w:t>
            </w:r>
          </w:p>
        </w:tc>
        <w:tc>
          <w:tcPr>
            <w:tcW w:w="15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(Note 8)</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0"/>
              <w:jc w:val="right"/>
              <w:rPr/>
            </w:pPr>
            <w:r>
              <w:rPr/>
              <w:t> </w:t>
            </w:r>
          </w:p>
        </w:tc>
        <w:tc>
          <w:tcPr>
            <w:tcW w:w="155" w:type="dxa"/>
            <w:tcBorders/>
            <w:shd w:fill="CCEEFF" w:val="clear"/>
            <w:vAlign w:val="center"/>
          </w:tcPr>
          <w:p>
            <w:pPr>
              <w:pStyle w:val="TableContents"/>
              <w:bidi w:val="0"/>
              <w:spacing w:before="0" w:after="283"/>
              <w:ind w:left="0" w:right="0" w:hanging="200"/>
              <w:jc w:val="left"/>
              <w:rPr/>
            </w:pPr>
            <w:r>
              <w:rPr/>
              <w:t> </w:t>
            </w:r>
          </w:p>
        </w:tc>
      </w:tr>
      <w:tr>
        <w:trPr/>
        <w:tc>
          <w:tcPr>
            <w:tcW w:w="7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ind w:left="0" w:right="0" w:hanging="200"/>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Stockholders’ Equity: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ind w:left="0" w:right="0" w:hanging="180"/>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$0.0001 par value, 150,000,000 shares authorized as of September 30, 2025 and December 31, 2024; 13,443,740 and 10,920,909 shares issued and outstanding as of September 30, 2025 and December 31, 2024</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 paid-in capital</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196,608,105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185,312,508</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deficit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(187,706,096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(173,808,529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Accumulated comprehensive income</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10,118</w:t>
            </w:r>
          </w:p>
        </w:tc>
        <w:tc>
          <w:tcPr>
            <w:tcW w:w="155" w:type="dxa"/>
            <w:tcBorders/>
            <w:shd w:fill="CCEEFF" w:val="clear"/>
            <w:vAlign w:val="center"/>
          </w:tcPr>
          <w:p>
            <w:pPr>
              <w:pStyle w:val="TableContents"/>
              <w:bidi w:val="0"/>
              <w:spacing w:before="0" w:after="283"/>
              <w:jc w:val="left"/>
              <w:rPr/>
            </w:pPr>
            <w:r>
              <w:rPr/>
              <w:t> </w:t>
            </w:r>
          </w:p>
        </w:tc>
      </w:tr>
      <w:tr>
        <w:trPr/>
        <w:tc>
          <w:tcPr>
            <w:tcW w:w="7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stockholders’ equity</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8,913,406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11,515,189</w:t>
            </w:r>
          </w:p>
        </w:tc>
        <w:tc>
          <w:tcPr>
            <w:tcW w:w="155" w:type="dxa"/>
            <w:tcBorders/>
            <w:vAlign w:val="center"/>
          </w:tcPr>
          <w:p>
            <w:pPr>
              <w:pStyle w:val="TableContents"/>
              <w:bidi w:val="0"/>
              <w:spacing w:before="0" w:after="283"/>
              <w:jc w:val="left"/>
              <w:rPr/>
            </w:pPr>
            <w:r>
              <w:rPr/>
              <w:t> </w:t>
            </w:r>
          </w:p>
        </w:tc>
      </w:tr>
      <w:tr>
        <w:trPr/>
        <w:tc>
          <w:tcPr>
            <w:tcW w:w="7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10,729,416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14,471,377</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025"/>
        <w:gridCol w:w="90"/>
        <w:gridCol w:w="170"/>
        <w:gridCol w:w="1130"/>
        <w:gridCol w:w="125"/>
        <w:gridCol w:w="90"/>
        <w:gridCol w:w="170"/>
        <w:gridCol w:w="1130"/>
        <w:gridCol w:w="125"/>
        <w:gridCol w:w="90"/>
        <w:gridCol w:w="170"/>
        <w:gridCol w:w="1205"/>
        <w:gridCol w:w="125"/>
        <w:gridCol w:w="90"/>
        <w:gridCol w:w="170"/>
        <w:gridCol w:w="1130"/>
        <w:gridCol w:w="170"/>
      </w:tblGrid>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vAlign w:val="center"/>
          </w:tcPr>
          <w:p>
            <w:pPr>
              <w:pStyle w:val="TableContents"/>
              <w:bidi w:val="0"/>
              <w:spacing w:before="0" w:after="283"/>
              <w:jc w:val="center"/>
              <w:rPr>
                <w:b/>
              </w:rPr>
            </w:pPr>
            <w:r>
              <w:rPr>
                <w:b/>
              </w:rPr>
              <w:t>Three Months Ended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vAlign w:val="center"/>
          </w:tcPr>
          <w:p>
            <w:pPr>
              <w:pStyle w:val="TableContents"/>
              <w:bidi w:val="0"/>
              <w:spacing w:before="0" w:after="283"/>
              <w:jc w:val="center"/>
              <w:rPr>
                <w:b/>
              </w:rPr>
            </w:pPr>
            <w:r>
              <w:rPr>
                <w:b/>
              </w:rPr>
              <w:t>Nine Months Ended</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81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90"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September 30,</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Revenues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596,337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248,920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2,337,192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130" w:type="dxa"/>
            <w:tcBorders/>
            <w:shd w:fill="CCEEFF" w:val="clear"/>
            <w:vAlign w:val="center"/>
          </w:tcPr>
          <w:p>
            <w:pPr>
              <w:pStyle w:val="TableContents"/>
              <w:bidi w:val="0"/>
              <w:spacing w:before="0" w:after="283"/>
              <w:jc w:val="right"/>
              <w:rPr/>
            </w:pPr>
            <w:r>
              <w:rPr/>
              <w:t>686,736</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Discounts and concessions</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(702,483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(702,483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0"/>
              <w:jc w:val="right"/>
              <w:rPr/>
            </w:pPr>
            <w:r>
              <w:rPr/>
              <w:t>-</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Revenues,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(106,146</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248,920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1,634,709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686,736</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General and administrative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3,325,452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2,102,549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9,878,085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6,334,070</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Research and development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1,785,387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1,615,970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5,762,921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4,213,041</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16,034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43,798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76,475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131,210</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Total operating expenses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5,126,873</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3,762,317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15,717,481</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10,678,321</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(5,233,019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(3,513,397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(14,082,772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(9,991,585</w:t>
            </w:r>
          </w:p>
        </w:tc>
        <w:tc>
          <w:tcPr>
            <w:tcW w:w="170" w:type="dxa"/>
            <w:tcBorders/>
            <w:shd w:fill="CCEEFF" w:val="clear"/>
            <w:vAlign w:val="center"/>
          </w:tcPr>
          <w:p>
            <w:pPr>
              <w:pStyle w:val="TableContents"/>
              <w:bidi w:val="0"/>
              <w:spacing w:before="0" w:after="283"/>
              <w:jc w:val="left"/>
              <w:rPr/>
            </w:pPr>
            <w:r>
              <w:rPr/>
              <w:t>)</w:t>
            </w:r>
          </w:p>
        </w:tc>
      </w:tr>
      <w:tr>
        <w:trPr/>
        <w:tc>
          <w:tcPr>
            <w:tcW w:w="40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Other Income (Expense):</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61,657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161,308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200,047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344,185</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(1,959</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(12,712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(14,842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283"/>
              <w:jc w:val="right"/>
              <w:rPr/>
            </w:pPr>
            <w:r>
              <w:rPr/>
              <w:t>(36,219</w:t>
            </w:r>
          </w:p>
        </w:tc>
        <w:tc>
          <w:tcPr>
            <w:tcW w:w="170" w:type="dxa"/>
            <w:tcBorders/>
            <w:shd w:fill="CCEEFF" w:val="clear"/>
            <w:vAlign w:val="center"/>
          </w:tcPr>
          <w:p>
            <w:pPr>
              <w:pStyle w:val="TableContents"/>
              <w:bidi w:val="0"/>
              <w:spacing w:before="0" w:after="283"/>
              <w:jc w:val="left"/>
              <w:rPr/>
            </w:pPr>
            <w:r>
              <w:rPr/>
              <w:t>)</w:t>
            </w:r>
          </w:p>
        </w:tc>
      </w:tr>
      <w:tr>
        <w:trPr/>
        <w:tc>
          <w:tcPr>
            <w:tcW w:w="4025" w:type="dxa"/>
            <w:tcBorders/>
            <w:vAlign w:val="center"/>
          </w:tcPr>
          <w:p>
            <w:pPr>
              <w:pStyle w:val="TableContents"/>
              <w:bidi w:val="0"/>
              <w:spacing w:before="0" w:after="283"/>
              <w:jc w:val="left"/>
              <w:rPr/>
            </w:pPr>
            <w:r>
              <w:rPr/>
              <w:t>Other income (expense), net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59,698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148,596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tcMar>
              <w:bottom w:w="28" w:type="dxa"/>
            </w:tcMar>
            <w:vAlign w:val="center"/>
          </w:tcPr>
          <w:p>
            <w:pPr>
              <w:pStyle w:val="TableContents"/>
              <w:bidi w:val="0"/>
              <w:spacing w:before="0" w:after="283"/>
              <w:jc w:val="right"/>
              <w:rPr/>
            </w:pPr>
            <w:r>
              <w:rPr/>
              <w:t>185,205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tcMar>
              <w:bottom w:w="28" w:type="dxa"/>
            </w:tcMar>
            <w:vAlign w:val="center"/>
          </w:tcPr>
          <w:p>
            <w:pPr>
              <w:pStyle w:val="TableContents"/>
              <w:bidi w:val="0"/>
              <w:spacing w:before="0" w:after="283"/>
              <w:jc w:val="right"/>
              <w:rPr/>
            </w:pPr>
            <w:r>
              <w:rPr/>
              <w:t>307,966</w:t>
            </w:r>
          </w:p>
        </w:tc>
        <w:tc>
          <w:tcPr>
            <w:tcW w:w="170" w:type="dxa"/>
            <w:tcBorders/>
            <w:vAlign w:val="center"/>
          </w:tcPr>
          <w:p>
            <w:pPr>
              <w:pStyle w:val="TableContents"/>
              <w:bidi w:val="0"/>
              <w:spacing w:before="0" w:after="283"/>
              <w:jc w:val="left"/>
              <w:rPr/>
            </w:pPr>
            <w:r>
              <w:rPr/>
              <w:t> </w:t>
            </w:r>
          </w:p>
        </w:tc>
      </w:tr>
      <w:tr>
        <w:trPr/>
        <w:tc>
          <w:tcPr>
            <w:tcW w:w="40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Loss from continuing operations before income taxes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(5,173,321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(3,364,801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(13,897,567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right"/>
              <w:rPr/>
            </w:pPr>
            <w:r>
              <w:rPr/>
              <w:t>(9,683,619</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Income tax expense</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30" w:type="dxa"/>
            <w:tcBorders>
              <w:bottom w:val="single" w:sz="12" w:space="0" w:color="000000"/>
            </w:tcBorders>
            <w:shd w:fill="CCEEFF" w:val="clear"/>
            <w:tcMar>
              <w:bottom w:w="28" w:type="dxa"/>
            </w:tcMar>
            <w:vAlign w:val="center"/>
          </w:tcPr>
          <w:p>
            <w:pPr>
              <w:pStyle w:val="TableContents"/>
              <w:bidi w:val="0"/>
              <w:spacing w:before="0" w:after="0"/>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Net loss</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(5,173,321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(3,364,801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(13,897,567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(9,683,619</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Net Loss Per Share - 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(0.38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(0.31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(1.11</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(0.97</w:t>
            </w:r>
          </w:p>
        </w:tc>
        <w:tc>
          <w:tcPr>
            <w:tcW w:w="170" w:type="dxa"/>
            <w:tcBorders/>
            <w:vAlign w:val="center"/>
          </w:tcPr>
          <w:p>
            <w:pPr>
              <w:pStyle w:val="TableContents"/>
              <w:bidi w:val="0"/>
              <w:spacing w:before="0" w:after="283"/>
              <w:jc w:val="left"/>
              <w:rPr/>
            </w:pPr>
            <w:r>
              <w:rPr/>
              <w:t>)</w:t>
            </w:r>
          </w:p>
        </w:tc>
      </w:tr>
      <w:tr>
        <w:trPr/>
        <w:tc>
          <w:tcPr>
            <w:tcW w:w="40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025" w:type="dxa"/>
            <w:tcBorders/>
            <w:vAlign w:val="center"/>
          </w:tcPr>
          <w:p>
            <w:pPr>
              <w:pStyle w:val="TableContents"/>
              <w:bidi w:val="0"/>
              <w:spacing w:before="0" w:after="283"/>
              <w:jc w:val="left"/>
              <w:rPr/>
            </w:pPr>
            <w:r>
              <w:rPr/>
              <w:t>Weighted Average Shares Outstanding - Basic and Diluted:</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13,443,740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10,920,872</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12,538,275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130" w:type="dxa"/>
            <w:tcBorders>
              <w:bottom w:val="double" w:sz="10" w:space="0" w:color="000000"/>
            </w:tcBorders>
            <w:tcMar>
              <w:bottom w:w="28" w:type="dxa"/>
            </w:tcMar>
            <w:vAlign w:val="center"/>
          </w:tcPr>
          <w:p>
            <w:pPr>
              <w:pStyle w:val="TableContents"/>
              <w:bidi w:val="0"/>
              <w:spacing w:before="0" w:after="283"/>
              <w:jc w:val="right"/>
              <w:rPr/>
            </w:pPr>
            <w:r>
              <w:rPr/>
              <w:t>9,961,110</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CONDENSED CONSOLIDATED STATEMENTS OF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570" w:type="dxa"/>
        <w:jc w:val="left"/>
        <w:tblInd w:w="0" w:type="dxa"/>
        <w:tblLayout w:type="fixed"/>
        <w:tblCellMar>
          <w:top w:w="0" w:type="dxa"/>
          <w:left w:w="0" w:type="dxa"/>
          <w:bottom w:w="0" w:type="dxa"/>
          <w:right w:w="0" w:type="dxa"/>
        </w:tblCellMar>
      </w:tblPr>
      <w:tblGrid>
        <w:gridCol w:w="3260"/>
        <w:gridCol w:w="90"/>
        <w:gridCol w:w="155"/>
        <w:gridCol w:w="935"/>
        <w:gridCol w:w="110"/>
        <w:gridCol w:w="90"/>
        <w:gridCol w:w="155"/>
        <w:gridCol w:w="935"/>
        <w:gridCol w:w="110"/>
        <w:gridCol w:w="90"/>
        <w:gridCol w:w="155"/>
        <w:gridCol w:w="1040"/>
        <w:gridCol w:w="110"/>
        <w:gridCol w:w="90"/>
        <w:gridCol w:w="155"/>
        <w:gridCol w:w="935"/>
        <w:gridCol w:w="155"/>
      </w:tblGrid>
      <w:tr>
        <w:trPr/>
        <w:tc>
          <w:tcPr>
            <w:tcW w:w="3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 Ended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5"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w:t>
            </w:r>
          </w:p>
        </w:tc>
        <w:tc>
          <w:tcPr>
            <w:tcW w:w="15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238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8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5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90" w:type="dxa"/>
            <w:gridSpan w:val="2"/>
            <w:tcBorders/>
            <w:vAlign w:val="center"/>
          </w:tcPr>
          <w:p>
            <w:pPr>
              <w:pStyle w:val="TableContents"/>
              <w:bidi w:val="0"/>
              <w:spacing w:before="0" w:after="283"/>
              <w:jc w:val="center"/>
              <w:rPr/>
            </w:pPr>
            <w:r>
              <w:rPr/>
              <w:t> </w:t>
            </w:r>
          </w:p>
        </w:tc>
        <w:tc>
          <w:tcPr>
            <w:tcW w:w="155"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(5,173,321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(3,364,801</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(13,897,567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(9,683,619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 gain/(loss)</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93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93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104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93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Comprehensive loss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(5,173,300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(3,363,834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(13,897,632</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(9,689,168</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CONDENSED CONSOLIDATED STATEMENTS OF CHANGES IN STOCKHOLDERS’ EQUITY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13"/>
        <w:gridCol w:w="90"/>
        <w:gridCol w:w="90"/>
        <w:gridCol w:w="980"/>
        <w:gridCol w:w="90"/>
        <w:gridCol w:w="90"/>
        <w:gridCol w:w="167"/>
        <w:gridCol w:w="558"/>
        <w:gridCol w:w="90"/>
        <w:gridCol w:w="90"/>
        <w:gridCol w:w="155"/>
        <w:gridCol w:w="1085"/>
        <w:gridCol w:w="110"/>
        <w:gridCol w:w="90"/>
        <w:gridCol w:w="155"/>
        <w:gridCol w:w="1145"/>
        <w:gridCol w:w="110"/>
        <w:gridCol w:w="90"/>
        <w:gridCol w:w="274"/>
        <w:gridCol w:w="1096"/>
        <w:gridCol w:w="110"/>
        <w:gridCol w:w="90"/>
        <w:gridCol w:w="155"/>
        <w:gridCol w:w="1040"/>
        <w:gridCol w:w="142"/>
      </w:tblGrid>
      <w:tr>
        <w:trPr/>
        <w:tc>
          <w:tcPr>
            <w:tcW w:w="211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975"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Common Stock</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Additional</w:t>
              <w:br/>
              <w:t>Paid-In</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Other</w:t>
              <w:br/>
              <w:t>Comprehensive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 </w:t>
            </w:r>
          </w:p>
        </w:tc>
        <w:tc>
          <w:tcPr>
            <w:tcW w:w="142" w:type="dxa"/>
            <w:tcBorders/>
            <w:vAlign w:val="center"/>
          </w:tcPr>
          <w:p>
            <w:pPr>
              <w:pStyle w:val="TableContents"/>
              <w:bidi w:val="0"/>
              <w:spacing w:before="0" w:after="283"/>
              <w:jc w:val="left"/>
              <w:rPr/>
            </w:pPr>
            <w:r>
              <w:rPr/>
              <w:t> </w:t>
            </w:r>
          </w:p>
        </w:tc>
      </w:tr>
      <w:tr>
        <w:trPr/>
        <w:tc>
          <w:tcPr>
            <w:tcW w:w="2113"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72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Capital</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0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Income</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Total</w:t>
            </w:r>
          </w:p>
        </w:tc>
        <w:tc>
          <w:tcPr>
            <w:tcW w:w="142" w:type="dxa"/>
            <w:tcBorders/>
            <w:vAlign w:val="center"/>
          </w:tcPr>
          <w:p>
            <w:pPr>
              <w:pStyle w:val="TableContents"/>
              <w:bidi w:val="0"/>
              <w:spacing w:before="0" w:after="283"/>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June 30, 2025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13,443,740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195,515,123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(182,532,775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10,032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12,993,724</w:t>
            </w:r>
          </w:p>
        </w:tc>
        <w:tc>
          <w:tcPr>
            <w:tcW w:w="142" w:type="dxa"/>
            <w:tcBorders/>
            <w:shd w:fill="CCEEFF" w:val="clear"/>
            <w:vAlign w:val="center"/>
          </w:tcPr>
          <w:p>
            <w:pPr>
              <w:pStyle w:val="TableContents"/>
              <w:bidi w:val="0"/>
              <w:spacing w:before="0" w:after="283"/>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827,315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827,315</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Award Vesting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265,667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265,667</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(5,173,321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(5,173,321</w:t>
            </w:r>
          </w:p>
        </w:tc>
        <w:tc>
          <w:tcPr>
            <w:tcW w:w="142" w:type="dxa"/>
            <w:tcBorders/>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September 30, 2025</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13,443,740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196,608,105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(187,706,096</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8,913,406</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June 30,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10,920,851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184,164,638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(165,849,353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18,322,485</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595,536</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595,536</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Reclass of offering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40,000</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stock option exercise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(3,364,801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(3,364,801</w:t>
            </w:r>
          </w:p>
        </w:tc>
        <w:tc>
          <w:tcPr>
            <w:tcW w:w="142" w:type="dxa"/>
            <w:tcBorders/>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90" w:type="dxa"/>
            <w:tcBorders/>
            <w:shd w:fill="CCEEFF" w:val="clear"/>
            <w:vAlign w:val="center"/>
          </w:tcPr>
          <w:p>
            <w:pPr>
              <w:pStyle w:val="TableContents"/>
              <w:bidi w:val="0"/>
              <w:spacing w:before="0" w:after="283"/>
              <w:jc w:val="left"/>
              <w:rPr/>
            </w:pPr>
            <w:r>
              <w:rPr/>
              <w:t> </w:t>
            </w:r>
          </w:p>
        </w:tc>
        <w:tc>
          <w:tcPr>
            <w:tcW w:w="9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6"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967</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September 30, 2024</w:t>
            </w:r>
          </w:p>
        </w:tc>
        <w:tc>
          <w:tcPr>
            <w:tcW w:w="90" w:type="dxa"/>
            <w:tcBorders/>
            <w:vAlign w:val="center"/>
          </w:tcPr>
          <w:p>
            <w:pPr>
              <w:pStyle w:val="TableContents"/>
              <w:bidi w:val="0"/>
              <w:spacing w:before="0" w:after="283"/>
              <w:jc w:val="left"/>
              <w:rPr/>
            </w:pPr>
            <w:r>
              <w:rPr/>
              <w:t> </w:t>
            </w:r>
          </w:p>
        </w:tc>
        <w:tc>
          <w:tcPr>
            <w:tcW w:w="90" w:type="dxa"/>
            <w:tcBorders>
              <w:bottom w:val="double" w:sz="12" w:space="0" w:color="000000"/>
            </w:tcBorders>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10,920,909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184,800,174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(169,214,154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15,594,187</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pPr>
            <w:r>
              <w:rPr/>
              <w:t> </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December 31, 2024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10,920,909</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185,312,508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(173,808,529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10,118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11,515,189</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1,828,522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1,828,522</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common stock for cash, net of offering costs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2,184,180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8,464,109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8,464,327</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Common Stock for severance</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27,838</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205,997</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206,000</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Award Issuance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Restricted Stock Award Vesting</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796,980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796,980</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warrants 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110,813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(13,897,567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(13,897,567</w:t>
            </w:r>
          </w:p>
        </w:tc>
        <w:tc>
          <w:tcPr>
            <w:tcW w:w="142" w:type="dxa"/>
            <w:tcBorders/>
            <w:shd w:fill="CCEEFF" w:val="clear"/>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42" w:type="dxa"/>
            <w:tcBorders/>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September 30, 2025</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13,443,740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196,608,105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(187,706,096</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8,913,406</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December 31, 2023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9,450,220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945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172,714,712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(159,530,535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12,624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13,197,746</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2,044,210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2,044,210</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Sale of common stock for cash, net of offering costs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1,464,965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10,041,253</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10,041,399</w:t>
            </w:r>
          </w:p>
        </w:tc>
        <w:tc>
          <w:tcPr>
            <w:tcW w:w="142" w:type="dxa"/>
            <w:tcBorders/>
            <w:shd w:fill="CCEEFF" w:val="clear"/>
            <w:vAlign w:val="center"/>
          </w:tcPr>
          <w:p>
            <w:pPr>
              <w:pStyle w:val="TableContents"/>
              <w:bidi w:val="0"/>
              <w:spacing w:before="0" w:after="283"/>
              <w:ind w:left="0" w:right="0" w:hanging="166"/>
              <w:jc w:val="left"/>
              <w:rPr/>
            </w:pPr>
            <w:r>
              <w:rPr/>
              <w:t> </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stock options 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5,724</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55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ind w:left="0" w:right="0" w:hanging="166"/>
              <w:jc w:val="left"/>
              <w:rPr/>
            </w:pPr>
            <w:r>
              <w:rPr/>
              <w:t> </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(9,683,619</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jc w:val="left"/>
              <w:rPr/>
            </w:pPr>
            <w:r>
              <w:rPr/>
              <w:t> </w:t>
            </w:r>
          </w:p>
        </w:tc>
        <w:tc>
          <w:tcPr>
            <w:tcW w:w="109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(9,683,619</w:t>
            </w:r>
          </w:p>
        </w:tc>
        <w:tc>
          <w:tcPr>
            <w:tcW w:w="142" w:type="dxa"/>
            <w:tcBorders/>
            <w:shd w:fill="CCEEFF" w:val="clear"/>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Foreign currency translation</w:t>
            </w:r>
          </w:p>
        </w:tc>
        <w:tc>
          <w:tcPr>
            <w:tcW w:w="90" w:type="dxa"/>
            <w:tcBorders/>
            <w:vAlign w:val="center"/>
          </w:tcPr>
          <w:p>
            <w:pPr>
              <w:pStyle w:val="TableContents"/>
              <w:bidi w:val="0"/>
              <w:spacing w:before="0" w:after="283"/>
              <w:jc w:val="left"/>
              <w:rPr/>
            </w:pPr>
            <w:r>
              <w:rPr/>
              <w:t> </w:t>
            </w:r>
          </w:p>
        </w:tc>
        <w:tc>
          <w:tcPr>
            <w:tcW w:w="90"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67" w:type="dxa"/>
            <w:tcBorders>
              <w:bottom w:val="single" w:sz="12" w:space="0" w:color="000000"/>
            </w:tcBorders>
            <w:tcMar>
              <w:bottom w:w="28" w:type="dxa"/>
            </w:tcMar>
            <w:vAlign w:val="center"/>
          </w:tcPr>
          <w:p>
            <w:pPr>
              <w:pStyle w:val="TableContents"/>
              <w:bidi w:val="0"/>
              <w:spacing w:before="0" w:after="283"/>
              <w:jc w:val="left"/>
              <w:rPr/>
            </w:pPr>
            <w:r>
              <w:rPr/>
              <w:t> </w:t>
            </w:r>
          </w:p>
        </w:tc>
        <w:tc>
          <w:tcPr>
            <w:tcW w:w="558" w:type="dxa"/>
            <w:tcBorders>
              <w:bottom w:val="single" w:sz="12" w:space="0" w:color="000000"/>
            </w:tcBorders>
            <w:tcMar>
              <w:bottom w:w="28" w:type="dxa"/>
            </w:tcMar>
            <w:vAlign w:val="center"/>
          </w:tcPr>
          <w:p>
            <w:pPr>
              <w:pStyle w:val="TableContents"/>
              <w:bidi w:val="0"/>
              <w:spacing w:before="0" w:after="283"/>
              <w:jc w:val="right"/>
              <w:rPr/>
            </w:pPr>
            <w:r>
              <w:rPr/>
              <w:t>-</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45" w:type="dxa"/>
            <w:tcBorders>
              <w:bottom w:val="single" w:sz="12" w:space="0" w:color="000000"/>
            </w:tcBorders>
            <w:tcMar>
              <w:bottom w:w="28" w:type="dxa"/>
            </w:tcMar>
            <w:vAlign w:val="center"/>
          </w:tcPr>
          <w:p>
            <w:pPr>
              <w:pStyle w:val="TableContents"/>
              <w:bidi w:val="0"/>
              <w:spacing w:before="0" w:after="283"/>
              <w:jc w:val="right"/>
              <w:rPr/>
            </w:pPr>
            <w:r>
              <w:rPr/>
              <w:t>-</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96"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(5,549</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(5,549</w:t>
            </w:r>
          </w:p>
        </w:tc>
        <w:tc>
          <w:tcPr>
            <w:tcW w:w="142" w:type="dxa"/>
            <w:tcBorders/>
            <w:vAlign w:val="center"/>
          </w:tcPr>
          <w:p>
            <w:pPr>
              <w:pStyle w:val="TableContents"/>
              <w:bidi w:val="0"/>
              <w:spacing w:before="0" w:after="283"/>
              <w:ind w:left="0" w:right="0" w:hanging="166"/>
              <w:jc w:val="left"/>
              <w:rPr>
                <w:rFonts w:ascii="Times New Roman;Times;Serif" w:hAnsi="Times New Roman;Times;Serif"/>
                <w:sz w:val="20"/>
              </w:rPr>
            </w:pPr>
            <w:r>
              <w:rPr>
                <w:rFonts w:ascii="Times New Roman;Times;Serif" w:hAnsi="Times New Roman;Times;Serif"/>
                <w:sz w:val="20"/>
              </w:rPr>
              <w:t>)</w:t>
            </w:r>
          </w:p>
        </w:tc>
      </w:tr>
      <w:tr>
        <w:trPr/>
        <w:tc>
          <w:tcPr>
            <w:tcW w:w="2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Balances, September 30, 2024</w:t>
            </w:r>
          </w:p>
        </w:tc>
        <w:tc>
          <w:tcPr>
            <w:tcW w:w="90" w:type="dxa"/>
            <w:tcBorders/>
            <w:shd w:fill="CCEEFF" w:val="clear"/>
            <w:vAlign w:val="center"/>
          </w:tcPr>
          <w:p>
            <w:pPr>
              <w:pStyle w:val="TableContents"/>
              <w:bidi w:val="0"/>
              <w:spacing w:before="0" w:after="283"/>
              <w:jc w:val="left"/>
              <w:rPr/>
            </w:pPr>
            <w:r>
              <w:rPr/>
              <w:t> </w:t>
            </w:r>
          </w:p>
        </w:tc>
        <w:tc>
          <w:tcPr>
            <w:tcW w:w="90" w:type="dxa"/>
            <w:tcBorders>
              <w:bottom w:val="doub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10,920,909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67"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8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184,800,174</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45"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(169,214,154</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274"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15,594,187</w:t>
            </w:r>
          </w:p>
        </w:tc>
        <w:tc>
          <w:tcPr>
            <w:tcW w:w="14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 AND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tbl>
      <w:tblPr>
        <w:tblW w:w="8195" w:type="dxa"/>
        <w:jc w:val="left"/>
        <w:tblInd w:w="0" w:type="dxa"/>
        <w:tblLayout w:type="fixed"/>
        <w:tblCellMar>
          <w:top w:w="0" w:type="dxa"/>
          <w:left w:w="0" w:type="dxa"/>
          <w:bottom w:w="0" w:type="dxa"/>
          <w:right w:w="0" w:type="dxa"/>
        </w:tblCellMar>
      </w:tblPr>
      <w:tblGrid>
        <w:gridCol w:w="5420"/>
        <w:gridCol w:w="90"/>
        <w:gridCol w:w="155"/>
        <w:gridCol w:w="1040"/>
        <w:gridCol w:w="110"/>
        <w:gridCol w:w="90"/>
        <w:gridCol w:w="155"/>
        <w:gridCol w:w="980"/>
        <w:gridCol w:w="155"/>
      </w:tblGrid>
      <w:tr>
        <w:trPr/>
        <w:tc>
          <w:tcPr>
            <w:tcW w:w="5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0"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Nine Months Ended</w:t>
            </w:r>
          </w:p>
        </w:tc>
        <w:tc>
          <w:tcPr>
            <w:tcW w:w="15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30" w:type="dxa"/>
            <w:gridSpan w:val="6"/>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15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9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155" w:type="dxa"/>
            <w:tcBorders/>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OPERATING ACTIVITIES:</w:t>
            </w:r>
          </w:p>
        </w:tc>
        <w:tc>
          <w:tcPr>
            <w:tcW w:w="9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35" w:type="dxa"/>
            <w:gridSpan w:val="2"/>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loss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(13,897,567</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(9,683,619</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Adjustments to reconcile net loss with cash flows from operations: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Stock-based compensation</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2,625,522</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2,044,210</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Non-cash severance expense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206,000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 expense</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76,475</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131,210</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for expected credit losses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795,900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Credit losses write-off</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(896,620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Amortization of debt discounts and issuance costs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4,116</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12,345</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receivable</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7,279</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(132,329</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325,510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(201,610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contract costs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387,374</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55,133</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current assets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(524,160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(351,312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expenses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(765,064</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(424,961</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Commissions liability</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(450,573</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(124,150</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revenue</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316,343</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197,715</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operating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(11,789,465</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(8,477,368</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 of intangible assets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(17,582</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investing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(17,582</w:t>
            </w:r>
          </w:p>
        </w:tc>
        <w:tc>
          <w:tcPr>
            <w:tcW w:w="15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FLOWS FROM FINANCING ACTIVITIES:</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Proceeds from sale of common stock, net of offering costs</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8,464,327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10,041,399</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convertible notes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(245,000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cash flows from financing activities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8,219,327</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10,041,399</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Foreign Currencies</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(65</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bottom w:val="single" w:sz="12" w:space="0" w:color="000000"/>
            </w:tcBorders>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(5,156</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Net Change in Cash</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(3,571,903</w:t>
            </w:r>
          </w:p>
        </w:tc>
        <w:tc>
          <w:tcPr>
            <w:tcW w:w="1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1,541,293</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Beginning of the Period</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4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8,471,561</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10,177,099</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End of the Period</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4,899,658</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11,718,392</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Disclosure of Cash Flow Information</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interest</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10,370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23,873</w:t>
            </w:r>
          </w:p>
        </w:tc>
        <w:tc>
          <w:tcPr>
            <w:tcW w:w="155" w:type="dxa"/>
            <w:tcBorders/>
            <w:shd w:fill="CCEEFF" w:val="clear"/>
            <w:vAlign w:val="center"/>
          </w:tcPr>
          <w:p>
            <w:pPr>
              <w:pStyle w:val="TableContents"/>
              <w:bidi w:val="0"/>
              <w:spacing w:before="0" w:after="283"/>
              <w:jc w:val="left"/>
              <w:rPr/>
            </w:pPr>
            <w:r>
              <w:rPr/>
              <w:t> </w:t>
            </w:r>
          </w:p>
        </w:tc>
      </w:tr>
      <w:tr>
        <w:trPr/>
        <w:tc>
          <w:tcPr>
            <w:tcW w:w="54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Warrants issued as offering costs</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864,165</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5" w:type="dxa"/>
            <w:tcBorders>
              <w:bottom w:val="double" w:sz="12" w:space="0" w:color="000000"/>
            </w:tcBorders>
            <w:tcMar>
              <w:bottom w:w="28" w:type="dxa"/>
            </w:tcMar>
            <w:vAlign w:val="center"/>
          </w:tcPr>
          <w:p>
            <w:pPr>
              <w:pStyle w:val="TableContents"/>
              <w:bidi w:val="0"/>
              <w:spacing w:before="0" w:after="283"/>
              <w:jc w:val="left"/>
              <w:rPr/>
            </w:pPr>
            <w:r>
              <w:rPr/>
              <w:t> </w:t>
            </w:r>
          </w:p>
        </w:tc>
        <w:tc>
          <w:tcPr>
            <w:tcW w:w="980"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877,392</w:t>
            </w:r>
          </w:p>
        </w:tc>
        <w:tc>
          <w:tcPr>
            <w:tcW w:w="155" w:type="dxa"/>
            <w:tcBorders/>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Cashless option and warrant exercises</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438,000</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55" w:type="dxa"/>
            <w:tcBorders>
              <w:bottom w:val="doub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79,556</w:t>
            </w:r>
          </w:p>
        </w:tc>
        <w:tc>
          <w:tcPr>
            <w:tcW w:w="15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authID INC. AND SUBSIDIARIES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opinion of Management, the accompanying condensed consolidated financial statements are prepared in accordance with instructions for Form 10-Q, include all adjustments (consisting only of normal recurring accruals) which we considered as necessary for a fair presentation of the results for the periods presented. Certain information and footnote disclosures normally included in the consolidated financial statements prepared in accordance with accounting principles generally accepted in the United States of America have been condensed or omitted. It is suggested that these condensed consolidated financial statements be read in conjunction with the Company’s Annual Report on Form 10-K for the year ended December 31, 2024. The results of operations for the nine months ended September 30, 2025 are not necessarily indicative of the results to be expected for future periods or the full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authID Inc. and its wholly-owned subsidiaries MultiPay S.A.S. (dissolved as of August 2, 2024), ID Solutions, Inc., FIN Holdings Inc., Ipsidy Enterprises Limited, and authID Gaming Inc. (collectively the “Company”). All significant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an accumulated deficit of approximately $187.7 million. For the nine months ended September 30, 2025, the Company earned net revenue of approximately $1.6 million, used approximately $11.8 million to fund its operations, and incurred a net loss of approximately $13.9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and May 2025, the Company raised a total of approximately $8.5 million after expenses from existing and new stockholders through the sale of Common Stock pursuant to registered direct offerings.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Common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in accordance with FASB ASC 260, “Earnings per Share”. ASC 260 requires presentation of both basic and diluted earnings per share (“EPS”) on the face of the statement of operations. Basic EPS is computed by dividing net loss available to common shareholders by the weighted average number of common shares outstanding during the period. Diluted EPS gives effect to all dilutive potential common shares outstanding during the period including stock options, using the treasury stock method, and convertible notes and stock warrants, using the if-converted method. In computing diluted EPS, the average stock price for the period is used in determining the number of shares assumed to be purchased from the exercise of stock options, warrants and conversion of convertible notes. Diluted EPS excludes all potential dilutive common shares if their effect is anti-dilutive. The following potentially dilutive securities were excluded from the calculation of diluted loss per share for the three and nine months ended September 30, 2025 and 2024 because their effect was antidilutive:</w:t>
      </w:r>
    </w:p>
    <w:p>
      <w:pPr>
        <w:pStyle w:val="TextBody"/>
        <w:bidi w:val="0"/>
        <w:spacing w:before="0" w:after="0"/>
        <w:ind w:left="0" w:right="0" w:hanging="0"/>
        <w:jc w:val="both"/>
        <w:rPr>
          <w:caps w:val="false"/>
          <w:smallCaps w:val="false"/>
        </w:rPr>
      </w:pPr>
      <w:r>
        <w:rPr>
          <w:caps w:val="false"/>
          <w:smallCaps w:val="false"/>
        </w:rPr>
        <w:t> </w:t>
      </w:r>
    </w:p>
    <w:tbl>
      <w:tblPr>
        <w:tblW w:w="5130" w:type="dxa"/>
        <w:jc w:val="left"/>
        <w:tblInd w:w="0" w:type="dxa"/>
        <w:tblLayout w:type="fixed"/>
        <w:tblCellMar>
          <w:top w:w="0" w:type="dxa"/>
          <w:left w:w="0" w:type="dxa"/>
          <w:bottom w:w="28" w:type="dxa"/>
          <w:right w:w="0" w:type="dxa"/>
        </w:tblCellMar>
      </w:tblPr>
      <w:tblGrid>
        <w:gridCol w:w="2525"/>
        <w:gridCol w:w="90"/>
        <w:gridCol w:w="90"/>
        <w:gridCol w:w="1010"/>
        <w:gridCol w:w="90"/>
        <w:gridCol w:w="90"/>
        <w:gridCol w:w="90"/>
        <w:gridCol w:w="1010"/>
        <w:gridCol w:w="135"/>
      </w:tblGrid>
      <w:tr>
        <w:trPr/>
        <w:tc>
          <w:tcPr>
            <w:tcW w:w="2525" w:type="dxa"/>
            <w:tcBorders>
              <w:bottom w:val="single" w:sz="12" w:space="0" w:color="000000"/>
            </w:tcBorders>
            <w:vAlign w:val="center"/>
          </w:tcPr>
          <w:p>
            <w:pPr>
              <w:pStyle w:val="TableContents"/>
              <w:bidi w:val="0"/>
              <w:spacing w:before="0" w:after="283"/>
              <w:jc w:val="left"/>
              <w:rPr>
                <w:b/>
              </w:rPr>
            </w:pPr>
            <w:r>
              <w:rPr>
                <w:b/>
              </w:rPr>
              <w:t>Security</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12" w:space="0" w:color="000000"/>
            </w:tcBorders>
            <w:vAlign w:val="center"/>
          </w:tcPr>
          <w:p>
            <w:pPr>
              <w:pStyle w:val="TableContents"/>
              <w:bidi w:val="0"/>
              <w:spacing w:before="0" w:after="283"/>
              <w:jc w:val="center"/>
              <w:rPr>
                <w:b/>
              </w:rPr>
            </w:pPr>
            <w:r>
              <w:rPr>
                <w:b/>
              </w:rPr>
              <w:t>2024</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100" w:type="dxa"/>
            <w:gridSpan w:val="2"/>
            <w:tcBorders/>
            <w:tcMar>
              <w:bottom w:w="0" w:type="dxa"/>
            </w:tcMar>
            <w:vAlign w:val="center"/>
          </w:tcPr>
          <w:p>
            <w:pPr>
              <w:pStyle w:val="TableContents"/>
              <w:bidi w:val="0"/>
              <w:spacing w:before="0" w:after="283"/>
              <w:jc w:val="left"/>
              <w:rPr/>
            </w:pPr>
            <w:r>
              <w:rPr/>
              <w:t> </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Convertible notes payable</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0"/>
              <w:jc w:val="right"/>
              <w:rPr/>
            </w:pPr>
            <w:r>
              <w:rPr/>
              <w:t>-</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1010" w:type="dxa"/>
            <w:tcBorders/>
            <w:shd w:fill="CCEEFF" w:val="clear"/>
            <w:tcMar>
              <w:bottom w:w="0" w:type="dxa"/>
            </w:tcMar>
            <w:vAlign w:val="center"/>
          </w:tcPr>
          <w:p>
            <w:pPr>
              <w:pStyle w:val="TableContents"/>
              <w:bidi w:val="0"/>
              <w:spacing w:before="0" w:after="283"/>
              <w:jc w:val="right"/>
              <w:rPr/>
            </w:pPr>
            <w:r>
              <w:rPr/>
              <w:t>8,277</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Warrants</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719,965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1010" w:type="dxa"/>
            <w:tcBorders/>
            <w:tcMar>
              <w:bottom w:w="0" w:type="dxa"/>
            </w:tcMar>
            <w:vAlign w:val="center"/>
          </w:tcPr>
          <w:p>
            <w:pPr>
              <w:pStyle w:val="TableContents"/>
              <w:bidi w:val="0"/>
              <w:spacing w:before="0" w:after="283"/>
              <w:jc w:val="right"/>
              <w:rPr/>
            </w:pPr>
            <w:r>
              <w:rPr/>
              <w:t>697,446</w:t>
            </w:r>
          </w:p>
        </w:tc>
        <w:tc>
          <w:tcPr>
            <w:tcW w:w="135" w:type="dxa"/>
            <w:tcBorders/>
            <w:tcMar>
              <w:bottom w:w="0" w:type="dxa"/>
            </w:tcMar>
            <w:vAlign w:val="center"/>
          </w:tcPr>
          <w:p>
            <w:pPr>
              <w:pStyle w:val="TableContents"/>
              <w:bidi w:val="0"/>
              <w:spacing w:before="0" w:after="283"/>
              <w:jc w:val="left"/>
              <w:rPr/>
            </w:pPr>
            <w:r>
              <w:rPr/>
              <w:t> </w:t>
            </w:r>
          </w:p>
        </w:tc>
      </w:tr>
      <w:tr>
        <w:trPr/>
        <w:tc>
          <w:tcPr>
            <w:tcW w:w="2525" w:type="dxa"/>
            <w:tcBorders/>
            <w:shd w:fill="CCEEFF" w:val="clear"/>
            <w:tcMar>
              <w:bottom w:w="0" w:type="dxa"/>
            </w:tcMar>
            <w:vAlign w:val="center"/>
          </w:tcPr>
          <w:p>
            <w:pPr>
              <w:pStyle w:val="TableContents"/>
              <w:bidi w:val="0"/>
              <w:spacing w:before="0" w:after="283"/>
              <w:jc w:val="left"/>
              <w:rPr/>
            </w:pPr>
            <w:r>
              <w:rPr/>
              <w:t>Stock options</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2,463,480</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shd w:fill="CCEEFF" w:val="clear"/>
            <w:tcMar>
              <w:bottom w:w="0" w:type="dxa"/>
            </w:tcMar>
            <w:vAlign w:val="center"/>
          </w:tcPr>
          <w:p>
            <w:pPr>
              <w:pStyle w:val="TableContents"/>
              <w:bidi w:val="0"/>
              <w:spacing w:before="0" w:after="283"/>
              <w:jc w:val="left"/>
              <w:rPr/>
            </w:pPr>
            <w:r>
              <w:rPr/>
              <w:t> </w:t>
            </w:r>
          </w:p>
        </w:tc>
        <w:tc>
          <w:tcPr>
            <w:tcW w:w="90" w:type="dxa"/>
            <w:tcBorders>
              <w:bottom w:val="single" w:sz="12" w:space="0" w:color="000000"/>
            </w:tcBorders>
            <w:shd w:fill="CCEEFF" w:val="clear"/>
            <w:vAlign w:val="center"/>
          </w:tcPr>
          <w:p>
            <w:pPr>
              <w:pStyle w:val="TableContents"/>
              <w:bidi w:val="0"/>
              <w:spacing w:before="0" w:after="283"/>
              <w:jc w:val="left"/>
              <w:rPr/>
            </w:pPr>
            <w:r>
              <w:rPr/>
              <w:t> </w:t>
            </w:r>
          </w:p>
        </w:tc>
        <w:tc>
          <w:tcPr>
            <w:tcW w:w="1010" w:type="dxa"/>
            <w:tcBorders>
              <w:bottom w:val="single" w:sz="12" w:space="0" w:color="000000"/>
            </w:tcBorders>
            <w:shd w:fill="CCEEFF" w:val="clear"/>
            <w:vAlign w:val="center"/>
          </w:tcPr>
          <w:p>
            <w:pPr>
              <w:pStyle w:val="TableContents"/>
              <w:bidi w:val="0"/>
              <w:spacing w:before="0" w:after="283"/>
              <w:jc w:val="right"/>
              <w:rPr/>
            </w:pPr>
            <w:r>
              <w:rPr/>
              <w:t>1,991,048</w:t>
            </w:r>
          </w:p>
        </w:tc>
        <w:tc>
          <w:tcPr>
            <w:tcW w:w="135" w:type="dxa"/>
            <w:tcBorders/>
            <w:shd w:fill="CCEEFF" w:val="clear"/>
            <w:tcMar>
              <w:bottom w:w="0" w:type="dxa"/>
            </w:tcMar>
            <w:vAlign w:val="center"/>
          </w:tcPr>
          <w:p>
            <w:pPr>
              <w:pStyle w:val="TableContents"/>
              <w:bidi w:val="0"/>
              <w:spacing w:before="0" w:after="283"/>
              <w:jc w:val="left"/>
              <w:rPr/>
            </w:pPr>
            <w:r>
              <w:rPr/>
              <w:t> </w:t>
            </w:r>
          </w:p>
        </w:tc>
      </w:tr>
      <w:tr>
        <w:trPr/>
        <w:tc>
          <w:tcPr>
            <w:tcW w:w="2525"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10" w:type="dxa"/>
            <w:tcBorders>
              <w:bottom w:val="double" w:sz="10" w:space="0" w:color="000000"/>
            </w:tcBorders>
            <w:vAlign w:val="center"/>
          </w:tcPr>
          <w:p>
            <w:pPr>
              <w:pStyle w:val="TableContents"/>
              <w:bidi w:val="0"/>
              <w:spacing w:before="0" w:after="283"/>
              <w:jc w:val="right"/>
              <w:rPr/>
            </w:pPr>
            <w:r>
              <w:rPr/>
              <w:t>3,183,445</w:t>
            </w:r>
          </w:p>
        </w:tc>
        <w:tc>
          <w:tcPr>
            <w:tcW w:w="90" w:type="dxa"/>
            <w:tcBorders/>
            <w:tcMar>
              <w:bottom w:w="0" w:type="dxa"/>
            </w:tcMar>
            <w:vAlign w:val="center"/>
          </w:tcPr>
          <w:p>
            <w:pPr>
              <w:pStyle w:val="TableContents"/>
              <w:bidi w:val="0"/>
              <w:spacing w:before="0" w:after="283"/>
              <w:jc w:val="left"/>
              <w:rPr/>
            </w:pPr>
            <w:r>
              <w:rPr/>
              <w:t> </w:t>
            </w:r>
          </w:p>
        </w:tc>
        <w:tc>
          <w:tcPr>
            <w:tcW w:w="90" w:type="dxa"/>
            <w:tcBorders/>
            <w:tcMar>
              <w:bottom w:w="0" w:type="dxa"/>
            </w:tcMar>
            <w:vAlign w:val="center"/>
          </w:tcPr>
          <w:p>
            <w:pPr>
              <w:pStyle w:val="TableContents"/>
              <w:bidi w:val="0"/>
              <w:spacing w:before="0" w:after="283"/>
              <w:jc w:val="left"/>
              <w:rPr/>
            </w:pPr>
            <w:r>
              <w:rPr/>
              <w:t> </w:t>
            </w:r>
          </w:p>
        </w:tc>
        <w:tc>
          <w:tcPr>
            <w:tcW w:w="90" w:type="dxa"/>
            <w:tcBorders>
              <w:bottom w:val="double" w:sz="10" w:space="0" w:color="000000"/>
            </w:tcBorders>
            <w:vAlign w:val="center"/>
          </w:tcPr>
          <w:p>
            <w:pPr>
              <w:pStyle w:val="TableContents"/>
              <w:bidi w:val="0"/>
              <w:spacing w:before="0" w:after="283"/>
              <w:jc w:val="left"/>
              <w:rPr/>
            </w:pPr>
            <w:r>
              <w:rPr/>
              <w:t> </w:t>
            </w:r>
          </w:p>
        </w:tc>
        <w:tc>
          <w:tcPr>
            <w:tcW w:w="1010" w:type="dxa"/>
            <w:tcBorders>
              <w:bottom w:val="double" w:sz="10" w:space="0" w:color="000000"/>
            </w:tcBorders>
            <w:vAlign w:val="center"/>
          </w:tcPr>
          <w:p>
            <w:pPr>
              <w:pStyle w:val="TableContents"/>
              <w:bidi w:val="0"/>
              <w:spacing w:before="0" w:after="283"/>
              <w:jc w:val="right"/>
              <w:rPr/>
            </w:pPr>
            <w:r>
              <w:rPr/>
              <w:t>2,696,771</w:t>
            </w:r>
          </w:p>
        </w:tc>
        <w:tc>
          <w:tcPr>
            <w:tcW w:w="13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net is defined as gross revenues, less discounts and sales concessions.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Software License </w:t>
      </w:r>
      <w:r>
        <w:rPr>
          <w:rFonts w:ascii="Times New Roman;Times;Serif" w:hAnsi="Times New Roman;Times;Serif"/>
          <w:b w:val="false"/>
          <w:i w:val="false"/>
          <w:caps w:val="false"/>
          <w:smallCaps w:val="false"/>
          <w:sz w:val="20"/>
        </w:rPr>
        <w:t>– The Company recognizes revenue based on the identified performance obligations over the performance period for fixed consideration and / or variable fees generated. Variable fees are typically earned over time based on monthly users, transaction volumes or a monthly flat fee rate. We allocate the selling price in a contract which has multiple performance obligations based on the contract selling price that we believe represents a fair market price for the service rendered based on estimated standalone selling price. Transaction fees are billed monthly and are constrained to transactions incurred within the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contracts with minimum annual fees, the Company generally recognizes the amount of revenue ratably over the contract year and records contract assets for the amount in excess of monthly contract billings relating to variable contract consideration. For certain contracts, the Company enters into an agreement which stipulates a minimum annual fee which is generally due at the end of the contract year, in excess of the amount of monthly billings. The Company may also require milestone payments of the minimum annual fee. The amount of any billed fees in excess of revenue recognized is recorded as deferred revenue. The Company accounts for price concessions as reductions to the transaction price under ASC 606. Price concessions represent implied or estimated future reductions in consideration that the Company expects to grant, based on known facts and circumstances, including customer usage patterns and strategic considerations. These concessions are treated as variable consideration and are included in the transaction price only to the extent that it is probable that a significant reversal of cumulative revenue will not occur when the uncertainty is resolved. During the three and nine months ended September 30, 2025, the Company granted approximately $0.7 million and $0.7 million in concessions,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usage-based fees in excess of the minimum contract amount are charged to the customer and allocated to the annual period in which they are earned under the contract. At the beginning of each annual period in the contract, the Company estimates the variable amounts for the annual period subject to the constrained variable consideration (usage-based fees) and recognizes that amount on a time-elapsed basis over the annual period. At each reporting date within an annual period, the Company reassesses its estimate of the excess variable amounts for the annual period and updates the amount recognized on a time-elapsed basis over the remainder of the annual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deferred revenue contract liabilities of approximately $0.01 million and $0.46 million as of September 30, 2025 and December 31, 2024, respectively, for certain revenue that will be earned in future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Remaining Performance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Company’s Remaining Performance Obligation (RPO) was $3.6 million, of which $0.5 million is held as deferred revenue and $3.1 million is related to other non-cancellable contracted amounts. This reflects a reduction in RPO of approximately $8.1 million from a customer contract under which partial payment was made during the three months ended September 30, 2025 but the customer requested amended terms before making further payments. The Company believes it is in its best interest to renegotiate terms with this customer, with whom we are continuing to work, and the parties are in discussions on renegotiating the contract. The Company expects approximately 48% of the RPO to be recognized as revenue over the next twelve months ending September 30, 2026 based on contractual commitments and expected usage patterns. However, the amount and timing of revenue recognition are generally dependent upon customers’ future consumption, which is inherently variable at customers’ discretion. Furthermore, the Company does not have sufficient historical information to estimate the timing of recognition of revenue due to its current operations and has approximated such amount based on discussions with the contracted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and Contract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customers are granted credit on a short-term basis. Accounts receivable, net is stated net of the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maintains an allowance for its doubtful accounts receivable for estimated credit losses. This allowance is based upon historical loss patterns, the number of days that billings are past due, and evaluation of the potential risk of loss associated with delinquent accounts, current market conditions and reasonable and supportable forecasts of future billable product usage compared with contracted minimums. The Company records the allowance against bad debt expense through the condensed consolidated statement of operations, included in general and administrative expense, up to the amount of revenue recognized to date. Any incremental allowance is recorded as an offset to unearned revenue on the condensed consolidated balance sheet. Receivables are written off and charged against recorded allowance when the Company has exhausted collection efforts without success.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its accounts receivable and contract assets balances using the Current Expected Credit Loss (“CECL”) model in accordance with ASC 326. The Company routinely reviews its accounts receivables and contract assets and uses a risk-based probability-weighted approach to record provisions. However, those provisions are estimates and actual results could differ from those estimates, and those differences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allowance for credit losses are as follows:</w:t>
      </w:r>
    </w:p>
    <w:p>
      <w:pPr>
        <w:pStyle w:val="TextBody"/>
        <w:bidi w:val="0"/>
        <w:spacing w:before="0" w:after="0"/>
        <w:ind w:left="0" w:right="0" w:hanging="0"/>
        <w:jc w:val="both"/>
        <w:rPr>
          <w:caps w:val="false"/>
          <w:smallCaps w:val="false"/>
        </w:rPr>
      </w:pPr>
      <w:r>
        <w:rPr>
          <w:caps w:val="false"/>
          <w:smallCaps w:val="false"/>
        </w:rPr>
        <w:t>  </w:t>
      </w:r>
    </w:p>
    <w:tbl>
      <w:tblPr>
        <w:tblW w:w="4754" w:type="dxa"/>
        <w:jc w:val="left"/>
        <w:tblInd w:w="0" w:type="dxa"/>
        <w:tblLayout w:type="fixed"/>
        <w:tblCellMar>
          <w:top w:w="0" w:type="dxa"/>
          <w:left w:w="0" w:type="dxa"/>
          <w:bottom w:w="0" w:type="dxa"/>
          <w:right w:w="0" w:type="dxa"/>
        </w:tblCellMar>
      </w:tblPr>
      <w:tblGrid>
        <w:gridCol w:w="3200"/>
        <w:gridCol w:w="90"/>
        <w:gridCol w:w="204"/>
        <w:gridCol w:w="1090"/>
        <w:gridCol w:w="170"/>
      </w:tblGrid>
      <w:tr>
        <w:trPr/>
        <w:tc>
          <w:tcPr>
            <w:tcW w:w="320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September 30, </w:t>
              <w:br/>
              <w:t>2025</w:t>
            </w:r>
          </w:p>
        </w:tc>
        <w:tc>
          <w:tcPr>
            <w:tcW w:w="170"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9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Balance at December 31, 2024</w:t>
            </w:r>
          </w:p>
        </w:tc>
        <w:tc>
          <w:tcPr>
            <w:tcW w:w="9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right"/>
              <w:rPr/>
            </w:pPr>
            <w:r>
              <w:rPr/>
              <w:t>149,720</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200" w:type="dxa"/>
            <w:tcBorders/>
            <w:vAlign w:val="center"/>
          </w:tcPr>
          <w:p>
            <w:pPr>
              <w:pStyle w:val="TableContents"/>
              <w:bidi w:val="0"/>
              <w:spacing w:before="0" w:after="283"/>
              <w:jc w:val="left"/>
              <w:rPr/>
            </w:pPr>
            <w:r>
              <w:rPr/>
              <w:t>Provision for expected credit loss</w:t>
            </w:r>
          </w:p>
        </w:tc>
        <w:tc>
          <w:tcPr>
            <w:tcW w:w="9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right"/>
              <w:rPr/>
            </w:pPr>
            <w:r>
              <w:rPr/>
              <w:t>795,900</w:t>
            </w:r>
          </w:p>
        </w:tc>
        <w:tc>
          <w:tcPr>
            <w:tcW w:w="170" w:type="dxa"/>
            <w:tcBorders/>
            <w:vAlign w:val="center"/>
          </w:tcPr>
          <w:p>
            <w:pPr>
              <w:pStyle w:val="TableContents"/>
              <w:bidi w:val="0"/>
              <w:spacing w:before="0" w:after="283"/>
              <w:ind w:left="0" w:right="0" w:hanging="180"/>
              <w:jc w:val="left"/>
              <w:rPr/>
            </w:pPr>
            <w:r>
              <w:rPr/>
              <w:t> </w:t>
            </w:r>
          </w:p>
        </w:tc>
      </w:tr>
      <w:tr>
        <w:trPr/>
        <w:tc>
          <w:tcPr>
            <w:tcW w:w="3200" w:type="dxa"/>
            <w:tcBorders/>
            <w:shd w:fill="CCEEFF" w:val="clear"/>
            <w:vAlign w:val="center"/>
          </w:tcPr>
          <w:p>
            <w:pPr>
              <w:pStyle w:val="TableContents"/>
              <w:bidi w:val="0"/>
              <w:spacing w:before="0" w:after="283"/>
              <w:jc w:val="left"/>
              <w:rPr/>
            </w:pPr>
            <w:r>
              <w:rPr/>
              <w:t>Credit loss write-offs</w:t>
            </w:r>
          </w:p>
        </w:tc>
        <w:tc>
          <w:tcPr>
            <w:tcW w:w="90" w:type="dxa"/>
            <w:tcBorders/>
            <w:shd w:fill="CCEEFF" w:val="clear"/>
            <w:vAlign w:val="center"/>
          </w:tcPr>
          <w:p>
            <w:pPr>
              <w:pStyle w:val="TableContents"/>
              <w:bidi w:val="0"/>
              <w:spacing w:before="0" w:after="283"/>
              <w:jc w:val="left"/>
              <w:rPr/>
            </w:pPr>
            <w:r>
              <w:rPr/>
              <w:t> </w:t>
            </w:r>
          </w:p>
        </w:tc>
        <w:tc>
          <w:tcPr>
            <w:tcW w:w="2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90" w:type="dxa"/>
            <w:tcBorders>
              <w:bottom w:val="single" w:sz="12" w:space="0" w:color="000000"/>
            </w:tcBorders>
            <w:shd w:fill="CCEEFF" w:val="clear"/>
            <w:tcMar>
              <w:bottom w:w="28" w:type="dxa"/>
            </w:tcMar>
            <w:vAlign w:val="center"/>
          </w:tcPr>
          <w:p>
            <w:pPr>
              <w:pStyle w:val="TableContents"/>
              <w:bidi w:val="0"/>
              <w:spacing w:before="0" w:after="283"/>
              <w:jc w:val="right"/>
              <w:rPr/>
            </w:pPr>
            <w:r>
              <w:rPr/>
              <w:t>(896,620</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200" w:type="dxa"/>
            <w:tcBorders/>
            <w:vAlign w:val="center"/>
          </w:tcPr>
          <w:p>
            <w:pPr>
              <w:pStyle w:val="TableContents"/>
              <w:bidi w:val="0"/>
              <w:spacing w:before="0" w:after="283"/>
              <w:jc w:val="left"/>
              <w:rPr/>
            </w:pPr>
            <w:r>
              <w:rPr/>
              <w:t>Balance at September 30, 2025</w:t>
            </w:r>
          </w:p>
        </w:tc>
        <w:tc>
          <w:tcPr>
            <w:tcW w:w="90" w:type="dxa"/>
            <w:tcBorders/>
            <w:vAlign w:val="center"/>
          </w:tcPr>
          <w:p>
            <w:pPr>
              <w:pStyle w:val="TableContents"/>
              <w:bidi w:val="0"/>
              <w:spacing w:before="0" w:after="283"/>
              <w:jc w:val="left"/>
              <w:rPr/>
            </w:pPr>
            <w:r>
              <w:rPr/>
              <w:t> </w:t>
            </w:r>
          </w:p>
        </w:tc>
        <w:tc>
          <w:tcPr>
            <w:tcW w:w="204" w:type="dxa"/>
            <w:tcBorders>
              <w:bottom w:val="double" w:sz="10" w:space="0" w:color="000000"/>
            </w:tcBorders>
            <w:tcMar>
              <w:bottom w:w="28" w:type="dxa"/>
            </w:tcMar>
            <w:vAlign w:val="center"/>
          </w:tcPr>
          <w:p>
            <w:pPr>
              <w:pStyle w:val="TableContents"/>
              <w:bidi w:val="0"/>
              <w:spacing w:before="0" w:after="283"/>
              <w:jc w:val="left"/>
              <w:rPr/>
            </w:pPr>
            <w:r>
              <w:rPr/>
              <w:t>$</w:t>
            </w:r>
          </w:p>
        </w:tc>
        <w:tc>
          <w:tcPr>
            <w:tcW w:w="1090" w:type="dxa"/>
            <w:tcBorders>
              <w:bottom w:val="double" w:sz="10" w:space="0" w:color="000000"/>
            </w:tcBorders>
            <w:tcMar>
              <w:bottom w:w="28" w:type="dxa"/>
            </w:tcMar>
            <w:vAlign w:val="center"/>
          </w:tcPr>
          <w:p>
            <w:pPr>
              <w:pStyle w:val="TableContents"/>
              <w:bidi w:val="0"/>
              <w:spacing w:before="0" w:after="283"/>
              <w:jc w:val="right"/>
              <w:rPr/>
            </w:pPr>
            <w:r>
              <w:rPr/>
              <w:t>49,000</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Concentration of Risks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financial instruments that are exposed to concentration of credit risks consist primarily of cash and accounts receivable. The Company’s cash at times may exceed the Federal Depository Insurance coverage of $250,000.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two customers accounted for 75% of the Company’s gross accounts receivable. As of December 31, 2024, three customers accounted for 49% of the Company’s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revenue is also exposed to concentration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2025, one customer represented 48%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2025, two customers represented  47%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2024, two customers represented 64%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September 30, 2024, two customers represented 74% of gross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three customers accounted for 85% of the Company’s Remaining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one customer accounted for 70% of the Company’s Remaining Performance Obligation.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Deferred Contract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defer the portion of sales commission that is considered a cost of obtaining a new contract with a customer and amortize these deferred costs over the period of benefit. We expense the remaining sales commissions as incurred. Reversals recorded in the nine months ended September 30, 2025 reflect commission claw-backs for certain bookings that were adjusted in the quarter, per our corporate policy. The following table summarizes deferred contract cost activity for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5060" w:type="dxa"/>
        <w:jc w:val="left"/>
        <w:tblInd w:w="0" w:type="dxa"/>
        <w:tblLayout w:type="fixed"/>
        <w:tblCellMar>
          <w:top w:w="0" w:type="dxa"/>
          <w:left w:w="0" w:type="dxa"/>
          <w:bottom w:w="0" w:type="dxa"/>
          <w:right w:w="0" w:type="dxa"/>
        </w:tblCellMar>
      </w:tblPr>
      <w:tblGrid>
        <w:gridCol w:w="3725"/>
        <w:gridCol w:w="90"/>
        <w:gridCol w:w="170"/>
        <w:gridCol w:w="905"/>
        <w:gridCol w:w="170"/>
      </w:tblGrid>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center"/>
              <w:rPr>
                <w:b/>
              </w:rPr>
            </w:pPr>
            <w:r>
              <w:rPr>
                <w:b/>
              </w:rPr>
              <w:t>Deferred</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Contract</w:t>
              <w:br/>
              <w:t>Costs</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7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pPr>
            <w:r>
              <w:rPr/>
              <w:t>Carrying Value at December 31, 2024</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905" w:type="dxa"/>
            <w:tcBorders/>
            <w:shd w:fill="CCEEFF" w:val="clear"/>
            <w:vAlign w:val="center"/>
          </w:tcPr>
          <w:p>
            <w:pPr>
              <w:pStyle w:val="TableContents"/>
              <w:bidi w:val="0"/>
              <w:spacing w:before="0" w:after="283"/>
              <w:jc w:val="right"/>
              <w:rPr/>
            </w:pPr>
            <w:r>
              <w:rPr/>
              <w:t>617,918</w:t>
            </w:r>
          </w:p>
        </w:tc>
        <w:tc>
          <w:tcPr>
            <w:tcW w:w="170" w:type="dxa"/>
            <w:tcBorders/>
            <w:shd w:fill="CCEEFF" w:val="clear"/>
            <w:vAlign w:val="center"/>
          </w:tcPr>
          <w:p>
            <w:pPr>
              <w:pStyle w:val="TableContents"/>
              <w:bidi w:val="0"/>
              <w:spacing w:before="0" w:after="283"/>
              <w:ind w:left="0" w:right="0" w:hanging="180"/>
              <w:jc w:val="left"/>
              <w:rPr/>
            </w:pPr>
            <w:r>
              <w:rPr/>
              <w:t> </w:t>
            </w:r>
          </w:p>
        </w:tc>
      </w:tr>
      <w:tr>
        <w:trPr/>
        <w:tc>
          <w:tcPr>
            <w:tcW w:w="372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right"/>
              <w:rPr/>
            </w:pPr>
            <w:r>
              <w:rPr/>
              <w:t>125,540</w:t>
            </w:r>
          </w:p>
        </w:tc>
        <w:tc>
          <w:tcPr>
            <w:tcW w:w="170" w:type="dxa"/>
            <w:tcBorders/>
            <w:vAlign w:val="center"/>
          </w:tcPr>
          <w:p>
            <w:pPr>
              <w:pStyle w:val="TableContents"/>
              <w:bidi w:val="0"/>
              <w:spacing w:before="0" w:after="283"/>
              <w:ind w:left="0" w:right="0" w:hanging="180"/>
              <w:jc w:val="left"/>
              <w:rPr/>
            </w:pPr>
            <w:r>
              <w:rPr/>
              <w:t> </w:t>
            </w:r>
          </w:p>
        </w:tc>
      </w:tr>
      <w:tr>
        <w:trPr/>
        <w:tc>
          <w:tcPr>
            <w:tcW w:w="3725" w:type="dxa"/>
            <w:tcBorders/>
            <w:shd w:fill="CCEEFF" w:val="clear"/>
            <w:vAlign w:val="center"/>
          </w:tcPr>
          <w:p>
            <w:pPr>
              <w:pStyle w:val="TableContents"/>
              <w:bidi w:val="0"/>
              <w:spacing w:before="0" w:after="283"/>
              <w:jc w:val="left"/>
              <w:rPr/>
            </w:pPr>
            <w:r>
              <w:rPr/>
              <w:t>Reductions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right"/>
              <w:rPr/>
            </w:pPr>
            <w:r>
              <w:rPr/>
              <w:t>(455,072</w:t>
            </w:r>
          </w:p>
        </w:tc>
        <w:tc>
          <w:tcPr>
            <w:tcW w:w="170" w:type="dxa"/>
            <w:tcBorders/>
            <w:shd w:fill="CCEEFF" w:val="clear"/>
            <w:vAlign w:val="center"/>
          </w:tcPr>
          <w:p>
            <w:pPr>
              <w:pStyle w:val="TableContents"/>
              <w:bidi w:val="0"/>
              <w:spacing w:before="0" w:after="283"/>
              <w:ind w:left="0" w:right="0" w:hanging="180"/>
              <w:jc w:val="left"/>
              <w:rPr/>
            </w:pPr>
            <w:r>
              <w:rPr/>
              <w:t>)</w:t>
            </w:r>
          </w:p>
        </w:tc>
      </w:tr>
      <w:tr>
        <w:trPr/>
        <w:tc>
          <w:tcPr>
            <w:tcW w:w="3725" w:type="dxa"/>
            <w:tcBorders/>
            <w:vAlign w:val="center"/>
          </w:tcPr>
          <w:p>
            <w:pPr>
              <w:pStyle w:val="TableContents"/>
              <w:bidi w:val="0"/>
              <w:spacing w:before="0" w:after="283"/>
              <w:jc w:val="left"/>
              <w:rPr/>
            </w:pPr>
            <w:r>
              <w:rPr/>
              <w:t>Amortization</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905" w:type="dxa"/>
            <w:tcBorders>
              <w:bottom w:val="single" w:sz="12" w:space="0" w:color="000000"/>
            </w:tcBorders>
            <w:tcMar>
              <w:bottom w:w="28" w:type="dxa"/>
            </w:tcMar>
            <w:vAlign w:val="center"/>
          </w:tcPr>
          <w:p>
            <w:pPr>
              <w:pStyle w:val="TableContents"/>
              <w:bidi w:val="0"/>
              <w:spacing w:before="0" w:after="283"/>
              <w:jc w:val="right"/>
              <w:rPr/>
            </w:pPr>
            <w:r>
              <w:rPr/>
              <w:t>(57,842</w:t>
            </w:r>
          </w:p>
        </w:tc>
        <w:tc>
          <w:tcPr>
            <w:tcW w:w="170" w:type="dxa"/>
            <w:tcBorders/>
            <w:vAlign w:val="center"/>
          </w:tcPr>
          <w:p>
            <w:pPr>
              <w:pStyle w:val="TableContents"/>
              <w:bidi w:val="0"/>
              <w:spacing w:before="0" w:after="283"/>
              <w:ind w:left="0" w:right="0" w:hanging="180"/>
              <w:jc w:val="left"/>
              <w:rPr/>
            </w:pPr>
            <w:r>
              <w:rPr/>
              <w:t>)</w:t>
            </w:r>
          </w:p>
        </w:tc>
      </w:tr>
      <w:tr>
        <w:trPr/>
        <w:tc>
          <w:tcPr>
            <w:tcW w:w="3725" w:type="dxa"/>
            <w:tcBorders/>
            <w:shd w:fill="CCEEFF" w:val="clear"/>
            <w:vAlign w:val="center"/>
          </w:tcPr>
          <w:p>
            <w:pPr>
              <w:pStyle w:val="TableContents"/>
              <w:bidi w:val="0"/>
              <w:spacing w:before="0" w:after="283"/>
              <w:jc w:val="left"/>
              <w:rPr/>
            </w:pPr>
            <w:r>
              <w:rPr/>
              <w:t>Carrying Value at September 30, 2025</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905" w:type="dxa"/>
            <w:tcBorders>
              <w:bottom w:val="double" w:sz="10" w:space="0" w:color="000000"/>
            </w:tcBorders>
            <w:shd w:fill="CCEEFF" w:val="clear"/>
            <w:tcMar>
              <w:bottom w:w="28" w:type="dxa"/>
            </w:tcMar>
            <w:vAlign w:val="center"/>
          </w:tcPr>
          <w:p>
            <w:pPr>
              <w:pStyle w:val="TableContents"/>
              <w:bidi w:val="0"/>
              <w:spacing w:before="0" w:after="283"/>
              <w:jc w:val="right"/>
              <w:rPr/>
            </w:pPr>
            <w:r>
              <w:rPr/>
              <w:t>230,544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OTHER CURRENT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current assets consisted of the following at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7633" w:type="dxa"/>
        <w:jc w:val="left"/>
        <w:tblInd w:w="0" w:type="dxa"/>
        <w:tblLayout w:type="fixed"/>
        <w:tblCellMar>
          <w:top w:w="0" w:type="dxa"/>
          <w:left w:w="0" w:type="dxa"/>
          <w:bottom w:w="0" w:type="dxa"/>
          <w:right w:w="0" w:type="dxa"/>
        </w:tblCellMar>
      </w:tblPr>
      <w:tblGrid>
        <w:gridCol w:w="4280"/>
        <w:gridCol w:w="90"/>
        <w:gridCol w:w="255"/>
        <w:gridCol w:w="1249"/>
        <w:gridCol w:w="90"/>
        <w:gridCol w:w="90"/>
        <w:gridCol w:w="245"/>
        <w:gridCol w:w="1199"/>
        <w:gridCol w:w="135"/>
      </w:tblGrid>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Prepaid third-party and related party services</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249" w:type="dxa"/>
            <w:tcBorders/>
            <w:shd w:fill="CCEEFF" w:val="clear"/>
            <w:vAlign w:val="center"/>
          </w:tcPr>
          <w:p>
            <w:pPr>
              <w:pStyle w:val="TableContents"/>
              <w:bidi w:val="0"/>
              <w:spacing w:before="0" w:after="283"/>
              <w:jc w:val="right"/>
              <w:rPr/>
            </w:pPr>
            <w:r>
              <w:rPr/>
              <w:t>263,739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141,002</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Prepaid insurance</w:t>
            </w:r>
          </w:p>
        </w:tc>
        <w:tc>
          <w:tcPr>
            <w:tcW w:w="90"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1249" w:type="dxa"/>
            <w:tcBorders/>
            <w:vAlign w:val="center"/>
          </w:tcPr>
          <w:p>
            <w:pPr>
              <w:pStyle w:val="TableContents"/>
              <w:bidi w:val="0"/>
              <w:spacing w:before="0" w:after="283"/>
              <w:jc w:val="right"/>
              <w:rPr/>
            </w:pPr>
            <w:r>
              <w:rPr/>
              <w:t>369,221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319,190</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Recoverable incentive compensation</w:t>
            </w:r>
          </w:p>
        </w:tc>
        <w:tc>
          <w:tcPr>
            <w:tcW w:w="9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249" w:type="dxa"/>
            <w:tcBorders/>
            <w:shd w:fill="CCEEFF" w:val="clear"/>
            <w:vAlign w:val="center"/>
          </w:tcPr>
          <w:p>
            <w:pPr>
              <w:pStyle w:val="TableContents"/>
              <w:bidi w:val="0"/>
              <w:spacing w:before="0" w:after="283"/>
              <w:jc w:val="right"/>
              <w:rPr/>
            </w:pPr>
            <w:r>
              <w:rPr/>
              <w:t>230,000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4280" w:type="dxa"/>
            <w:tcBorders/>
            <w:vAlign w:val="center"/>
          </w:tcPr>
          <w:p>
            <w:pPr>
              <w:pStyle w:val="TableContents"/>
              <w:bidi w:val="0"/>
              <w:spacing w:before="0" w:after="283"/>
              <w:jc w:val="left"/>
              <w:rPr/>
            </w:pPr>
            <w:r>
              <w:rPr/>
              <w:t>Commissions advances</w:t>
            </w:r>
          </w:p>
        </w:tc>
        <w:tc>
          <w:tcPr>
            <w:tcW w:w="90" w:type="dxa"/>
            <w:tcBorders/>
            <w:vAlign w:val="center"/>
          </w:tcPr>
          <w:p>
            <w:pPr>
              <w:pStyle w:val="TableContents"/>
              <w:bidi w:val="0"/>
              <w:spacing w:before="0" w:after="283"/>
              <w:jc w:val="left"/>
              <w:rPr/>
            </w:pPr>
            <w:r>
              <w:rPr/>
              <w:t> </w:t>
            </w:r>
          </w:p>
        </w:tc>
        <w:tc>
          <w:tcPr>
            <w:tcW w:w="255" w:type="dxa"/>
            <w:tcBorders>
              <w:bottom w:val="single" w:sz="12" w:space="0" w:color="000000"/>
            </w:tcBorders>
            <w:tcMar>
              <w:bottom w:w="28" w:type="dxa"/>
            </w:tcMar>
            <w:vAlign w:val="center"/>
          </w:tcPr>
          <w:p>
            <w:pPr>
              <w:pStyle w:val="TableContents"/>
              <w:bidi w:val="0"/>
              <w:spacing w:before="0" w:after="283"/>
              <w:jc w:val="left"/>
              <w:rPr/>
            </w:pPr>
            <w:r>
              <w:rPr/>
              <w:t> </w:t>
            </w:r>
          </w:p>
        </w:tc>
        <w:tc>
          <w:tcPr>
            <w:tcW w:w="1249" w:type="dxa"/>
            <w:tcBorders>
              <w:bottom w:val="single" w:sz="12" w:space="0" w:color="000000"/>
            </w:tcBorders>
            <w:tcMar>
              <w:bottom w:w="28" w:type="dxa"/>
            </w:tcMar>
            <w:vAlign w:val="center"/>
          </w:tcPr>
          <w:p>
            <w:pPr>
              <w:pStyle w:val="TableContents"/>
              <w:bidi w:val="0"/>
              <w:spacing w:before="0" w:after="283"/>
              <w:jc w:val="right"/>
              <w:rPr/>
            </w:pPr>
            <w:r>
              <w:rPr/>
              <w:t>121,392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5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49" w:type="dxa"/>
            <w:tcBorders>
              <w:bottom w:val="double" w:sz="10" w:space="0" w:color="000000"/>
            </w:tcBorders>
            <w:shd w:fill="CCEEFF" w:val="clear"/>
            <w:tcMar>
              <w:bottom w:w="28" w:type="dxa"/>
            </w:tcMar>
            <w:vAlign w:val="center"/>
          </w:tcPr>
          <w:p>
            <w:pPr>
              <w:pStyle w:val="TableContents"/>
              <w:bidi w:val="0"/>
              <w:spacing w:before="0" w:after="283"/>
              <w:jc w:val="right"/>
              <w:rPr/>
            </w:pPr>
            <w:r>
              <w:rPr/>
              <w:t>984,352</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460,192</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Recoverable incentive compensation relates to recovery of approximately $230,000 in incentive payments made in prior periods that have subsequently been reduced based on adjustments to internal performance metrics. The recovery is expected to be made by December 2025 and the receivable is recorded as an asset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INTANGIBLE ASSETS, NET (OTHER THAN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primarily consist of acquired and developed software that is being amortized over their estimated useful lives as indicated below. The following is a summary of activity related to intangible assets for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7874" w:type="dxa"/>
        <w:jc w:val="left"/>
        <w:tblInd w:w="0" w:type="dxa"/>
        <w:tblLayout w:type="fixed"/>
        <w:tblCellMar>
          <w:top w:w="0" w:type="dxa"/>
          <w:left w:w="0" w:type="dxa"/>
          <w:bottom w:w="0" w:type="dxa"/>
          <w:right w:w="0" w:type="dxa"/>
        </w:tblCellMar>
      </w:tblPr>
      <w:tblGrid>
        <w:gridCol w:w="3725"/>
        <w:gridCol w:w="90"/>
        <w:gridCol w:w="258"/>
        <w:gridCol w:w="1201"/>
        <w:gridCol w:w="125"/>
        <w:gridCol w:w="90"/>
        <w:gridCol w:w="170"/>
        <w:gridCol w:w="830"/>
        <w:gridCol w:w="125"/>
        <w:gridCol w:w="90"/>
        <w:gridCol w:w="170"/>
        <w:gridCol w:w="830"/>
        <w:gridCol w:w="170"/>
      </w:tblGrid>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Useful Lives</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 Years</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Carrying Value at December 31, 2024</w:t>
            </w:r>
          </w:p>
        </w:tc>
        <w:tc>
          <w:tcPr>
            <w:tcW w:w="90" w:type="dxa"/>
            <w:tcBorders/>
            <w:shd w:fill="CCEEFF" w:val="clear"/>
            <w:vAlign w:val="center"/>
          </w:tcPr>
          <w:p>
            <w:pPr>
              <w:pStyle w:val="TableContents"/>
              <w:bidi w:val="0"/>
              <w:spacing w:before="0" w:after="283"/>
              <w:jc w:val="left"/>
              <w:rPr/>
            </w:pPr>
            <w:r>
              <w:rPr/>
              <w:t> </w:t>
            </w:r>
          </w:p>
        </w:tc>
        <w:tc>
          <w:tcPr>
            <w:tcW w:w="258" w:type="dxa"/>
            <w:tcBorders/>
            <w:shd w:fill="CCEEFF" w:val="clear"/>
            <w:vAlign w:val="center"/>
          </w:tcPr>
          <w:p>
            <w:pPr>
              <w:pStyle w:val="TableContents"/>
              <w:bidi w:val="0"/>
              <w:spacing w:before="0" w:after="283"/>
              <w:jc w:val="left"/>
              <w:rPr/>
            </w:pPr>
            <w:r>
              <w:rPr/>
              <w:t>$</w:t>
            </w:r>
          </w:p>
        </w:tc>
        <w:tc>
          <w:tcPr>
            <w:tcW w:w="1201" w:type="dxa"/>
            <w:tcBorders/>
            <w:shd w:fill="CCEEFF" w:val="clear"/>
            <w:vAlign w:val="center"/>
          </w:tcPr>
          <w:p>
            <w:pPr>
              <w:pStyle w:val="TableContents"/>
              <w:bidi w:val="0"/>
              <w:spacing w:before="0" w:after="283"/>
              <w:jc w:val="right"/>
              <w:rPr/>
            </w:pPr>
            <w:r>
              <w:rPr/>
              <w:t>99,819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113,899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213,718</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Additions</w:t>
            </w:r>
          </w:p>
        </w:tc>
        <w:tc>
          <w:tcPr>
            <w:tcW w:w="90"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0"/>
              <w:jc w:val="right"/>
              <w:rPr/>
            </w:pPr>
            <w:r>
              <w:rPr/>
              <w:t>-</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1,700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1,700</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Amortization</w:t>
            </w:r>
          </w:p>
        </w:tc>
        <w:tc>
          <w:tcPr>
            <w:tcW w:w="90" w:type="dxa"/>
            <w:tcBorders/>
            <w:shd w:fill="CCEEFF" w:val="clear"/>
            <w:vAlign w:val="center"/>
          </w:tcPr>
          <w:p>
            <w:pPr>
              <w:pStyle w:val="TableContents"/>
              <w:bidi w:val="0"/>
              <w:spacing w:before="0" w:after="283"/>
              <w:jc w:val="left"/>
              <w:rPr/>
            </w:pPr>
            <w:r>
              <w:rPr/>
              <w:t> </w:t>
            </w:r>
          </w:p>
        </w:tc>
        <w:tc>
          <w:tcPr>
            <w:tcW w:w="258"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1" w:type="dxa"/>
            <w:tcBorders>
              <w:bottom w:val="single" w:sz="12" w:space="0" w:color="000000"/>
            </w:tcBorders>
            <w:shd w:fill="CCEEFF" w:val="clear"/>
            <w:tcMar>
              <w:bottom w:w="28" w:type="dxa"/>
            </w:tcMar>
            <w:vAlign w:val="center"/>
          </w:tcPr>
          <w:p>
            <w:pPr>
              <w:pStyle w:val="TableContents"/>
              <w:bidi w:val="0"/>
              <w:spacing w:before="0" w:after="283"/>
              <w:jc w:val="right"/>
              <w:rPr/>
            </w:pPr>
            <w:r>
              <w:rPr/>
              <w:t>(62,713</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(13,762</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shd w:fill="CCEEFF" w:val="clear"/>
            <w:tcMar>
              <w:bottom w:w="28" w:type="dxa"/>
            </w:tcMar>
            <w:vAlign w:val="center"/>
          </w:tcPr>
          <w:p>
            <w:pPr>
              <w:pStyle w:val="TableContents"/>
              <w:bidi w:val="0"/>
              <w:spacing w:before="0" w:after="283"/>
              <w:jc w:val="right"/>
              <w:rPr/>
            </w:pPr>
            <w:r>
              <w:rPr/>
              <w:t>(76,475</w:t>
            </w:r>
          </w:p>
        </w:tc>
        <w:tc>
          <w:tcPr>
            <w:tcW w:w="170" w:type="dxa"/>
            <w:tcBorders/>
            <w:shd w:fill="CCEEFF" w:val="clear"/>
            <w:vAlign w:val="center"/>
          </w:tcPr>
          <w:p>
            <w:pPr>
              <w:pStyle w:val="TableContents"/>
              <w:bidi w:val="0"/>
              <w:spacing w:before="0" w:after="283"/>
              <w:jc w:val="left"/>
              <w:rPr/>
            </w:pPr>
            <w:r>
              <w:rPr/>
              <w:t>)</w:t>
            </w:r>
          </w:p>
        </w:tc>
      </w:tr>
      <w:tr>
        <w:trPr/>
        <w:tc>
          <w:tcPr>
            <w:tcW w:w="3725" w:type="dxa"/>
            <w:tcBorders/>
            <w:vAlign w:val="center"/>
          </w:tcPr>
          <w:p>
            <w:pPr>
              <w:pStyle w:val="TableContents"/>
              <w:bidi w:val="0"/>
              <w:spacing w:before="0" w:after="283"/>
              <w:jc w:val="left"/>
              <w:rPr/>
            </w:pPr>
            <w:r>
              <w:rPr/>
              <w:t>Carrying Value at September 30, 2025</w:t>
            </w:r>
          </w:p>
        </w:tc>
        <w:tc>
          <w:tcPr>
            <w:tcW w:w="90" w:type="dxa"/>
            <w:tcBorders/>
            <w:vAlign w:val="center"/>
          </w:tcPr>
          <w:p>
            <w:pPr>
              <w:pStyle w:val="TableContents"/>
              <w:bidi w:val="0"/>
              <w:spacing w:before="0" w:after="283"/>
              <w:jc w:val="left"/>
              <w:rPr/>
            </w:pPr>
            <w:r>
              <w:rPr/>
              <w:t> </w:t>
            </w:r>
          </w:p>
        </w:tc>
        <w:tc>
          <w:tcPr>
            <w:tcW w:w="258" w:type="dxa"/>
            <w:tcBorders>
              <w:bottom w:val="double" w:sz="10" w:space="0" w:color="000000"/>
            </w:tcBorders>
            <w:tcMar>
              <w:bottom w:w="28" w:type="dxa"/>
            </w:tcMar>
            <w:vAlign w:val="center"/>
          </w:tcPr>
          <w:p>
            <w:pPr>
              <w:pStyle w:val="TableContents"/>
              <w:bidi w:val="0"/>
              <w:spacing w:before="0" w:after="283"/>
              <w:jc w:val="left"/>
              <w:rPr/>
            </w:pPr>
            <w:r>
              <w:rPr/>
              <w:t>$</w:t>
            </w:r>
          </w:p>
        </w:tc>
        <w:tc>
          <w:tcPr>
            <w:tcW w:w="1201" w:type="dxa"/>
            <w:tcBorders>
              <w:bottom w:val="double" w:sz="10" w:space="0" w:color="000000"/>
            </w:tcBorders>
            <w:tcMar>
              <w:bottom w:w="28" w:type="dxa"/>
            </w:tcMar>
            <w:vAlign w:val="center"/>
          </w:tcPr>
          <w:p>
            <w:pPr>
              <w:pStyle w:val="TableContents"/>
              <w:bidi w:val="0"/>
              <w:spacing w:before="0" w:after="283"/>
              <w:jc w:val="right"/>
              <w:rPr/>
            </w:pPr>
            <w:r>
              <w:rPr/>
              <w:t>37,106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101,837</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tcMar>
              <w:bottom w:w="28" w:type="dxa"/>
            </w:tcMar>
            <w:vAlign w:val="center"/>
          </w:tcPr>
          <w:p>
            <w:pPr>
              <w:pStyle w:val="TableContents"/>
              <w:bidi w:val="0"/>
              <w:spacing w:before="0" w:after="283"/>
              <w:jc w:val="right"/>
              <w:rPr/>
            </w:pPr>
            <w:r>
              <w:rPr/>
              <w:t>138,943</w:t>
            </w:r>
          </w:p>
        </w:tc>
        <w:tc>
          <w:tcPr>
            <w:tcW w:w="1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intangible assets as of September 30, 2025:</w:t>
      </w:r>
    </w:p>
    <w:p>
      <w:pPr>
        <w:pStyle w:val="TextBody"/>
        <w:bidi w:val="0"/>
        <w:spacing w:before="0" w:after="0"/>
        <w:ind w:left="0" w:right="0" w:hanging="0"/>
        <w:jc w:val="left"/>
        <w:rPr>
          <w:caps w:val="false"/>
          <w:smallCaps w:val="false"/>
        </w:rPr>
      </w:pPr>
      <w:r>
        <w:rPr>
          <w:caps w:val="false"/>
          <w:smallCaps w:val="false"/>
        </w:rPr>
        <w:t> </w:t>
      </w:r>
    </w:p>
    <w:tbl>
      <w:tblPr>
        <w:tblW w:w="8129" w:type="dxa"/>
        <w:jc w:val="left"/>
        <w:tblInd w:w="0" w:type="dxa"/>
        <w:tblLayout w:type="fixed"/>
        <w:tblCellMar>
          <w:top w:w="0" w:type="dxa"/>
          <w:left w:w="0" w:type="dxa"/>
          <w:bottom w:w="0" w:type="dxa"/>
          <w:right w:w="0" w:type="dxa"/>
        </w:tblCellMar>
      </w:tblPr>
      <w:tblGrid>
        <w:gridCol w:w="3725"/>
        <w:gridCol w:w="90"/>
        <w:gridCol w:w="197"/>
        <w:gridCol w:w="1262"/>
        <w:gridCol w:w="125"/>
        <w:gridCol w:w="90"/>
        <w:gridCol w:w="170"/>
        <w:gridCol w:w="830"/>
        <w:gridCol w:w="125"/>
        <w:gridCol w:w="90"/>
        <w:gridCol w:w="170"/>
        <w:gridCol w:w="1085"/>
        <w:gridCol w:w="170"/>
      </w:tblGrid>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Acquired and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center"/>
              <w:rPr>
                <w:b/>
              </w:rPr>
            </w:pPr>
            <w:r>
              <w:rPr>
                <w:b/>
              </w:rPr>
              <w:t>Developed</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center"/>
              <w:rPr/>
            </w:pPr>
            <w:r>
              <w:rPr/>
              <w:t> </w:t>
            </w:r>
          </w:p>
        </w:tc>
        <w:tc>
          <w:tcPr>
            <w:tcW w:w="17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Software</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0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Patents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17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283"/>
              <w:jc w:val="left"/>
              <w:rPr/>
            </w:pPr>
            <w:r>
              <w:rPr/>
              <w:t>Cost</w:t>
            </w:r>
          </w:p>
        </w:tc>
        <w:tc>
          <w:tcPr>
            <w:tcW w:w="9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w:t>
            </w:r>
          </w:p>
        </w:tc>
        <w:tc>
          <w:tcPr>
            <w:tcW w:w="1262" w:type="dxa"/>
            <w:tcBorders/>
            <w:shd w:fill="CCEEFF" w:val="clear"/>
            <w:vAlign w:val="center"/>
          </w:tcPr>
          <w:p>
            <w:pPr>
              <w:pStyle w:val="TableContents"/>
              <w:bidi w:val="0"/>
              <w:spacing w:before="0" w:after="283"/>
              <w:jc w:val="right"/>
              <w:rPr/>
            </w:pPr>
            <w:r>
              <w:rPr/>
              <w:t>1,782,872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185,596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1,968,468</w:t>
            </w:r>
          </w:p>
        </w:tc>
        <w:tc>
          <w:tcPr>
            <w:tcW w:w="170" w:type="dxa"/>
            <w:tcBorders/>
            <w:shd w:fill="CCEEFF" w:val="clear"/>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283"/>
              <w:jc w:val="left"/>
              <w:rPr/>
            </w:pPr>
            <w:r>
              <w:rPr/>
              <w:t>Accumulated amortization</w:t>
            </w:r>
          </w:p>
        </w:tc>
        <w:tc>
          <w:tcPr>
            <w:tcW w:w="90" w:type="dxa"/>
            <w:tcBorders/>
            <w:vAlign w:val="center"/>
          </w:tcPr>
          <w:p>
            <w:pPr>
              <w:pStyle w:val="TableContents"/>
              <w:bidi w:val="0"/>
              <w:spacing w:before="0" w:after="283"/>
              <w:jc w:val="left"/>
              <w:rPr/>
            </w:pPr>
            <w:r>
              <w:rPr/>
              <w:t> </w:t>
            </w:r>
          </w:p>
        </w:tc>
        <w:tc>
          <w:tcPr>
            <w:tcW w:w="197" w:type="dxa"/>
            <w:tcBorders>
              <w:bottom w:val="single" w:sz="12" w:space="0" w:color="000000"/>
            </w:tcBorders>
            <w:tcMar>
              <w:bottom w:w="28" w:type="dxa"/>
            </w:tcMar>
            <w:vAlign w:val="center"/>
          </w:tcPr>
          <w:p>
            <w:pPr>
              <w:pStyle w:val="TableContents"/>
              <w:bidi w:val="0"/>
              <w:spacing w:before="0" w:after="283"/>
              <w:jc w:val="left"/>
              <w:rPr/>
            </w:pPr>
            <w:r>
              <w:rPr/>
              <w:t> </w:t>
            </w:r>
          </w:p>
        </w:tc>
        <w:tc>
          <w:tcPr>
            <w:tcW w:w="1262" w:type="dxa"/>
            <w:tcBorders>
              <w:bottom w:val="single" w:sz="12" w:space="0" w:color="000000"/>
            </w:tcBorders>
            <w:tcMar>
              <w:bottom w:w="28" w:type="dxa"/>
            </w:tcMar>
            <w:vAlign w:val="center"/>
          </w:tcPr>
          <w:p>
            <w:pPr>
              <w:pStyle w:val="TableContents"/>
              <w:bidi w:val="0"/>
              <w:spacing w:before="0" w:after="283"/>
              <w:jc w:val="right"/>
              <w:rPr/>
            </w:pPr>
            <w:r>
              <w:rPr/>
              <w:t>(1,745,766</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(83,759</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tcMar>
              <w:bottom w:w="28" w:type="dxa"/>
            </w:tcMar>
            <w:vAlign w:val="center"/>
          </w:tcPr>
          <w:p>
            <w:pPr>
              <w:pStyle w:val="TableContents"/>
              <w:bidi w:val="0"/>
              <w:spacing w:before="0" w:after="283"/>
              <w:jc w:val="right"/>
              <w:rPr/>
            </w:pPr>
            <w:r>
              <w:rPr/>
              <w:t>(1,829,525</w:t>
            </w:r>
          </w:p>
        </w:tc>
        <w:tc>
          <w:tcPr>
            <w:tcW w:w="170" w:type="dxa"/>
            <w:tcBorders/>
            <w:vAlign w:val="center"/>
          </w:tcPr>
          <w:p>
            <w:pPr>
              <w:pStyle w:val="TableContents"/>
              <w:bidi w:val="0"/>
              <w:spacing w:before="0" w:after="283"/>
              <w:jc w:val="left"/>
              <w:rPr/>
            </w:pPr>
            <w:r>
              <w:rPr/>
              <w:t>)</w:t>
            </w:r>
          </w:p>
        </w:tc>
      </w:tr>
      <w:tr>
        <w:trPr/>
        <w:tc>
          <w:tcPr>
            <w:tcW w:w="3725" w:type="dxa"/>
            <w:tcBorders/>
            <w:shd w:fill="CCEEFF" w:val="clear"/>
            <w:vAlign w:val="center"/>
          </w:tcPr>
          <w:p>
            <w:pPr>
              <w:pStyle w:val="TableContents"/>
              <w:bidi w:val="0"/>
              <w:spacing w:before="0" w:after="283"/>
              <w:jc w:val="left"/>
              <w:rPr/>
            </w:pPr>
            <w:r>
              <w:rPr/>
              <w:t>Carrying Value at September 30, 2025</w:t>
            </w:r>
          </w:p>
        </w:tc>
        <w:tc>
          <w:tcPr>
            <w:tcW w:w="90" w:type="dxa"/>
            <w:tcBorders/>
            <w:shd w:fill="CCEEFF" w:val="clear"/>
            <w:vAlign w:val="center"/>
          </w:tcPr>
          <w:p>
            <w:pPr>
              <w:pStyle w:val="TableContents"/>
              <w:bidi w:val="0"/>
              <w:spacing w:before="0" w:after="283"/>
              <w:jc w:val="left"/>
              <w:rPr/>
            </w:pPr>
            <w:r>
              <w:rPr/>
              <w:t> </w:t>
            </w:r>
          </w:p>
        </w:tc>
        <w:tc>
          <w:tcPr>
            <w:tcW w:w="197"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262" w:type="dxa"/>
            <w:tcBorders>
              <w:bottom w:val="double" w:sz="10" w:space="0" w:color="000000"/>
            </w:tcBorders>
            <w:shd w:fill="CCEEFF" w:val="clear"/>
            <w:tcMar>
              <w:bottom w:w="28" w:type="dxa"/>
            </w:tcMar>
            <w:vAlign w:val="center"/>
          </w:tcPr>
          <w:p>
            <w:pPr>
              <w:pStyle w:val="TableContents"/>
              <w:bidi w:val="0"/>
              <w:spacing w:before="0" w:after="283"/>
              <w:jc w:val="right"/>
              <w:rPr/>
            </w:pPr>
            <w:r>
              <w:rPr/>
              <w:t>37,106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101,837</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shd w:fill="CCEEFF" w:val="clear"/>
            <w:tcMar>
              <w:bottom w:w="28" w:type="dxa"/>
            </w:tcMar>
            <w:vAlign w:val="center"/>
          </w:tcPr>
          <w:p>
            <w:pPr>
              <w:pStyle w:val="TableContents"/>
              <w:bidi w:val="0"/>
              <w:spacing w:before="0" w:after="283"/>
              <w:jc w:val="right"/>
              <w:rPr/>
            </w:pPr>
            <w:r>
              <w:rPr/>
              <w:t>138,943</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totaled approximately $76,000 and $131,000 for the nine months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expected amortization of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2915"/>
        <w:gridCol w:w="90"/>
        <w:gridCol w:w="170"/>
        <w:gridCol w:w="830"/>
        <w:gridCol w:w="135"/>
      </w:tblGrid>
      <w:tr>
        <w:trPr/>
        <w:tc>
          <w:tcPr>
            <w:tcW w:w="2915" w:type="dxa"/>
            <w:tcBorders/>
            <w:shd w:fill="CCEEFF" w:val="clear"/>
            <w:vAlign w:val="center"/>
          </w:tcPr>
          <w:p>
            <w:pPr>
              <w:pStyle w:val="TableContents"/>
              <w:bidi w:val="0"/>
              <w:spacing w:before="0" w:after="283"/>
              <w:jc w:val="left"/>
              <w:rPr/>
            </w:pPr>
            <w:r>
              <w:rPr/>
              <w:t>2025 (Remainder of the Year)</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30" w:type="dxa"/>
            <w:tcBorders/>
            <w:shd w:fill="CCEEFF" w:val="clear"/>
            <w:vAlign w:val="center"/>
          </w:tcPr>
          <w:p>
            <w:pPr>
              <w:pStyle w:val="TableContents"/>
              <w:bidi w:val="0"/>
              <w:spacing w:before="0" w:after="283"/>
              <w:jc w:val="right"/>
              <w:rPr/>
            </w:pPr>
            <w:r>
              <w:rPr/>
              <w:t>10,824</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2026</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37,226</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2027</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30,442</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2028</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830" w:type="dxa"/>
            <w:tcBorders/>
            <w:vAlign w:val="center"/>
          </w:tcPr>
          <w:p>
            <w:pPr>
              <w:pStyle w:val="TableContents"/>
              <w:bidi w:val="0"/>
              <w:spacing w:before="0" w:after="283"/>
              <w:jc w:val="right"/>
              <w:rPr/>
            </w:pPr>
            <w:r>
              <w:rPr/>
              <w:t>18,389</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2029</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pPr>
            <w:r>
              <w:rPr/>
              <w:t>18,389</w:t>
            </w:r>
          </w:p>
        </w:tc>
        <w:tc>
          <w:tcPr>
            <w:tcW w:w="135" w:type="dxa"/>
            <w:tcBorders/>
            <w:shd w:fill="CCEEFF" w:val="clear"/>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283"/>
              <w:jc w:val="left"/>
              <w:rPr/>
            </w:pPr>
            <w:r>
              <w:rPr/>
              <w:t>Thereafter</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 </w:t>
            </w:r>
          </w:p>
        </w:tc>
        <w:tc>
          <w:tcPr>
            <w:tcW w:w="830" w:type="dxa"/>
            <w:tcBorders>
              <w:bottom w:val="single" w:sz="12" w:space="0" w:color="000000"/>
            </w:tcBorders>
            <w:tcMar>
              <w:bottom w:w="28" w:type="dxa"/>
            </w:tcMar>
            <w:vAlign w:val="center"/>
          </w:tcPr>
          <w:p>
            <w:pPr>
              <w:pStyle w:val="TableContents"/>
              <w:bidi w:val="0"/>
              <w:spacing w:before="0" w:after="283"/>
              <w:jc w:val="right"/>
              <w:rPr/>
            </w:pPr>
            <w:r>
              <w:rPr/>
              <w:t>23,673</w:t>
            </w:r>
          </w:p>
        </w:tc>
        <w:tc>
          <w:tcPr>
            <w:tcW w:w="135"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30" w:type="dxa"/>
            <w:tcBorders>
              <w:bottom w:val="double" w:sz="10" w:space="0" w:color="000000"/>
            </w:tcBorders>
            <w:shd w:fill="CCEEFF" w:val="clear"/>
            <w:tcMar>
              <w:bottom w:w="28" w:type="dxa"/>
            </w:tcMar>
            <w:vAlign w:val="center"/>
          </w:tcPr>
          <w:p>
            <w:pPr>
              <w:pStyle w:val="TableContents"/>
              <w:bidi w:val="0"/>
              <w:spacing w:before="0" w:after="283"/>
              <w:jc w:val="right"/>
              <w:rPr/>
            </w:pPr>
            <w:r>
              <w:rPr/>
              <w:t>138,943</w:t>
            </w:r>
          </w:p>
        </w:tc>
        <w:tc>
          <w:tcPr>
            <w:tcW w:w="13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impairment indicators noted with respect to Company’s long-lived assets, including intangible assets,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ACCOUNTS PAYABLE AND ACCRUED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 and accrued expenses consisted of the following as of September 30, 2025 and December 31, 2024:</w:t>
      </w:r>
    </w:p>
    <w:p>
      <w:pPr>
        <w:pStyle w:val="TextBody"/>
        <w:bidi w:val="0"/>
        <w:spacing w:before="0" w:after="0"/>
        <w:ind w:left="0" w:right="0" w:hanging="0"/>
        <w:jc w:val="both"/>
        <w:rPr>
          <w:caps w:val="false"/>
          <w:smallCaps w:val="false"/>
        </w:rPr>
      </w:pPr>
      <w:r>
        <w:rPr>
          <w:caps w:val="false"/>
          <w:smallCaps w:val="false"/>
        </w:rPr>
        <w:t> </w:t>
      </w:r>
    </w:p>
    <w:tbl>
      <w:tblPr>
        <w:tblW w:w="7138" w:type="dxa"/>
        <w:jc w:val="left"/>
        <w:tblInd w:w="0" w:type="dxa"/>
        <w:tblLayout w:type="fixed"/>
        <w:tblCellMar>
          <w:top w:w="0" w:type="dxa"/>
          <w:left w:w="0" w:type="dxa"/>
          <w:bottom w:w="0" w:type="dxa"/>
          <w:right w:w="0" w:type="dxa"/>
        </w:tblCellMar>
      </w:tblPr>
      <w:tblGrid>
        <w:gridCol w:w="3785"/>
        <w:gridCol w:w="90"/>
        <w:gridCol w:w="216"/>
        <w:gridCol w:w="1288"/>
        <w:gridCol w:w="90"/>
        <w:gridCol w:w="90"/>
        <w:gridCol w:w="207"/>
        <w:gridCol w:w="1237"/>
        <w:gridCol w:w="135"/>
      </w:tblGrid>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center"/>
              <w:rPr>
                <w:b/>
              </w:rPr>
            </w:pPr>
            <w:r>
              <w:rPr>
                <w:b/>
              </w:rPr>
              <w:t>September 30,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35" w:type="dxa"/>
            <w:tcBorders/>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504"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Trade payables</w:t>
            </w:r>
          </w:p>
        </w:tc>
        <w:tc>
          <w:tcPr>
            <w:tcW w:w="9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w:t>
            </w:r>
          </w:p>
        </w:tc>
        <w:tc>
          <w:tcPr>
            <w:tcW w:w="1288" w:type="dxa"/>
            <w:tcBorders/>
            <w:shd w:fill="CCEEFF" w:val="clear"/>
            <w:vAlign w:val="center"/>
          </w:tcPr>
          <w:p>
            <w:pPr>
              <w:pStyle w:val="TableContents"/>
              <w:bidi w:val="0"/>
              <w:spacing w:before="0" w:after="283"/>
              <w:jc w:val="right"/>
              <w:rPr/>
            </w:pPr>
            <w:r>
              <w:rPr/>
              <w:t>452,809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1237" w:type="dxa"/>
            <w:tcBorders/>
            <w:shd w:fill="CCEEFF" w:val="clear"/>
            <w:vAlign w:val="center"/>
          </w:tcPr>
          <w:p>
            <w:pPr>
              <w:pStyle w:val="TableContents"/>
              <w:bidi w:val="0"/>
              <w:spacing w:before="0" w:after="283"/>
              <w:jc w:val="right"/>
              <w:rPr/>
            </w:pPr>
            <w:r>
              <w:rPr/>
              <w:t>317,030</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Accrued payroll and related obligations</w:t>
            </w:r>
          </w:p>
        </w:tc>
        <w:tc>
          <w:tcPr>
            <w:tcW w:w="9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288" w:type="dxa"/>
            <w:tcBorders/>
            <w:vAlign w:val="center"/>
          </w:tcPr>
          <w:p>
            <w:pPr>
              <w:pStyle w:val="TableContents"/>
              <w:bidi w:val="0"/>
              <w:spacing w:before="0" w:after="283"/>
              <w:jc w:val="right"/>
              <w:rPr/>
            </w:pPr>
            <w:r>
              <w:rPr/>
              <w:t>468,510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 </w:t>
            </w:r>
          </w:p>
        </w:tc>
        <w:tc>
          <w:tcPr>
            <w:tcW w:w="1237" w:type="dxa"/>
            <w:tcBorders/>
            <w:vAlign w:val="center"/>
          </w:tcPr>
          <w:p>
            <w:pPr>
              <w:pStyle w:val="TableContents"/>
              <w:bidi w:val="0"/>
              <w:spacing w:before="0" w:after="283"/>
              <w:jc w:val="right"/>
              <w:rPr/>
            </w:pPr>
            <w:r>
              <w:rPr/>
              <w:t>984,536</w:t>
            </w:r>
          </w:p>
        </w:tc>
        <w:tc>
          <w:tcPr>
            <w:tcW w:w="135" w:type="dxa"/>
            <w:tcBorders/>
            <w:vAlign w:val="center"/>
          </w:tcPr>
          <w:p>
            <w:pPr>
              <w:pStyle w:val="TableContents"/>
              <w:bidi w:val="0"/>
              <w:spacing w:before="0" w:after="283"/>
              <w:jc w:val="left"/>
              <w:rPr/>
            </w:pPr>
            <w:r>
              <w:rPr/>
              <w:t> </w:t>
            </w:r>
          </w:p>
        </w:tc>
      </w:tr>
      <w:tr>
        <w:trPr/>
        <w:tc>
          <w:tcPr>
            <w:tcW w:w="3785" w:type="dxa"/>
            <w:tcBorders/>
            <w:shd w:fill="CCEEFF" w:val="clear"/>
            <w:vAlign w:val="center"/>
          </w:tcPr>
          <w:p>
            <w:pPr>
              <w:pStyle w:val="TableContents"/>
              <w:bidi w:val="0"/>
              <w:spacing w:before="0" w:after="283"/>
              <w:jc w:val="left"/>
              <w:rPr/>
            </w:pPr>
            <w:r>
              <w:rPr/>
              <w:t>Other accrued expenses</w:t>
            </w:r>
          </w:p>
        </w:tc>
        <w:tc>
          <w:tcPr>
            <w:tcW w:w="90" w:type="dxa"/>
            <w:tcBorders/>
            <w:shd w:fill="CCEEFF" w:val="clear"/>
            <w:vAlign w:val="center"/>
          </w:tcPr>
          <w:p>
            <w:pPr>
              <w:pStyle w:val="TableContents"/>
              <w:bidi w:val="0"/>
              <w:spacing w:before="0" w:after="283"/>
              <w:jc w:val="left"/>
              <w:rPr/>
            </w:pPr>
            <w:r>
              <w:rPr/>
              <w:t> </w:t>
            </w:r>
          </w:p>
        </w:tc>
        <w:tc>
          <w:tcPr>
            <w:tcW w:w="216"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88" w:type="dxa"/>
            <w:tcBorders>
              <w:bottom w:val="single" w:sz="12" w:space="0" w:color="000000"/>
            </w:tcBorders>
            <w:shd w:fill="CCEEFF" w:val="clear"/>
            <w:tcMar>
              <w:bottom w:w="28" w:type="dxa"/>
            </w:tcMar>
            <w:vAlign w:val="center"/>
          </w:tcPr>
          <w:p>
            <w:pPr>
              <w:pStyle w:val="TableContents"/>
              <w:bidi w:val="0"/>
              <w:spacing w:before="0" w:after="283"/>
              <w:jc w:val="right"/>
              <w:rPr/>
            </w:pPr>
            <w:r>
              <w:rPr/>
              <w:t>354,027</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37" w:type="dxa"/>
            <w:tcBorders>
              <w:bottom w:val="single" w:sz="12" w:space="0" w:color="000000"/>
            </w:tcBorders>
            <w:shd w:fill="CCEEFF" w:val="clear"/>
            <w:tcMar>
              <w:bottom w:w="28" w:type="dxa"/>
            </w:tcMar>
            <w:vAlign w:val="center"/>
          </w:tcPr>
          <w:p>
            <w:pPr>
              <w:pStyle w:val="TableContents"/>
              <w:bidi w:val="0"/>
              <w:spacing w:before="0" w:after="283"/>
              <w:jc w:val="right"/>
              <w:rPr/>
            </w:pPr>
            <w:r>
              <w:rPr/>
              <w:t>413,844</w:t>
            </w:r>
          </w:p>
        </w:tc>
        <w:tc>
          <w:tcPr>
            <w:tcW w:w="135" w:type="dxa"/>
            <w:tcBorders/>
            <w:shd w:fill="CCEEFF" w:val="clear"/>
            <w:vAlign w:val="center"/>
          </w:tcPr>
          <w:p>
            <w:pPr>
              <w:pStyle w:val="TableContents"/>
              <w:bidi w:val="0"/>
              <w:spacing w:before="0" w:after="283"/>
              <w:jc w:val="left"/>
              <w:rPr/>
            </w:pPr>
            <w:r>
              <w:rPr/>
              <w:t> </w:t>
            </w:r>
          </w:p>
        </w:tc>
      </w:tr>
      <w:tr>
        <w:trPr/>
        <w:tc>
          <w:tcPr>
            <w:tcW w:w="378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16" w:type="dxa"/>
            <w:tcBorders>
              <w:bottom w:val="double" w:sz="10" w:space="0" w:color="000000"/>
            </w:tcBorders>
            <w:tcMar>
              <w:bottom w:w="28" w:type="dxa"/>
            </w:tcMar>
            <w:vAlign w:val="center"/>
          </w:tcPr>
          <w:p>
            <w:pPr>
              <w:pStyle w:val="TableContents"/>
              <w:bidi w:val="0"/>
              <w:spacing w:before="0" w:after="283"/>
              <w:jc w:val="left"/>
              <w:rPr/>
            </w:pPr>
            <w:r>
              <w:rPr/>
              <w:t>$</w:t>
            </w:r>
          </w:p>
        </w:tc>
        <w:tc>
          <w:tcPr>
            <w:tcW w:w="1288" w:type="dxa"/>
            <w:tcBorders>
              <w:bottom w:val="double" w:sz="10" w:space="0" w:color="000000"/>
            </w:tcBorders>
            <w:tcMar>
              <w:bottom w:w="28" w:type="dxa"/>
            </w:tcMar>
            <w:vAlign w:val="center"/>
          </w:tcPr>
          <w:p>
            <w:pPr>
              <w:pStyle w:val="TableContents"/>
              <w:bidi w:val="0"/>
              <w:spacing w:before="0" w:after="283"/>
              <w:jc w:val="right"/>
              <w:rPr/>
            </w:pPr>
            <w:r>
              <w:rPr/>
              <w:t>1,275,346</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7" w:type="dxa"/>
            <w:tcBorders>
              <w:bottom w:val="double" w:sz="10" w:space="0" w:color="000000"/>
            </w:tcBorders>
            <w:tcMar>
              <w:bottom w:w="28" w:type="dxa"/>
            </w:tcMar>
            <w:vAlign w:val="center"/>
          </w:tcPr>
          <w:p>
            <w:pPr>
              <w:pStyle w:val="TableContents"/>
              <w:bidi w:val="0"/>
              <w:spacing w:before="0" w:after="283"/>
              <w:jc w:val="left"/>
              <w:rPr/>
            </w:pPr>
            <w:r>
              <w:rPr/>
              <w:t>$</w:t>
            </w:r>
          </w:p>
        </w:tc>
        <w:tc>
          <w:tcPr>
            <w:tcW w:w="1237" w:type="dxa"/>
            <w:tcBorders>
              <w:bottom w:val="double" w:sz="10" w:space="0" w:color="000000"/>
            </w:tcBorders>
            <w:tcMar>
              <w:bottom w:w="28" w:type="dxa"/>
            </w:tcMar>
            <w:vAlign w:val="center"/>
          </w:tcPr>
          <w:p>
            <w:pPr>
              <w:pStyle w:val="TableContents"/>
              <w:bidi w:val="0"/>
              <w:spacing w:before="0" w:after="283"/>
              <w:jc w:val="right"/>
              <w:rPr/>
            </w:pPr>
            <w:r>
              <w:rPr/>
              <w:t>1,715,410</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CONVERTIBLE 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21, 2022, the Company entered into a Securities Purchase Agreement (“SPA”) with certain accredited investors, which included certain Company directors or their affiliates (the “Note Investors”). Under the SPA, the Company issued Senior Secured Convertible Notes (the “Convertible Notes”) to the Note Investors, with a total initial principal amount of approximately $9.2 million and a conversion price of $3.70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Notes carried an aggregate cash origination fee of approximately $200,000, and the Company also issued approximately 3,562 shares of common stock to the Note Investors as an additional origination fee. These Convertible Notes matured on March 31, 2025 and accrued interest at an annual rate of 9.75%, was payable on a quarterly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convertible notes outstanding as of December 31, 2024:</w:t>
      </w:r>
    </w:p>
    <w:p>
      <w:pPr>
        <w:pStyle w:val="TextBody"/>
        <w:bidi w:val="0"/>
        <w:spacing w:before="0" w:after="0"/>
        <w:ind w:left="0" w:right="0" w:hanging="0"/>
        <w:jc w:val="both"/>
        <w:rPr>
          <w:caps w:val="false"/>
          <w:smallCaps w:val="false"/>
        </w:rPr>
      </w:pPr>
      <w:r>
        <w:rPr>
          <w:caps w:val="false"/>
          <w:smallCaps w:val="false"/>
        </w:rPr>
        <w:t> </w:t>
      </w:r>
    </w:p>
    <w:tbl>
      <w:tblPr>
        <w:tblW w:w="6029" w:type="dxa"/>
        <w:jc w:val="left"/>
        <w:tblInd w:w="0" w:type="dxa"/>
        <w:tblLayout w:type="fixed"/>
        <w:tblCellMar>
          <w:top w:w="0" w:type="dxa"/>
          <w:left w:w="0" w:type="dxa"/>
          <w:bottom w:w="0" w:type="dxa"/>
          <w:right w:w="0" w:type="dxa"/>
        </w:tblCellMar>
      </w:tblPr>
      <w:tblGrid>
        <w:gridCol w:w="4325"/>
        <w:gridCol w:w="90"/>
        <w:gridCol w:w="245"/>
        <w:gridCol w:w="1199"/>
        <w:gridCol w:w="170"/>
      </w:tblGrid>
      <w:tr>
        <w:trPr/>
        <w:tc>
          <w:tcPr>
            <w:tcW w:w="4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center"/>
              <w:rPr>
                <w:b/>
              </w:rPr>
            </w:pPr>
            <w:r>
              <w:rPr>
                <w:b/>
              </w:rPr>
              <w:t>December 31,</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44"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9.75% convertible notes due March 31, 2025</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w:t>
            </w:r>
          </w:p>
        </w:tc>
        <w:tc>
          <w:tcPr>
            <w:tcW w:w="1199" w:type="dxa"/>
            <w:tcBorders/>
            <w:shd w:fill="CCEEFF" w:val="clear"/>
            <w:vAlign w:val="center"/>
          </w:tcPr>
          <w:p>
            <w:pPr>
              <w:pStyle w:val="TableContents"/>
              <w:bidi w:val="0"/>
              <w:spacing w:before="0" w:after="283"/>
              <w:jc w:val="right"/>
              <w:rPr/>
            </w:pPr>
            <w:r>
              <w:rPr/>
              <w:t>245,000</w:t>
            </w:r>
          </w:p>
        </w:tc>
        <w:tc>
          <w:tcPr>
            <w:tcW w:w="170" w:type="dxa"/>
            <w:tcBorders/>
            <w:shd w:fill="CCEEFF" w:val="clear"/>
            <w:vAlign w:val="center"/>
          </w:tcPr>
          <w:p>
            <w:pPr>
              <w:pStyle w:val="TableContents"/>
              <w:bidi w:val="0"/>
              <w:spacing w:before="0" w:after="283"/>
              <w:jc w:val="left"/>
              <w:rPr/>
            </w:pPr>
            <w:r>
              <w:rPr/>
              <w:t> </w:t>
            </w:r>
          </w:p>
        </w:tc>
      </w:tr>
      <w:tr>
        <w:trPr/>
        <w:tc>
          <w:tcPr>
            <w:tcW w:w="4325" w:type="dxa"/>
            <w:tcBorders/>
            <w:vAlign w:val="center"/>
          </w:tcPr>
          <w:p>
            <w:pPr>
              <w:pStyle w:val="TableContents"/>
              <w:bidi w:val="0"/>
              <w:spacing w:before="0" w:after="283"/>
              <w:jc w:val="left"/>
              <w:rPr/>
            </w:pPr>
            <w:r>
              <w:rPr/>
              <w:t>Less</w:t>
            </w:r>
          </w:p>
        </w:tc>
        <w:tc>
          <w:tcPr>
            <w:tcW w:w="9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 </w:t>
            </w:r>
          </w:p>
        </w:tc>
        <w:tc>
          <w:tcPr>
            <w:tcW w:w="1199"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325" w:type="dxa"/>
            <w:tcBorders/>
            <w:shd w:fill="CCEEFF" w:val="clear"/>
            <w:vAlign w:val="center"/>
          </w:tcPr>
          <w:p>
            <w:pPr>
              <w:pStyle w:val="TableContents"/>
              <w:bidi w:val="0"/>
              <w:spacing w:before="0" w:after="283"/>
              <w:jc w:val="left"/>
              <w:rPr/>
            </w:pPr>
            <w:r>
              <w:rPr/>
              <w:t>Unamortized debt discount expense</w:t>
            </w:r>
          </w:p>
        </w:tc>
        <w:tc>
          <w:tcPr>
            <w:tcW w:w="90" w:type="dxa"/>
            <w:tcBorders/>
            <w:shd w:fill="CCEEFF" w:val="clear"/>
            <w:vAlign w:val="center"/>
          </w:tcPr>
          <w:p>
            <w:pPr>
              <w:pStyle w:val="TableContents"/>
              <w:bidi w:val="0"/>
              <w:spacing w:before="0" w:after="283"/>
              <w:jc w:val="left"/>
              <w:rPr/>
            </w:pPr>
            <w:r>
              <w:rPr/>
              <w:t> </w:t>
            </w:r>
          </w:p>
        </w:tc>
        <w:tc>
          <w:tcPr>
            <w:tcW w:w="245" w:type="dxa"/>
            <w:tcBorders/>
            <w:shd w:fill="CCEEFF" w:val="clear"/>
            <w:vAlign w:val="center"/>
          </w:tcPr>
          <w:p>
            <w:pPr>
              <w:pStyle w:val="TableContents"/>
              <w:bidi w:val="0"/>
              <w:spacing w:before="0" w:after="283"/>
              <w:jc w:val="left"/>
              <w:rPr/>
            </w:pPr>
            <w:r>
              <w:rPr/>
              <w:t> </w:t>
            </w:r>
          </w:p>
        </w:tc>
        <w:tc>
          <w:tcPr>
            <w:tcW w:w="1199" w:type="dxa"/>
            <w:tcBorders/>
            <w:shd w:fill="CCEEFF" w:val="clear"/>
            <w:vAlign w:val="center"/>
          </w:tcPr>
          <w:p>
            <w:pPr>
              <w:pStyle w:val="TableContents"/>
              <w:bidi w:val="0"/>
              <w:spacing w:before="0" w:after="283"/>
              <w:jc w:val="right"/>
              <w:rPr/>
            </w:pPr>
            <w:r>
              <w:rPr/>
              <w:t>(652</w:t>
            </w:r>
          </w:p>
        </w:tc>
        <w:tc>
          <w:tcPr>
            <w:tcW w:w="170" w:type="dxa"/>
            <w:tcBorders/>
            <w:shd w:fill="CCEEFF" w:val="clear"/>
            <w:vAlign w:val="center"/>
          </w:tcPr>
          <w:p>
            <w:pPr>
              <w:pStyle w:val="TableContents"/>
              <w:bidi w:val="0"/>
              <w:spacing w:before="0" w:after="283"/>
              <w:jc w:val="left"/>
              <w:rPr/>
            </w:pPr>
            <w:r>
              <w:rPr/>
              <w:t>)</w:t>
            </w:r>
          </w:p>
        </w:tc>
      </w:tr>
      <w:tr>
        <w:trPr/>
        <w:tc>
          <w:tcPr>
            <w:tcW w:w="4325" w:type="dxa"/>
            <w:tcBorders/>
            <w:vAlign w:val="center"/>
          </w:tcPr>
          <w:p>
            <w:pPr>
              <w:pStyle w:val="TableContents"/>
              <w:bidi w:val="0"/>
              <w:spacing w:before="0" w:after="283"/>
              <w:jc w:val="left"/>
              <w:rPr/>
            </w:pPr>
            <w:r>
              <w:rPr/>
              <w:t>Unamortized debt issuance expense</w:t>
            </w:r>
          </w:p>
        </w:tc>
        <w:tc>
          <w:tcPr>
            <w:tcW w:w="90" w:type="dxa"/>
            <w:tcBorders/>
            <w:vAlign w:val="center"/>
          </w:tcPr>
          <w:p>
            <w:pPr>
              <w:pStyle w:val="TableContents"/>
              <w:bidi w:val="0"/>
              <w:spacing w:before="0" w:after="283"/>
              <w:jc w:val="left"/>
              <w:rPr/>
            </w:pPr>
            <w:r>
              <w:rPr/>
              <w:t> </w:t>
            </w:r>
          </w:p>
        </w:tc>
        <w:tc>
          <w:tcPr>
            <w:tcW w:w="245" w:type="dxa"/>
            <w:tcBorders>
              <w:bottom w:val="single" w:sz="12" w:space="0" w:color="000000"/>
            </w:tcBorders>
            <w:tcMar>
              <w:bottom w:w="28" w:type="dxa"/>
            </w:tcMar>
            <w:vAlign w:val="center"/>
          </w:tcPr>
          <w:p>
            <w:pPr>
              <w:pStyle w:val="TableContents"/>
              <w:bidi w:val="0"/>
              <w:spacing w:before="0" w:after="283"/>
              <w:jc w:val="left"/>
              <w:rPr/>
            </w:pPr>
            <w:r>
              <w:rPr/>
              <w:t> </w:t>
            </w:r>
          </w:p>
        </w:tc>
        <w:tc>
          <w:tcPr>
            <w:tcW w:w="1199" w:type="dxa"/>
            <w:tcBorders>
              <w:bottom w:val="single" w:sz="12" w:space="0" w:color="000000"/>
            </w:tcBorders>
            <w:tcMar>
              <w:bottom w:w="28" w:type="dxa"/>
            </w:tcMar>
            <w:vAlign w:val="center"/>
          </w:tcPr>
          <w:p>
            <w:pPr>
              <w:pStyle w:val="TableContents"/>
              <w:bidi w:val="0"/>
              <w:spacing w:before="0" w:after="283"/>
              <w:jc w:val="right"/>
              <w:rPr/>
            </w:pPr>
            <w:r>
              <w:rPr/>
              <w:t>(3,464</w:t>
            </w:r>
          </w:p>
        </w:tc>
        <w:tc>
          <w:tcPr>
            <w:tcW w:w="170" w:type="dxa"/>
            <w:tcBorders/>
            <w:vAlign w:val="center"/>
          </w:tcPr>
          <w:p>
            <w:pPr>
              <w:pStyle w:val="TableContents"/>
              <w:bidi w:val="0"/>
              <w:spacing w:before="0" w:after="283"/>
              <w:jc w:val="left"/>
              <w:rPr/>
            </w:pPr>
            <w:r>
              <w:rPr/>
              <w:t>)</w:t>
            </w:r>
          </w:p>
        </w:tc>
      </w:tr>
      <w:tr>
        <w:trPr/>
        <w:tc>
          <w:tcPr>
            <w:tcW w:w="43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45"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199" w:type="dxa"/>
            <w:tcBorders>
              <w:bottom w:val="double" w:sz="10" w:space="0" w:color="000000"/>
            </w:tcBorders>
            <w:shd w:fill="CCEEFF" w:val="clear"/>
            <w:tcMar>
              <w:bottom w:w="28" w:type="dxa"/>
            </w:tcMar>
            <w:vAlign w:val="center"/>
          </w:tcPr>
          <w:p>
            <w:pPr>
              <w:pStyle w:val="TableContents"/>
              <w:bidi w:val="0"/>
              <w:spacing w:before="0" w:after="283"/>
              <w:jc w:val="right"/>
              <w:rPr/>
            </w:pPr>
            <w:r>
              <w:rPr/>
              <w:t>240,884</w:t>
            </w:r>
          </w:p>
        </w:tc>
        <w:tc>
          <w:tcPr>
            <w:tcW w:w="17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the outstanding Convertible Notes and accrued interest in full on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Commercial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the Company entered into a services agreement with The Pipeline Group, Inc. (“TPG”). Ken Jisser, a director of the Company, is the founder and CEO of TPG, and Kunal Mehta, a director of the Company subsequently became an officer of TPG, a technology-enabled services company that aims to deliver business results for companies looking to build a predictable and profitable pipeline. The agreement provides that TPG will assist in providing outsourced sales including business development resources for outbound calling, provide support for automated dialing technology, classify customer data and other sales related services for an initial term of one year. On October 25, 2023, on December 19, 2023 and on August 26, 2024, the Company entered into amendments to the above services agreement, pursuant to which TPG will provide certain additional services to the Company. In consideration of the services, the Company paid TPG $70,000 per month. As of September 30, 2025, the Company held a balance of approximately $70,000 in prepaid expenses related to this service agreement. On September 26, 2025, the Company signed another amendment with TPG to reduce the monthly fees to $42,000. The amendment is effective October 1, 2025. Total expense incurred under this contract during the three and nine months ended September 30, 2025 was approximately $210,000 and $630,000, respectively. Total expense incurred under this contract during the three and nine months ended September 30, 2024 was approximately $210,000 and $752,000,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2025, the Company entered into a services agreement with TPG. The agreement provides that the Company will provide biometric authentication services to TPG for an initial term of two years, with an annual license fee of $2,500 and monthly minimum fees ramping to $1,000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Employment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June 2023, the Company has employed Dale Daguro, the brother of our CEO, Rhon Daguro as a VP Sales. Dale Daguro’s employment is at will and may be terminated at any time, with or without cause. Dale’s compensation is commensurate with other executives employed by the Company at a similar level of seniority and experience. During the three and nine months ended September 30, 2025, Dale Daguro earned approximately $77,000 and $227,000 in base salary and sales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7</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rPr>
        <w:t>STOCKHOLDERS’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shares of common stock were issued to recipients as a result of the following transactions: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pursuant to Securities Purchase Agreements in a registered direct offering, the Company issued 1,811,120 shares of common stock and pre-funded warrants for cash gross proceeds of approximately $8.2 million (or approximately $6.8 million, net of offering costs).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2025, the Company issued 200,000 shares of common stock under restricted stock awards (“RSAs”) to non-employee advisors pursuant to advisory agreements.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Securities Purchase Agreements in a registered direct offering, the Company issued 373,060 shares of common stock and pre-funded warrants for cash gross proceeds of approximately $2.1 million (or approximately $1.6 million, net of offering costs).</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27,838 shares in lieu of a cash severance payment at a price of $7.40 per share for a total value of $206,000.</w:t>
            </w:r>
          </w:p>
        </w:tc>
      </w:tr>
    </w:tbl>
    <w:p>
      <w:pPr>
        <w:pStyle w:val="TextBody"/>
        <w:bidi w:val="0"/>
        <w:spacing w:before="0" w:after="0"/>
        <w:ind w:left="72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105"/>
        <w:gridCol w:w="200"/>
        <w:gridCol w:w="77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7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issued 110,813 shares of common stock, upon the cashless exercise of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shares of common stock were issued as a result of the following transactions: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pursuant to Securities Purchase Agreements in a registered direct offering, the Company issued 1,464,965 shares of common stock for cash gross proceeds of approximately $11.0 million (or approximately $10.0 million, net of offering costs).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2024 the Company issued 5,724 shares of common stock, upon the cashless exercise of stock options.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warrants were issued as a result of the following transactions: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in connection with their placement agent services, the Company issued 91,556 common stock warrants to Dominari Securities, LLC, with a term of 5 years and an exercise price of $4.50 per share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 2025, in connection with their placement agent services, the Company issued 80,999 common stock warrants to Madison Global Partners, LLC, with a term of 5 years and an exercise price of $4.50 per share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in connection with their placement agent services, the Company issued 22,702 common stock warrants to Dominari Securities, LLC, with a term of 5 years and an exercise price of $5.60 per share</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in connection with their placement agent services, the Company issued 14,762 common stock warrants to Madison Global Partners, LLC, with a term of 5 years and an exercise price of $5.60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2025, Madison III, LLC exercised 187,500 warrants in a cashless exercise. The warrants were previously expensed at their fair value of $438,000.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2024, in connection with their placement agent services, the Company issued 102,547 common stock warrants to Madison Global Partners, LLC, with a term of 5 years and an exercise price of $7.50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warrant activity for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3245"/>
        <w:gridCol w:w="90"/>
        <w:gridCol w:w="104"/>
        <w:gridCol w:w="1055"/>
        <w:gridCol w:w="125"/>
        <w:gridCol w:w="90"/>
        <w:gridCol w:w="229"/>
        <w:gridCol w:w="796"/>
        <w:gridCol w:w="90"/>
        <w:gridCol w:w="90"/>
        <w:gridCol w:w="176"/>
        <w:gridCol w:w="984"/>
        <w:gridCol w:w="135"/>
      </w:tblGrid>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Weighted</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Weighted</w:t>
            </w:r>
          </w:p>
        </w:tc>
        <w:tc>
          <w:tcPr>
            <w:tcW w:w="13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Average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Average</w:t>
            </w:r>
          </w:p>
        </w:tc>
        <w:tc>
          <w:tcPr>
            <w:tcW w:w="13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center"/>
              <w:rPr>
                <w:b/>
              </w:rPr>
            </w:pPr>
            <w:r>
              <w:rPr>
                <w:b/>
              </w:rPr>
              <w:t>Number of</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center"/>
              <w:rPr>
                <w:b/>
              </w:rPr>
            </w:pPr>
            <w:r>
              <w:rPr>
                <w:b/>
              </w:rPr>
              <w:t>Exercise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Remaining</w:t>
            </w:r>
          </w:p>
        </w:tc>
        <w:tc>
          <w:tcPr>
            <w:tcW w:w="135" w:type="dxa"/>
            <w:tcBorders/>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Warrants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6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Life</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Outstanding, December 31, 2024</w:t>
            </w:r>
          </w:p>
        </w:tc>
        <w:tc>
          <w:tcPr>
            <w:tcW w:w="9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697,446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11.20</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 Years</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210,019</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4.70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4.5 Years</w:t>
            </w:r>
          </w:p>
        </w:tc>
        <w:tc>
          <w:tcPr>
            <w:tcW w:w="135" w:type="dxa"/>
            <w:tcBorders/>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283"/>
              <w:jc w:val="left"/>
              <w:rPr/>
            </w:pPr>
            <w:r>
              <w:rPr/>
              <w:t>Exercised/Cancelled</w:t>
            </w:r>
          </w:p>
        </w:tc>
        <w:tc>
          <w:tcPr>
            <w:tcW w:w="90" w:type="dxa"/>
            <w:tcBorders/>
            <w:shd w:fill="CCEEFF" w:val="clear"/>
            <w:vAlign w:val="center"/>
          </w:tcPr>
          <w:p>
            <w:pPr>
              <w:pStyle w:val="TableContents"/>
              <w:bidi w:val="0"/>
              <w:spacing w:before="0" w:after="283"/>
              <w:jc w:val="left"/>
              <w:rPr/>
            </w:pPr>
            <w:r>
              <w:rPr/>
              <w:t> </w:t>
            </w:r>
          </w:p>
        </w:tc>
        <w:tc>
          <w:tcPr>
            <w:tcW w:w="104"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center"/>
          </w:tcPr>
          <w:p>
            <w:pPr>
              <w:pStyle w:val="TableContents"/>
              <w:bidi w:val="0"/>
              <w:spacing w:before="0" w:after="283"/>
              <w:jc w:val="right"/>
              <w:rPr/>
            </w:pPr>
            <w:r>
              <w:rPr/>
              <w:t>(187,500</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229" w:type="dxa"/>
            <w:tcBorders>
              <w:bottom w:val="single" w:sz="12"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shd w:fill="CCEEFF" w:val="clear"/>
            <w:tcMar>
              <w:bottom w:w="28" w:type="dxa"/>
            </w:tcMar>
            <w:vAlign w:val="center"/>
          </w:tcPr>
          <w:p>
            <w:pPr>
              <w:pStyle w:val="TableContents"/>
              <w:bidi w:val="0"/>
              <w:spacing w:before="0" w:after="283"/>
              <w:jc w:val="right"/>
              <w:rPr/>
            </w:pPr>
            <w:r>
              <w:rPr/>
              <w:t>3.16</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984"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245" w:type="dxa"/>
            <w:tcBorders/>
            <w:vAlign w:val="center"/>
          </w:tcPr>
          <w:p>
            <w:pPr>
              <w:pStyle w:val="TableContents"/>
              <w:bidi w:val="0"/>
              <w:spacing w:before="0" w:after="283"/>
              <w:jc w:val="left"/>
              <w:rPr/>
            </w:pPr>
            <w:r>
              <w:rPr/>
              <w:t>Outstanding, September 30, 2025</w:t>
            </w:r>
          </w:p>
        </w:tc>
        <w:tc>
          <w:tcPr>
            <w:tcW w:w="90" w:type="dxa"/>
            <w:tcBorders/>
            <w:vAlign w:val="center"/>
          </w:tcPr>
          <w:p>
            <w:pPr>
              <w:pStyle w:val="TableContents"/>
              <w:bidi w:val="0"/>
              <w:spacing w:before="0" w:after="283"/>
              <w:jc w:val="left"/>
              <w:rPr/>
            </w:pPr>
            <w:r>
              <w:rPr/>
              <w:t> </w:t>
            </w:r>
          </w:p>
        </w:tc>
        <w:tc>
          <w:tcPr>
            <w:tcW w:w="10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55" w:type="dxa"/>
            <w:tcBorders>
              <w:bottom w:val="double" w:sz="10" w:space="0" w:color="000000"/>
            </w:tcBorders>
            <w:tcMar>
              <w:bottom w:w="28" w:type="dxa"/>
            </w:tcMar>
            <w:vAlign w:val="center"/>
          </w:tcPr>
          <w:p>
            <w:pPr>
              <w:pStyle w:val="TableContents"/>
              <w:bidi w:val="0"/>
              <w:spacing w:before="0" w:after="283"/>
              <w:jc w:val="right"/>
              <w:rPr/>
            </w:pPr>
            <w:r>
              <w:rPr/>
              <w:t>719,965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11.40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984"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 Years</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2025, the Company granted 200,000 restricted stock awards (RSAs) at par value to non-employee advisors under advisory agreements. The awards were issued on the grant date and vest in four equal tranches of 50,000 shares each: (i) immediately upon execution of the advisory agreements on March 30, 2025, (ii) six months later, (iii) twelve months later, and (iv) eighteen months later. The Company has the option to repurchase all or a portion of unvested shares in the event that the advisors voluntarily cease to serve as an advisor of the Company. The fair value per share on the grant date was $7.97, resulting in a total grant-date fair value of $1,594,000. As of September 30, 2025, $797,000 of fair value was recognized as expense, with $797,000 of unrecognized compensation expense to be recognized through October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Company’s RSA activity for the nine months ended September 30, 2025:  </w:t>
      </w:r>
    </w:p>
    <w:p>
      <w:pPr>
        <w:pStyle w:val="TextBody"/>
        <w:bidi w:val="0"/>
        <w:spacing w:before="0" w:after="0"/>
        <w:ind w:left="0" w:right="0" w:hanging="0"/>
        <w:jc w:val="both"/>
        <w:rPr>
          <w:caps w:val="false"/>
          <w:smallCaps w:val="false"/>
        </w:rPr>
      </w:pPr>
      <w:r>
        <w:rPr>
          <w:caps w:val="false"/>
          <w:smallCaps w:val="false"/>
        </w:rPr>
        <w:t> </w:t>
      </w:r>
    </w:p>
    <w:tbl>
      <w:tblPr>
        <w:tblW w:w="6033" w:type="dxa"/>
        <w:jc w:val="left"/>
        <w:tblInd w:w="0" w:type="dxa"/>
        <w:tblLayout w:type="fixed"/>
        <w:tblCellMar>
          <w:top w:w="0" w:type="dxa"/>
          <w:left w:w="0" w:type="dxa"/>
          <w:bottom w:w="0" w:type="dxa"/>
          <w:right w:w="0" w:type="dxa"/>
        </w:tblCellMar>
      </w:tblPr>
      <w:tblGrid>
        <w:gridCol w:w="2780"/>
        <w:gridCol w:w="90"/>
        <w:gridCol w:w="145"/>
        <w:gridCol w:w="1269"/>
        <w:gridCol w:w="110"/>
        <w:gridCol w:w="90"/>
        <w:gridCol w:w="386"/>
        <w:gridCol w:w="1028"/>
        <w:gridCol w:w="135"/>
      </w:tblGrid>
      <w:tr>
        <w:trPr/>
        <w:tc>
          <w:tcPr>
            <w:tcW w:w="278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w:t>
              <w:br/>
              <w:t>Restricted Stock</w:t>
              <w:br/>
              <w:t>Awards</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41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Weighted</w:t>
              <w:br/>
              <w:t>Average</w:t>
              <w:br/>
              <w:t>Grant Date Fair</w:t>
              <w:br/>
              <w:t>Value Price</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December 31, 2024</w:t>
            </w:r>
          </w:p>
        </w:tc>
        <w:tc>
          <w:tcPr>
            <w:tcW w:w="9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283"/>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Granted</w:t>
            </w:r>
          </w:p>
        </w:tc>
        <w:tc>
          <w:tcPr>
            <w:tcW w:w="9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135"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Vested</w:t>
            </w:r>
          </w:p>
        </w:tc>
        <w:tc>
          <w:tcPr>
            <w:tcW w:w="90" w:type="dxa"/>
            <w:tcBorders/>
            <w:shd w:fill="CCEEFF" w:val="clear"/>
            <w:vAlign w:val="center"/>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6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(100,000</w:t>
            </w:r>
          </w:p>
        </w:tc>
        <w:tc>
          <w:tcPr>
            <w:tcW w:w="1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386" w:type="dxa"/>
            <w:tcBorders>
              <w:bottom w:val="single" w:sz="1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135" w:type="dxa"/>
            <w:tcBorders/>
            <w:shd w:fill="CCEEFF" w:val="clear"/>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Outstanding, September 30, 2025</w:t>
            </w:r>
          </w:p>
        </w:tc>
        <w:tc>
          <w:tcPr>
            <w:tcW w:w="90" w:type="dxa"/>
            <w:tcBorders/>
            <w:vAlign w:val="center"/>
          </w:tcPr>
          <w:p>
            <w:pPr>
              <w:pStyle w:val="TableContents"/>
              <w:bidi w:val="0"/>
              <w:spacing w:before="0" w:after="283"/>
              <w:jc w:val="left"/>
              <w:rPr/>
            </w:pPr>
            <w:r>
              <w:rPr/>
              <w:t> </w:t>
            </w:r>
          </w:p>
        </w:tc>
        <w:tc>
          <w:tcPr>
            <w:tcW w:w="145" w:type="dxa"/>
            <w:tcBorders>
              <w:bottom w:val="double" w:sz="12" w:space="0" w:color="000000"/>
            </w:tcBorders>
            <w:tcMar>
              <w:bottom w:w="28" w:type="dxa"/>
            </w:tcMar>
            <w:vAlign w:val="center"/>
          </w:tcPr>
          <w:p>
            <w:pPr>
              <w:pStyle w:val="TableContents"/>
              <w:bidi w:val="0"/>
              <w:spacing w:before="0" w:after="283"/>
              <w:jc w:val="left"/>
              <w:rPr/>
            </w:pPr>
            <w:r>
              <w:rPr/>
              <w:t> </w:t>
            </w:r>
          </w:p>
        </w:tc>
        <w:tc>
          <w:tcPr>
            <w:tcW w:w="1269"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200,000</w:t>
            </w:r>
          </w:p>
        </w:tc>
        <w:tc>
          <w:tcPr>
            <w:tcW w:w="11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386" w:type="dxa"/>
            <w:tcBorders>
              <w:bottom w:val="doub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7.97</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w:t>
      </w:r>
    </w:p>
    <w:p>
      <w:pPr>
        <w:pStyle w:val="TextBody"/>
        <w:bidi w:val="0"/>
        <w:spacing w:before="0" w:after="0"/>
        <w:ind w:left="0" w:right="0" w:hanging="0"/>
        <w:jc w:val="both"/>
        <w:rPr>
          <w:caps w:val="false"/>
          <w:smallCaps w:val="false"/>
        </w:rPr>
      </w:pPr>
      <w:r>
        <w:rPr>
          <w:caps w:val="false"/>
          <w:smallCaps w:val="false"/>
        </w:rPr>
        <w:t> </w:t>
      </w:r>
    </w:p>
    <w:tbl>
      <w:tblPr>
        <w:tblW w:w="8193" w:type="dxa"/>
        <w:jc w:val="left"/>
        <w:tblInd w:w="0" w:type="dxa"/>
        <w:tblLayout w:type="fixed"/>
        <w:tblCellMar>
          <w:top w:w="0" w:type="dxa"/>
          <w:left w:w="0" w:type="dxa"/>
          <w:bottom w:w="0" w:type="dxa"/>
          <w:right w:w="0" w:type="dxa"/>
        </w:tblCellMar>
      </w:tblPr>
      <w:tblGrid>
        <w:gridCol w:w="68"/>
        <w:gridCol w:w="200"/>
        <w:gridCol w:w="792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79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granted directors a total of 357,361 options at an exercise price of $3.90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granted a total of 416,600 options to certain new and existing employees at exercise prices ranging from $5.35 to $5.89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granted a former employee 5,205 options at an exercise price of $7.40 in lieu of cash severance payment.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the grant date fair value of options granted for the nine months ended September 30, 2025, using the Black Scholes Method, as applicable, with the following assumptions:</w:t>
      </w:r>
    </w:p>
    <w:p>
      <w:pPr>
        <w:pStyle w:val="TextBody"/>
        <w:bidi w:val="0"/>
        <w:spacing w:before="0" w:after="0"/>
        <w:ind w:left="0" w:right="0" w:hanging="0"/>
        <w:jc w:val="both"/>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1640"/>
        <w:gridCol w:w="90"/>
        <w:gridCol w:w="1340"/>
      </w:tblGrid>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 – 123%</w:t>
            </w:r>
          </w:p>
        </w:tc>
      </w:tr>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term</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 5 years</w:t>
            </w:r>
          </w:p>
        </w:tc>
      </w:tr>
      <w:tr>
        <w:trPr/>
        <w:tc>
          <w:tcPr>
            <w:tcW w:w="164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free rate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4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 – 4.59%</w:t>
            </w:r>
          </w:p>
        </w:tc>
      </w:tr>
      <w:tr>
        <w:trPr/>
        <w:tc>
          <w:tcPr>
            <w:tcW w:w="1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rate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34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Activity related to stock options for the nine months ended September 30, 2025, is summarized as follows:  </w:t>
      </w:r>
    </w:p>
    <w:p>
      <w:pPr>
        <w:pStyle w:val="TextBody"/>
        <w:bidi w:val="0"/>
        <w:spacing w:before="0" w:after="0"/>
        <w:ind w:left="0" w:right="0" w:hanging="0"/>
        <w:jc w:val="both"/>
        <w:rPr>
          <w:caps w:val="false"/>
          <w:smallCaps w:val="false"/>
        </w:rPr>
      </w:pPr>
      <w:r>
        <w:rPr>
          <w:caps w:val="false"/>
          <w:smallCaps w:val="false"/>
        </w:rPr>
        <w:t> </w:t>
      </w:r>
    </w:p>
    <w:tbl>
      <w:tblPr>
        <w:tblW w:w="9139" w:type="dxa"/>
        <w:jc w:val="left"/>
        <w:tblInd w:w="0" w:type="dxa"/>
        <w:tblLayout w:type="fixed"/>
        <w:tblCellMar>
          <w:top w:w="0" w:type="dxa"/>
          <w:left w:w="0" w:type="dxa"/>
          <w:bottom w:w="0" w:type="dxa"/>
          <w:right w:w="0" w:type="dxa"/>
        </w:tblCellMar>
      </w:tblPr>
      <w:tblGrid>
        <w:gridCol w:w="3695"/>
        <w:gridCol w:w="90"/>
        <w:gridCol w:w="94"/>
        <w:gridCol w:w="1065"/>
        <w:gridCol w:w="125"/>
        <w:gridCol w:w="90"/>
        <w:gridCol w:w="229"/>
        <w:gridCol w:w="796"/>
        <w:gridCol w:w="90"/>
        <w:gridCol w:w="90"/>
        <w:gridCol w:w="205"/>
        <w:gridCol w:w="1075"/>
        <w:gridCol w:w="90"/>
        <w:gridCol w:w="90"/>
        <w:gridCol w:w="170"/>
        <w:gridCol w:w="1010"/>
        <w:gridCol w:w="135"/>
      </w:tblGrid>
      <w:tr>
        <w:trPr/>
        <w:tc>
          <w:tcPr>
            <w:tcW w:w="3695"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Number of</w:t>
              <w:br/>
              <w:t>Shares</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Exercise</w:t>
              <w:br/>
              <w:t>Price</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Weighted</w:t>
              <w:br/>
              <w:t>Average</w:t>
              <w:br/>
              <w:t>Contractual</w:t>
              <w:br/>
              <w:t>Term (Yrs.)</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Aggregate</w:t>
              <w:br/>
              <w:t>Intrinsic</w:t>
              <w:br/>
              <w:t>Value</w:t>
            </w:r>
          </w:p>
        </w:tc>
        <w:tc>
          <w:tcPr>
            <w:tcW w:w="135"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025"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180" w:type="dxa"/>
            <w:gridSpan w:val="2"/>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Outstanding at December 31, 2024</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283"/>
              <w:jc w:val="right"/>
              <w:rPr/>
            </w:pPr>
            <w:r>
              <w:rPr/>
              <w:t>2,147,402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283"/>
              <w:jc w:val="right"/>
              <w:rPr/>
            </w:pPr>
            <w:r>
              <w:rPr/>
              <w:t>20.89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6.3</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283"/>
              <w:jc w:val="right"/>
              <w:rPr/>
            </w:pPr>
            <w:r>
              <w:rPr/>
              <w:t>1,146,540</w:t>
            </w:r>
          </w:p>
        </w:tc>
        <w:tc>
          <w:tcPr>
            <w:tcW w:w="1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Granted</w:t>
            </w:r>
          </w:p>
        </w:tc>
        <w:tc>
          <w:tcPr>
            <w:tcW w:w="90" w:type="dxa"/>
            <w:tcBorders/>
            <w:vAlign w:val="center"/>
          </w:tcPr>
          <w:p>
            <w:pPr>
              <w:pStyle w:val="TableContents"/>
              <w:bidi w:val="0"/>
              <w:spacing w:before="0" w:after="283"/>
              <w:jc w:val="left"/>
              <w:rPr/>
            </w:pPr>
            <w:r>
              <w:rPr/>
              <w:t> </w:t>
            </w:r>
          </w:p>
        </w:tc>
        <w:tc>
          <w:tcPr>
            <w:tcW w:w="94" w:type="dxa"/>
            <w:tcBorders/>
            <w:vAlign w:val="center"/>
          </w:tcPr>
          <w:p>
            <w:pPr>
              <w:pStyle w:val="TableContents"/>
              <w:bidi w:val="0"/>
              <w:spacing w:before="0" w:after="283"/>
              <w:jc w:val="left"/>
              <w:rPr/>
            </w:pPr>
            <w:r>
              <w:rPr/>
              <w:t> </w:t>
            </w:r>
          </w:p>
        </w:tc>
        <w:tc>
          <w:tcPr>
            <w:tcW w:w="1065" w:type="dxa"/>
            <w:tcBorders/>
            <w:vAlign w:val="center"/>
          </w:tcPr>
          <w:p>
            <w:pPr>
              <w:pStyle w:val="TableContents"/>
              <w:bidi w:val="0"/>
              <w:spacing w:before="0" w:after="283"/>
              <w:jc w:val="right"/>
              <w:rPr/>
            </w:pPr>
            <w:r>
              <w:rPr/>
              <w:t>779,166</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283"/>
              <w:jc w:val="right"/>
              <w:rPr/>
            </w:pPr>
            <w:r>
              <w:rPr/>
              <w:t>5.41</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10.0</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1010" w:type="dxa"/>
            <w:tcBorders/>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Exercised</w:t>
            </w:r>
          </w:p>
        </w:tc>
        <w:tc>
          <w:tcPr>
            <w:tcW w:w="9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jc w:val="left"/>
              <w:rPr/>
            </w:pPr>
            <w:r>
              <w:rPr/>
              <w:t> </w:t>
            </w:r>
          </w:p>
        </w:tc>
        <w:tc>
          <w:tcPr>
            <w:tcW w:w="1065" w:type="dxa"/>
            <w:tcBorders/>
            <w:shd w:fill="CCEEFF" w:val="clear"/>
            <w:vAlign w:val="center"/>
          </w:tcPr>
          <w:p>
            <w:pPr>
              <w:pStyle w:val="TableContents"/>
              <w:bidi w:val="0"/>
              <w:spacing w:before="0" w:after="0"/>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shd w:fill="CCEEFF" w:val="clear"/>
            <w:vAlign w:val="center"/>
          </w:tcPr>
          <w:p>
            <w:pPr>
              <w:pStyle w:val="TableContents"/>
              <w:bidi w:val="0"/>
              <w:spacing w:before="0" w:after="283"/>
              <w:jc w:val="left"/>
              <w:rPr/>
            </w:pPr>
            <w:r>
              <w:rPr/>
              <w:t>$</w:t>
            </w:r>
          </w:p>
        </w:tc>
        <w:tc>
          <w:tcPr>
            <w:tcW w:w="796"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0"/>
              <w:jc w:val="right"/>
              <w:rPr/>
            </w:pPr>
            <w:r>
              <w:rPr/>
              <w:t>-</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10" w:type="dxa"/>
            <w:tcBorders/>
            <w:shd w:fill="CCEEFF" w:val="clear"/>
            <w:vAlign w:val="center"/>
          </w:tcPr>
          <w:p>
            <w:pPr>
              <w:pStyle w:val="TableContents"/>
              <w:bidi w:val="0"/>
              <w:spacing w:before="0" w:after="0"/>
              <w:jc w:val="right"/>
              <w:rPr/>
            </w:pPr>
            <w:r>
              <w:rPr/>
              <w:t>-</w:t>
            </w:r>
          </w:p>
        </w:tc>
        <w:tc>
          <w:tcPr>
            <w:tcW w:w="1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Forfeited/cancelled</w:t>
            </w:r>
          </w:p>
        </w:tc>
        <w:tc>
          <w:tcPr>
            <w:tcW w:w="90" w:type="dxa"/>
            <w:tcBorders/>
            <w:vAlign w:val="center"/>
          </w:tcPr>
          <w:p>
            <w:pPr>
              <w:pStyle w:val="TableContents"/>
              <w:bidi w:val="0"/>
              <w:spacing w:before="0" w:after="283"/>
              <w:jc w:val="left"/>
              <w:rPr/>
            </w:pPr>
            <w:r>
              <w:rPr/>
              <w:t> </w:t>
            </w:r>
          </w:p>
        </w:tc>
        <w:tc>
          <w:tcPr>
            <w:tcW w:w="94" w:type="dxa"/>
            <w:tcBorders>
              <w:bottom w:val="single" w:sz="12" w:space="0" w:color="000000"/>
            </w:tcBorders>
            <w:tcMar>
              <w:bottom w:w="28" w:type="dxa"/>
            </w:tcMar>
            <w:vAlign w:val="center"/>
          </w:tcPr>
          <w:p>
            <w:pPr>
              <w:pStyle w:val="TableContents"/>
              <w:bidi w:val="0"/>
              <w:spacing w:before="0" w:after="283"/>
              <w:jc w:val="left"/>
              <w:rPr/>
            </w:pPr>
            <w:r>
              <w:rPr/>
              <w:t> </w:t>
            </w:r>
          </w:p>
        </w:tc>
        <w:tc>
          <w:tcPr>
            <w:tcW w:w="1065" w:type="dxa"/>
            <w:tcBorders>
              <w:bottom w:val="single" w:sz="12" w:space="0" w:color="000000"/>
            </w:tcBorders>
            <w:tcMar>
              <w:bottom w:w="28" w:type="dxa"/>
            </w:tcMar>
            <w:vAlign w:val="center"/>
          </w:tcPr>
          <w:p>
            <w:pPr>
              <w:pStyle w:val="TableContents"/>
              <w:bidi w:val="0"/>
              <w:spacing w:before="0" w:after="283"/>
              <w:jc w:val="right"/>
              <w:rPr/>
            </w:pPr>
            <w:r>
              <w:rPr/>
              <w:t>(463,088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229" w:type="dxa"/>
            <w:tcBorders>
              <w:bottom w:val="single" w:sz="12" w:space="0" w:color="000000"/>
            </w:tcBorders>
            <w:tcMar>
              <w:bottom w:w="28" w:type="dxa"/>
            </w:tcMar>
            <w:vAlign w:val="center"/>
          </w:tcPr>
          <w:p>
            <w:pPr>
              <w:pStyle w:val="TableContents"/>
              <w:bidi w:val="0"/>
              <w:spacing w:before="0" w:after="283"/>
              <w:jc w:val="left"/>
              <w:rPr/>
            </w:pPr>
            <w:r>
              <w:rPr/>
              <w:t>$</w:t>
            </w:r>
          </w:p>
        </w:tc>
        <w:tc>
          <w:tcPr>
            <w:tcW w:w="796" w:type="dxa"/>
            <w:tcBorders>
              <w:bottom w:val="single" w:sz="12" w:space="0" w:color="000000"/>
            </w:tcBorders>
            <w:tcMar>
              <w:bottom w:w="28" w:type="dxa"/>
            </w:tcMar>
            <w:vAlign w:val="center"/>
          </w:tcPr>
          <w:p>
            <w:pPr>
              <w:pStyle w:val="TableContents"/>
              <w:bidi w:val="0"/>
              <w:spacing w:before="0" w:after="283"/>
              <w:jc w:val="right"/>
              <w:rPr/>
            </w:pPr>
            <w:r>
              <w:rPr/>
              <w:t>42.68</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2.3</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single" w:sz="12" w:space="0" w:color="000000"/>
            </w:tcBorders>
            <w:tcMar>
              <w:bottom w:w="28" w:type="dxa"/>
            </w:tcMar>
            <w:vAlign w:val="center"/>
          </w:tcPr>
          <w:p>
            <w:pPr>
              <w:pStyle w:val="TableContents"/>
              <w:bidi w:val="0"/>
              <w:spacing w:before="0" w:after="283"/>
              <w:jc w:val="left"/>
              <w:rPr/>
            </w:pPr>
            <w:r>
              <w:rPr/>
              <w:t>$</w:t>
            </w:r>
          </w:p>
        </w:tc>
        <w:tc>
          <w:tcPr>
            <w:tcW w:w="1010" w:type="dxa"/>
            <w:tcBorders>
              <w:bottom w:val="single" w:sz="12" w:space="0" w:color="000000"/>
            </w:tcBorders>
            <w:tcMar>
              <w:bottom w:w="28" w:type="dxa"/>
            </w:tcMar>
            <w:vAlign w:val="center"/>
          </w:tcPr>
          <w:p>
            <w:pPr>
              <w:pStyle w:val="TableContents"/>
              <w:bidi w:val="0"/>
              <w:spacing w:before="0" w:after="0"/>
              <w:jc w:val="right"/>
              <w:rPr/>
            </w:pPr>
            <w:r>
              <w:rPr/>
              <w:t>-</w:t>
            </w:r>
          </w:p>
        </w:tc>
        <w:tc>
          <w:tcPr>
            <w:tcW w:w="135" w:type="dxa"/>
            <w:tcBorders/>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283"/>
              <w:jc w:val="left"/>
              <w:rPr/>
            </w:pPr>
            <w:r>
              <w:rPr/>
              <w:t>Outstanding as of September 30, 2025</w:t>
            </w:r>
          </w:p>
        </w:tc>
        <w:tc>
          <w:tcPr>
            <w:tcW w:w="90" w:type="dxa"/>
            <w:tcBorders/>
            <w:shd w:fill="CCEEFF" w:val="clear"/>
            <w:vAlign w:val="center"/>
          </w:tcPr>
          <w:p>
            <w:pPr>
              <w:pStyle w:val="TableContents"/>
              <w:bidi w:val="0"/>
              <w:spacing w:before="0" w:after="283"/>
              <w:jc w:val="left"/>
              <w:rPr/>
            </w:pPr>
            <w:r>
              <w:rPr/>
              <w:t> </w:t>
            </w:r>
          </w:p>
        </w:tc>
        <w:tc>
          <w:tcPr>
            <w:tcW w:w="94"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shd w:fill="CCEEFF" w:val="clear"/>
            <w:tcMar>
              <w:bottom w:w="28" w:type="dxa"/>
            </w:tcMar>
            <w:vAlign w:val="center"/>
          </w:tcPr>
          <w:p>
            <w:pPr>
              <w:pStyle w:val="TableContents"/>
              <w:bidi w:val="0"/>
              <w:spacing w:before="0" w:after="283"/>
              <w:jc w:val="right"/>
              <w:rPr/>
            </w:pPr>
            <w:r>
              <w:rPr/>
              <w:t>2,463,480</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29"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shd w:fill="CCEEFF" w:val="clear"/>
            <w:tcMar>
              <w:bottom w:w="28" w:type="dxa"/>
            </w:tcMar>
            <w:vAlign w:val="center"/>
          </w:tcPr>
          <w:p>
            <w:pPr>
              <w:pStyle w:val="TableContents"/>
              <w:bidi w:val="0"/>
              <w:spacing w:before="0" w:after="283"/>
              <w:jc w:val="right"/>
              <w:rPr/>
            </w:pPr>
            <w:r>
              <w:rPr/>
              <w:t>18.25</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jc w:val="left"/>
              <w:rPr/>
            </w:pPr>
            <w:r>
              <w:rPr/>
              <w:t> </w:t>
            </w:r>
          </w:p>
        </w:tc>
        <w:tc>
          <w:tcPr>
            <w:tcW w:w="1075" w:type="dxa"/>
            <w:tcBorders/>
            <w:shd w:fill="CCEEFF" w:val="clear"/>
            <w:vAlign w:val="center"/>
          </w:tcPr>
          <w:p>
            <w:pPr>
              <w:pStyle w:val="TableContents"/>
              <w:bidi w:val="0"/>
              <w:spacing w:before="0" w:after="283"/>
              <w:jc w:val="right"/>
              <w:rPr/>
            </w:pPr>
            <w:r>
              <w:rPr/>
              <w:t>1.9</w:t>
            </w:r>
          </w:p>
        </w:tc>
        <w:tc>
          <w:tcPr>
            <w:tcW w:w="9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shd w:fill="CCEEFF" w:val="clear"/>
            <w:tcMar>
              <w:bottom w:w="28" w:type="dxa"/>
            </w:tcMar>
            <w:vAlign w:val="center"/>
          </w:tcPr>
          <w:p>
            <w:pPr>
              <w:pStyle w:val="TableContents"/>
              <w:bidi w:val="0"/>
              <w:spacing w:before="0" w:after="283"/>
              <w:jc w:val="right"/>
              <w:rPr/>
            </w:pPr>
            <w:r>
              <w:rPr/>
              <w:t>3,375</w:t>
            </w:r>
          </w:p>
        </w:tc>
        <w:tc>
          <w:tcPr>
            <w:tcW w:w="135" w:type="dxa"/>
            <w:tcBorders/>
            <w:shd w:fill="CCEEFF" w:val="clear"/>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Exercisable as of September 30, 2025</w:t>
            </w:r>
          </w:p>
        </w:tc>
        <w:tc>
          <w:tcPr>
            <w:tcW w:w="90" w:type="dxa"/>
            <w:tcBorders/>
            <w:vAlign w:val="center"/>
          </w:tcPr>
          <w:p>
            <w:pPr>
              <w:pStyle w:val="TableContents"/>
              <w:bidi w:val="0"/>
              <w:spacing w:before="0" w:after="283"/>
              <w:jc w:val="left"/>
              <w:rPr/>
            </w:pPr>
            <w:r>
              <w:rPr/>
              <w:t> </w:t>
            </w:r>
          </w:p>
        </w:tc>
        <w:tc>
          <w:tcPr>
            <w:tcW w:w="94" w:type="dxa"/>
            <w:tcBorders>
              <w:bottom w:val="double" w:sz="10" w:space="0" w:color="000000"/>
            </w:tcBorders>
            <w:tcMar>
              <w:bottom w:w="28" w:type="dxa"/>
            </w:tcMar>
            <w:vAlign w:val="center"/>
          </w:tcPr>
          <w:p>
            <w:pPr>
              <w:pStyle w:val="TableContents"/>
              <w:bidi w:val="0"/>
              <w:spacing w:before="0" w:after="283"/>
              <w:jc w:val="left"/>
              <w:rPr/>
            </w:pPr>
            <w:r>
              <w:rPr/>
              <w:t> </w:t>
            </w:r>
          </w:p>
        </w:tc>
        <w:tc>
          <w:tcPr>
            <w:tcW w:w="1065" w:type="dxa"/>
            <w:tcBorders>
              <w:bottom w:val="double" w:sz="10" w:space="0" w:color="000000"/>
            </w:tcBorders>
            <w:tcMar>
              <w:bottom w:w="28" w:type="dxa"/>
            </w:tcMar>
            <w:vAlign w:val="center"/>
          </w:tcPr>
          <w:p>
            <w:pPr>
              <w:pStyle w:val="TableContents"/>
              <w:bidi w:val="0"/>
              <w:spacing w:before="0" w:after="283"/>
              <w:jc w:val="right"/>
              <w:rPr/>
            </w:pPr>
            <w:r>
              <w:rPr/>
              <w:t>939,183</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29" w:type="dxa"/>
            <w:tcBorders>
              <w:bottom w:val="double" w:sz="10" w:space="0" w:color="000000"/>
            </w:tcBorders>
            <w:tcMar>
              <w:bottom w:w="28" w:type="dxa"/>
            </w:tcMar>
            <w:vAlign w:val="center"/>
          </w:tcPr>
          <w:p>
            <w:pPr>
              <w:pStyle w:val="TableContents"/>
              <w:bidi w:val="0"/>
              <w:spacing w:before="0" w:after="283"/>
              <w:jc w:val="left"/>
              <w:rPr/>
            </w:pPr>
            <w:r>
              <w:rPr/>
              <w:t>$</w:t>
            </w:r>
          </w:p>
        </w:tc>
        <w:tc>
          <w:tcPr>
            <w:tcW w:w="796" w:type="dxa"/>
            <w:tcBorders>
              <w:bottom w:val="double" w:sz="10" w:space="0" w:color="000000"/>
            </w:tcBorders>
            <w:tcMar>
              <w:bottom w:w="28" w:type="dxa"/>
            </w:tcMar>
            <w:vAlign w:val="center"/>
          </w:tcPr>
          <w:p>
            <w:pPr>
              <w:pStyle w:val="TableContents"/>
              <w:bidi w:val="0"/>
              <w:spacing w:before="0" w:after="283"/>
              <w:jc w:val="right"/>
              <w:rPr/>
            </w:pPr>
            <w:r>
              <w:rPr/>
              <w:t>16.47</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05" w:type="dxa"/>
            <w:tcBorders/>
            <w:vAlign w:val="center"/>
          </w:tcPr>
          <w:p>
            <w:pPr>
              <w:pStyle w:val="TableContents"/>
              <w:bidi w:val="0"/>
              <w:spacing w:before="0" w:after="283"/>
              <w:jc w:val="left"/>
              <w:rPr/>
            </w:pPr>
            <w:r>
              <w:rPr/>
              <w:t> </w:t>
            </w:r>
          </w:p>
        </w:tc>
        <w:tc>
          <w:tcPr>
            <w:tcW w:w="1075" w:type="dxa"/>
            <w:tcBorders/>
            <w:vAlign w:val="center"/>
          </w:tcPr>
          <w:p>
            <w:pPr>
              <w:pStyle w:val="TableContents"/>
              <w:bidi w:val="0"/>
              <w:spacing w:before="0" w:after="283"/>
              <w:jc w:val="right"/>
              <w:rPr/>
            </w:pPr>
            <w:r>
              <w:rPr/>
              <w:t>6.2</w:t>
            </w:r>
          </w:p>
        </w:tc>
        <w:tc>
          <w:tcPr>
            <w:tcW w:w="9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10" w:type="dxa"/>
            <w:tcBorders>
              <w:bottom w:val="double" w:sz="10" w:space="0" w:color="000000"/>
            </w:tcBorders>
            <w:tcMar>
              <w:bottom w:w="28" w:type="dxa"/>
            </w:tcMar>
            <w:vAlign w:val="center"/>
          </w:tcPr>
          <w:p>
            <w:pPr>
              <w:pStyle w:val="TableContents"/>
              <w:bidi w:val="0"/>
              <w:spacing w:before="0" w:after="283"/>
              <w:jc w:val="right"/>
              <w:rPr/>
            </w:pPr>
            <w:r>
              <w:rPr/>
              <w:t>1,344</w:t>
            </w:r>
          </w:p>
        </w:tc>
        <w:tc>
          <w:tcPr>
            <w:tcW w:w="1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stock option information as of September 30, 2025:</w:t>
      </w:r>
    </w:p>
    <w:p>
      <w:pPr>
        <w:pStyle w:val="TextBody"/>
        <w:bidi w:val="0"/>
        <w:spacing w:before="0" w:after="0"/>
        <w:ind w:left="0" w:right="0" w:hanging="0"/>
        <w:jc w:val="both"/>
        <w:rPr>
          <w:caps w:val="false"/>
          <w:smallCaps w:val="false"/>
        </w:rPr>
      </w:pPr>
      <w:r>
        <w:rPr>
          <w:caps w:val="false"/>
          <w:smallCaps w:val="false"/>
        </w:rPr>
        <w:t> </w:t>
      </w:r>
    </w:p>
    <w:tbl>
      <w:tblPr>
        <w:tblW w:w="5300" w:type="dxa"/>
        <w:jc w:val="left"/>
        <w:tblInd w:w="0" w:type="dxa"/>
        <w:tblLayout w:type="fixed"/>
        <w:tblCellMar>
          <w:top w:w="0" w:type="dxa"/>
          <w:left w:w="0" w:type="dxa"/>
          <w:bottom w:w="0" w:type="dxa"/>
          <w:right w:w="0" w:type="dxa"/>
        </w:tblCellMar>
      </w:tblPr>
      <w:tblGrid>
        <w:gridCol w:w="1505"/>
        <w:gridCol w:w="90"/>
        <w:gridCol w:w="101"/>
        <w:gridCol w:w="984"/>
        <w:gridCol w:w="90"/>
        <w:gridCol w:w="90"/>
        <w:gridCol w:w="242"/>
        <w:gridCol w:w="828"/>
        <w:gridCol w:w="90"/>
        <w:gridCol w:w="90"/>
        <w:gridCol w:w="116"/>
        <w:gridCol w:w="939"/>
        <w:gridCol w:w="135"/>
      </w:tblGrid>
      <w:tr>
        <w:trPr/>
        <w:tc>
          <w:tcPr>
            <w:tcW w:w="15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Price</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8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(Yrs.)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Exercisable</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 – $5.00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701,736</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293,389</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$5.01 – $10.00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1,332,790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8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301,006</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$10.01 – $15.00</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42,578</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$15.01 – $20.00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c>
          <w:tcPr>
            <w:tcW w:w="984"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43,749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8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vAlign w:val="center"/>
          </w:tcPr>
          <w:p>
            <w:pPr>
              <w:pStyle w:val="TableContents"/>
              <w:bidi w:val="0"/>
              <w:spacing w:before="0" w:after="283"/>
              <w:jc w:val="left"/>
              <w:rPr>
                <w:caps w:val="false"/>
                <w:smallCaps w:val="false"/>
              </w:rPr>
            </w:pPr>
            <w:r>
              <w:rPr>
                <w:caps w:val="false"/>
                <w:smallCaps w:val="false"/>
              </w:rPr>
              <w:t> </w:t>
            </w:r>
          </w:p>
        </w:tc>
        <w:tc>
          <w:tcPr>
            <w:tcW w:w="939"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43,750</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$20.01 – $121.28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342,627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4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single" w:sz="12"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single" w:sz="1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258,460</w:t>
            </w:r>
          </w:p>
        </w:tc>
        <w:tc>
          <w:tcPr>
            <w:tcW w:w="13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50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01" w:type="dxa"/>
            <w:tcBorders>
              <w:bottom w:val="doub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84"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2,463,480</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242" w:type="dxa"/>
            <w:tcBorders/>
            <w:vAlign w:val="center"/>
          </w:tcPr>
          <w:p>
            <w:pPr>
              <w:pStyle w:val="TableContents"/>
              <w:bidi w:val="0"/>
              <w:spacing w:before="0" w:after="283"/>
              <w:jc w:val="left"/>
              <w:rPr>
                <w:caps w:val="false"/>
                <w:smallCaps w:val="false"/>
              </w:rPr>
            </w:pPr>
            <w:r>
              <w:rPr>
                <w:caps w:val="false"/>
                <w:smallCaps w:val="false"/>
              </w:rPr>
              <w:t> </w:t>
            </w:r>
          </w:p>
        </w:tc>
        <w:tc>
          <w:tcPr>
            <w:tcW w:w="828"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116" w:type="dxa"/>
            <w:tcBorders>
              <w:bottom w:val="doub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39" w:type="dxa"/>
            <w:tcBorders>
              <w:bottom w:val="double" w:sz="12" w:space="0" w:color="000000"/>
            </w:tcBorders>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939,183</w:t>
            </w:r>
          </w:p>
        </w:tc>
        <w:tc>
          <w:tcPr>
            <w:tcW w:w="13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there was approximately $3.6 million of unrecognized compensation costs related to stock options outstanding that will be expensed through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24, 2024, the Board of Directors adopted the 2024 Equity Incentive Plan (the “2024 Plan”). On June 26, 2024, the stockholders approved and ratified the 2024 Plan and the allocation of 395,000 shares of Common Stock to the 2024 Plan, in addition to the remaining shares not allocated to awards under the 2021 Equity Incentive Plan and any shares, which become available as a result of the forfeiture, or cancellation of any previous awards. On June 26, 2025, the stockholders approved and ratified an increase of 295,000 shares allocated to the 2024 Incentive Plan. As of September 30, 2025, there were 115,716 shares allocated to and available for issuance of awards under the 2024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our business. While any litigation contains an element of uncertainty, we have no reason to believe that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for which separate financial information is available and which is evaluated regularly by the chief operating decision maker (“CODM”) in deciding how to allocate resources and in assessing performance. The Company’s chief operating decision maker (“CODM”) is the Chief Executive Officer. The CODM is the highest level of management responsible for assessing the Company’s overall performance, and making operational decisions such as resource allocations related to operations, product prioritization and delegations of authority. The CODM has determined that the Company operates in a single operating and reportable segment and manages segment profit (loss) based upon consolidated net income (loss). The measure of segment assets is reported on the consolidated balance sheet as total consolidated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and analysis of our financial condition and results of operations are based on our financial statements, which we have prepared in accordance with accounting principles generally accepted in the United States of America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in this “Management’s Discussion and Analysis of Financial Condition and Results of Operation,” except where the context otherwise requires, the term “we,” “us,” “our,” “authID” or “the Company,” refers to the business of authID Inc.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Overview</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 ensures enterprises “Know Who’s Behind the Device”</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for every customer or employee login and transaction, through its easy-to-integrate, patented, biometric identity platform. authID powers biometric identity proofing in 700ms, biometric authentication in 25ms, and account recovery with a fast, accurate, user-friendly experience. With our PrivacyKey™ solution, authID provides a 1-to-1-billion false match rate, while storing no biometric data. authID stops fraud at onboarding, blocks deepfakes, prevents account takeover, and eliminates password risks and costs, through the faster, frictionless, and most accurate user identity experience demanded by today’s digital ecosystem.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cloud-based platform was developed with internally developed software as well as acquired and licensed technology and provides the following core services:</w:t>
      </w:r>
    </w:p>
    <w:p>
      <w:pPr>
        <w:pStyle w:val="TextBody"/>
        <w:bidi w:val="0"/>
        <w:spacing w:before="0" w:after="0"/>
        <w:ind w:left="990" w:right="0" w:hanging="360"/>
        <w:jc w:val="both"/>
        <w:rPr>
          <w:caps w:val="false"/>
          <w:smallCaps w:val="false"/>
        </w:rPr>
      </w:pPr>
      <w:r>
        <w:rPr>
          <w:caps w:val="false"/>
          <w:smallCaps w:val="false"/>
        </w:rPr>
        <w:t> </w:t>
      </w:r>
    </w:p>
    <w:tbl>
      <w:tblPr>
        <w:tblW w:w="2920" w:type="dxa"/>
        <w:jc w:val="left"/>
        <w:tblInd w:w="0" w:type="dxa"/>
        <w:tblLayout w:type="fixed"/>
        <w:tblCellMar>
          <w:top w:w="0" w:type="dxa"/>
          <w:left w:w="0" w:type="dxa"/>
          <w:bottom w:w="0" w:type="dxa"/>
          <w:right w:w="0" w:type="dxa"/>
        </w:tblCellMar>
      </w:tblPr>
      <w:tblGrid>
        <w:gridCol w:w="105"/>
        <w:gridCol w:w="200"/>
        <w:gridCol w:w="26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6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w:t>
            </w:r>
          </w:p>
        </w:tc>
      </w:tr>
    </w:tbl>
    <w:p>
      <w:pPr>
        <w:pStyle w:val="TextBody"/>
        <w:bidi w:val="0"/>
        <w:spacing w:before="0" w:after="0"/>
        <w:ind w:left="0" w:right="0" w:hanging="0"/>
        <w:jc w:val="left"/>
        <w:rPr>
          <w:caps w:val="false"/>
          <w:smallCaps w:val="false"/>
        </w:rPr>
      </w:pPr>
      <w:r>
        <w:rPr>
          <w:caps w:val="false"/>
          <w:smallCaps w:val="false"/>
        </w:rPr>
        <w:t> </w:t>
      </w:r>
    </w:p>
    <w:tbl>
      <w:tblPr>
        <w:tblW w:w="3175" w:type="dxa"/>
        <w:jc w:val="left"/>
        <w:tblInd w:w="0" w:type="dxa"/>
        <w:tblLayout w:type="fixed"/>
        <w:tblCellMar>
          <w:top w:w="0" w:type="dxa"/>
          <w:left w:w="0" w:type="dxa"/>
          <w:bottom w:w="0" w:type="dxa"/>
          <w:right w:w="0" w:type="dxa"/>
        </w:tblCellMar>
      </w:tblPr>
      <w:tblGrid>
        <w:gridCol w:w="105"/>
        <w:gridCol w:w="200"/>
        <w:gridCol w:w="287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8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w:t>
            </w:r>
          </w:p>
        </w:tc>
      </w:tr>
    </w:tbl>
    <w:p>
      <w:pPr>
        <w:pStyle w:val="TextBody"/>
        <w:bidi w:val="0"/>
        <w:spacing w:before="0" w:after="0"/>
        <w:ind w:left="0" w:right="0" w:hanging="0"/>
        <w:jc w:val="left"/>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105"/>
        <w:gridCol w:w="200"/>
        <w:gridCol w:w="2315"/>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23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 / Access Recovery</w:t>
            </w:r>
          </w:p>
        </w:tc>
      </w:tr>
    </w:tbl>
    <w:p>
      <w:pPr>
        <w:pStyle w:val="TextBody"/>
        <w:bidi w:val="0"/>
        <w:spacing w:before="0" w:after="0"/>
        <w:ind w:left="0" w:right="0" w:hanging="0"/>
        <w:jc w:val="left"/>
        <w:rPr>
          <w:caps w:val="false"/>
          <w:smallCaps w:val="false"/>
        </w:rPr>
      </w:pPr>
      <w:r>
        <w:rPr>
          <w:caps w:val="false"/>
          <w:smallCaps w:val="false"/>
        </w:rPr>
        <w:t> </w:t>
      </w:r>
    </w:p>
    <w:tbl>
      <w:tblPr>
        <w:tblW w:w="3183" w:type="dxa"/>
        <w:jc w:val="left"/>
        <w:tblInd w:w="0" w:type="dxa"/>
        <w:tblLayout w:type="fixed"/>
        <w:tblCellMar>
          <w:top w:w="0" w:type="dxa"/>
          <w:left w:w="0" w:type="dxa"/>
          <w:bottom w:w="0" w:type="dxa"/>
          <w:right w:w="0" w:type="dxa"/>
        </w:tblCellMar>
      </w:tblPr>
      <w:tblGrid>
        <w:gridCol w:w="68"/>
        <w:gridCol w:w="200"/>
        <w:gridCol w:w="2915"/>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both"/>
              <w:rPr/>
            </w:pPr>
            <w:r>
              <w:rPr/>
              <w:t xml:space="preserve">Identity </w:t>
            </w:r>
            <w:r>
              <w:rPr>
                <w:rFonts w:ascii="Times New Roman;Times;Serif" w:hAnsi="Times New Roman;Times;Serif"/>
                <w:sz w:val="20"/>
              </w:rPr>
              <w:t>Exchange (IDX) Platform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Verification - Proof</w:t>
      </w:r>
      <w:r>
        <w:rPr>
          <w:rFonts w:ascii="Times New Roman;Times;Serif" w:hAnsi="Times New Roman;Times;Serif"/>
          <w:b w:val="false"/>
          <w:i/>
          <w:caps w:val="false"/>
          <w:smallCaps w:val="false"/>
          <w:position w:val="7"/>
          <w:sz w:val="16"/>
          <w:sz w:val="20"/>
        </w:rPr>
        <w:t>TM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verification establishes the trusted identity of a user based on a variety of ground truth sources, including government-issued identity documents such as national IDs, driver’s licenses and passports or electronic machine-readable travel documents (or eMRTDs). Our Verified</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platform detects presentation attack and spoofing threats, evaluates the authenticity of security features present on a government-issued identity document, and biometrically matches the reference picture of the document with a live user’s selfie (a photograph that the user has taken of themselves). Usually occurring at account opening or onboarding, identity verification ensures that the enterprise knows that the person interacting with the enterprise is who they say they are, in real time. authID’s Proof</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identity verification product eliminates the need for costly and less accurate face-to-face, in-person ID checks and instead provides a verified identity in seconds. In a digital, online world of increasing fraud and security threats, Proof speeds up onboarding and offers our customers confidence in the identities of consumers, employees or third-party vendors.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Biometric Identity Authentication - Verified</w:t>
      </w:r>
      <w:r>
        <w:rPr>
          <w:rFonts w:ascii="Times New Roman;Times;Serif" w:hAnsi="Times New Roman;Times;Serif"/>
          <w:b w:val="false"/>
          <w:i/>
          <w:caps w:val="false"/>
          <w:smallCaps w:val="false"/>
          <w:position w:val="7"/>
          <w:sz w:val="16"/>
          <w:sz w:val="20"/>
        </w:rPr>
        <w:t>TM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Biometric identity authentication provides any organization with a secure, convenient solution to validate that an individual is the verified account owner for various purposes including passwordless login and performing specific transactions, or functions. The authID Verified product allows users to confirm their identity with their facial biometric by simply taking a selfie on a mobile phone or device of their choosing (as opposed to dedicated hardware). The solution includes a patented audit trail created for each transaction, containing the digitally signed transaction details, with proof of identity authentication and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PrivacyKey Privacy Preserving Biometrics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PrivacyKey solution provides biometric authentication without the requirement to store any biometric or derivative of biometric data. The technology transforms biometric verification into Public/Private Key cryptography whereby the facial image of the person is converted into an elliptical public/private key pair where only the public key is stored and the private key only exists during authentication and is deleted immediately after. The solution is compliant to the ISO30136 Privacy Biometric standard and provides a False Match Rate accuracy of 1:1 Billion at a False Rejection Rate of 0.3%, as confirmed by independent tests conducted by The Commonwealth Scientific and Industrial Research Organization (“CSRIO”).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 Access and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Verified biometric identity authentication solution allows users to recover, via a facial biometric, account access that is lost or blocked due to expired credentials, lockouts, lost or stolen devices, or compromised accounts. Because the account owner’s root of trust is established in the cloud, recovery is independent of any device or hardware. In this way, account recovery is instant, portable, and does not require the presence of or access to a previously provisioned device in order to secure access from a different device.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Identity Exchange (IDX</w:t>
      </w:r>
      <w:r>
        <w:rPr>
          <w:rFonts w:ascii="Times New Roman;Times;Serif" w:hAnsi="Times New Roman;Times;Serif"/>
          <w:b w:val="false"/>
          <w:i/>
          <w:caps w:val="false"/>
          <w:smallCaps w:val="false"/>
          <w:position w:val="7"/>
          <w:sz w:val="16"/>
          <w:sz w:val="20"/>
        </w:rPr>
        <w:t>TM</w:t>
      </w:r>
      <w:r>
        <w:rPr>
          <w:rFonts w:ascii="Times New Roman;Times;Serif" w:hAnsi="Times New Roman;Times;Serif"/>
          <w:b w:val="false"/>
          <w:i/>
          <w:caps w:val="false"/>
          <w:smallCaps w:val="false"/>
          <w:sz w:val="20"/>
        </w:rPr>
        <w:t>)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authID’s Identity Exchange (IDX) is a next-generation platform purpose-built to allow authorized personnel to create or claim a central credential that can be leveraged across multiple subsidiaries of a large enterprise, simplifying and securing the management of workforce identities. IDX modernizes identity management with biometric-bound, passwordless, interoperable and reusable credentials that stop phishing attacks, ensuring only verified users can access sensitive systems and data. IDX is the first enterprise platform built on the Accountable Digital Identity Association (ADI Association) specification, ensuring it is aligned with global interoperability and data sovereignty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Customer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solution allows our enterprise customers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Verify and Authenticate users. </w:t>
            </w:r>
            <w:r>
              <w:rPr>
                <w:rFonts w:ascii="Times New Roman;Times;Serif" w:hAnsi="Times New Roman;Times;Serif"/>
                <w:b w:val="false"/>
                <w:i w:val="false"/>
                <w:caps w:val="false"/>
                <w:smallCaps w:val="false"/>
                <w:sz w:val="20"/>
              </w:rPr>
              <w:t>Customers can use the authID platform not only to verify the identity of new users, but also to authenticate those users seamlessly on an ongoing basis to enable quick, secure logins and transaction authentications.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Benefit from high-speed processing</w:t>
            </w:r>
            <w:r>
              <w:rPr>
                <w:rFonts w:ascii="Times New Roman;Times;Serif" w:hAnsi="Times New Roman;Times;Serif"/>
                <w:b w:val="false"/>
                <w:i w:val="false"/>
                <w:caps w:val="false"/>
                <w:smallCaps w:val="false"/>
                <w:sz w:val="20"/>
              </w:rPr>
              <w:t>. Our solution returns a very low-latency response, key to enabling high-volume use cases (such as logins and high-value transactions) and providing a frictionless user experience.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Precisely and accurately identify their consumers and employees, giving the enterprise complete confidence in who is accessing their digital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Provide a seamless user experience in terms of speed and self-guided flow, so that even users who are not tech-savvy are easily able to complete the identity verification and authentication processes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Support a wide variety of devices</w:t>
            </w:r>
            <w:r>
              <w:rPr>
                <w:rFonts w:ascii="Times New Roman;Times;Serif" w:hAnsi="Times New Roman;Times;Serif"/>
                <w:b w:val="false"/>
                <w:i w:val="false"/>
                <w:caps w:val="false"/>
                <w:smallCaps w:val="false"/>
                <w:sz w:val="20"/>
              </w:rPr>
              <w:t>. Our cloud-based service is device agnostic and may be used to verify or authenticate users on any device with a camera, including shared devices, digital kiosks, etc.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Integrate quickly and easily.</w:t>
            </w:r>
            <w:r>
              <w:rPr>
                <w:rFonts w:ascii="Times New Roman;Times;Serif" w:hAnsi="Times New Roman;Times;Serif"/>
                <w:b w:val="false"/>
                <w:i w:val="false"/>
                <w:caps w:val="false"/>
                <w:smallCaps w:val="false"/>
                <w:sz w:val="20"/>
              </w:rPr>
              <w:t xml:space="preserve"> We offer pre-integrated OIDC connections as well as integrations with several leading Identity and Access Management solutions.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Offer broad identity document coverage.</w:t>
            </w:r>
            <w:r>
              <w:rPr>
                <w:rFonts w:ascii="Times New Roman;Times;Serif" w:hAnsi="Times New Roman;Times;Serif"/>
                <w:b w:val="false"/>
                <w:i w:val="false"/>
                <w:caps w:val="false"/>
                <w:smallCaps w:val="false"/>
                <w:sz w:val="20"/>
              </w:rPr>
              <w:t xml:space="preserve"> We can verify identities using a wide spectrum of government-issued documents from around the world.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Perform secure biometric verification &amp; authentication without the need to store biometric data.</w:t>
            </w:r>
            <w:r>
              <w:rPr>
                <w:rFonts w:ascii="Times New Roman;Times;Serif" w:hAnsi="Times New Roman;Times;Serif"/>
                <w:b w:val="false"/>
                <w:i w:val="false"/>
                <w:caps w:val="false"/>
                <w:smallCaps w:val="false"/>
                <w:sz w:val="20"/>
              </w:rPr>
              <w:t xml:space="preserve"> Our PrivacyKey technology removes the need to store any biometric data in order to perform verification or authentication transactions. PrivacyKey verification and authentication is seamlessly delivered thru either a web or mobile applications with a response time of less than 700ms.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Trends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financial results will be impacted by several market trends in the identity verification and authentication markets, as well as expanding digital transformation efforts across a wide range of market segments. These trends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growing concerns over identity theft, fraud and account takeover, resulting from the acceleration of digital transformation, for example online shopping and remote working and the growth in AI assisted fraud;</w:t>
            </w:r>
          </w:p>
        </w:tc>
      </w:tr>
    </w:tbl>
    <w:p>
      <w:pPr>
        <w:pStyle w:val="TextBody"/>
        <w:bidi w:val="0"/>
        <w:spacing w:before="0" w:after="0"/>
        <w:ind w:left="720" w:right="0" w:hanging="36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105"/>
        <w:gridCol w:w="200"/>
        <w:gridCol w:w="332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in the sharing economy; and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increase in electronic payments and alternative money transfer solutions provided by both bank and non-bank entities. The key drivers for these alternative payment methods are consumer demands for safe, convenient payment transactions, with less friction.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are also impacted by the changes in levels of spending on identity verification, management and security methods, and thus, negative trends in the global economy and other factors which negatively impact such spending may negatively impact the growth in our revenue from those products. The global economy has been undergoing a period of political and economic uncertainty and stock markets are experiencing high levels of volatility, and it is difficult to predict how long this uncertainty and volatility will continue.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grow our business by increasing the use of our services by our existing customers, by adding new customers through our direct salesforce, channel partners and by expanding into new markets and innovation. If we are successful in these efforts, we would expect our revenue to continue to grow.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in the State of Delaware on September 21, 2011, and changed our name from Ipsidy Inc. to authID Inc. on July 18, 2022. Our corporate headquarters is located at 1580 North Logan Street, Suite 660, Unit 51767, Denver, CO 80203 and our main phone number is (516) 274-8700. Our website address is www.authid.ai. The information contained on, or that can be accessed through, our website is not incorporated by reference into this Form 10-Q and you should not consider information on our website to be part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condensed consolidated financial statements included in this Quarterly Report have been prepared in accordance with United States GAAP assuming the Company will continue on a going concern basis, which implies the Company will continue to meet its obligations and continue its operations for the next year following the issuance date of these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Company had an accumulated deficit of approximately $187.7 million. For the nine months ended September 30, 2025, the Company earned net revenue of approximately $1.6 million, used approximately $11.8 million to fund its operations, and incurred a net loss of approximately $13.9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continuation of the Company as a going concern is dependent upon financial support from the Company’s stockholders, the ability of the Company to obtain additional debt or equity financing to continue operations, the Company’s ability to generate sufficient cash flows from operations, successfully locating and negotiating with other business entities for potential acquisition and acquiring new clients to generate revenues and cash flows. In April and May 2025, the Company raised a total of approximately $8.5 million after expenses from existing and new stockholders through the sale of Common Stock pursuant to registered direct offerings. Going forward, the Company plans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assurance that the Company will ever be profitable.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As there can be no assurance that the Company will be able to achieve positive cash flows (become cash flow positive) and raise sufficient capital to maintain operations, there is 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Adjusted EBITDA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includes information about Adjusted EBITDA that is not prepared in accordance with GAAP. Adjusted EBITDA is not based on any standardized methodology prescribed by GAAP and is not necessarily comparable to similar measures presented by other companies. A reconciliation of this non-GAAP measure is included below. Adjusted EBITDA is a non-GAAP financial measure that represents GAAP net income (loss) adjusted to exclude (1) interest expense and debt discount and debt issuance costs amortization expense, (2) interest income, (3) provision for income taxes, (4) depreciation and amortization, (5) stock-based compensation expense and certain other items management believes affect the comparability of operating results. Management believes that Adjusted EBITDA, when viewed with our results under GAAP and the accompanying reconciliations, provides useful information about our period-over-period results. Adjusted EBITDA is presented because management believes it provides additional information with respect to the performance of our fundamental business activities and is also frequently used by securities analysts, investors and other interested parties in the evaluation of comparable companies. We also rely on Adjusted EBITDA as a primary measure to review and assess the operating performance of our company and our management, and it will be a focus as we invest in and grow the business. Adjusted EBITDA has limitations as an analytical tool, and you should not consider it in isolation from, or as a substitute for, analysis of our results as reported under GAAP. Some of these limitations are: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our cash expenditures or future requirements for capital expenditures or contractual commitments;</w:t>
            </w:r>
          </w:p>
        </w:tc>
      </w:tr>
    </w:tbl>
    <w:p>
      <w:pPr>
        <w:pStyle w:val="TextBody"/>
        <w:bidi w:val="0"/>
        <w:spacing w:before="0" w:after="0"/>
        <w:ind w:left="0" w:right="0" w:hanging="0"/>
        <w:jc w:val="both"/>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105"/>
        <w:gridCol w:w="200"/>
        <w:gridCol w:w="806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80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reflect changes in, or cash requirements for, our working capital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depreciation and amortization are non-cash charges, the assets being depreciated and amortized will often have to be replaced in the future, and Adjusted EBITDA does not reflect any cash requirements for such replacements;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does not include the impact of certain charges or gains resulting from matters we consider not to be indicative of our ongoing operations.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limitations, Adjusted EBITDA should not be considered as a measure of discretionary cash available to us to invest in the growth of our business. We compensate for these limitations by relying primarily on our GAAP results and using Adjusted EBITDA only as a supplement to our GAAP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Loss from Continuing Operations to Adjusted EBITDA Continuing Operations: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60"/>
        <w:gridCol w:w="90"/>
        <w:gridCol w:w="170"/>
        <w:gridCol w:w="1085"/>
        <w:gridCol w:w="125"/>
        <w:gridCol w:w="90"/>
        <w:gridCol w:w="170"/>
        <w:gridCol w:w="1085"/>
        <w:gridCol w:w="125"/>
        <w:gridCol w:w="90"/>
        <w:gridCol w:w="170"/>
        <w:gridCol w:w="1205"/>
        <w:gridCol w:w="125"/>
        <w:gridCol w:w="90"/>
        <w:gridCol w:w="170"/>
        <w:gridCol w:w="1085"/>
        <w:gridCol w:w="170"/>
      </w:tblGrid>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72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 xml:space="preserve">Three Months Ended </w:t>
              <w:br/>
              <w:t>September 30,</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2845"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Nine Months Ended</w:t>
              <w:br/>
              <w:t>September 30,</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center"/>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2024</w:t>
            </w:r>
          </w:p>
        </w:tc>
        <w:tc>
          <w:tcPr>
            <w:tcW w:w="170" w:type="dxa"/>
            <w:tcBorders/>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375" w:type="dxa"/>
            <w:gridSpan w:val="2"/>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255" w:type="dxa"/>
            <w:gridSpan w:val="2"/>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Loss from continuing operations</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(5,173,321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(3,364,801</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05" w:type="dxa"/>
            <w:tcBorders/>
            <w:shd w:fill="CCEEFF" w:val="clear"/>
            <w:vAlign w:val="center"/>
          </w:tcPr>
          <w:p>
            <w:pPr>
              <w:pStyle w:val="TableContents"/>
              <w:bidi w:val="0"/>
              <w:spacing w:before="0" w:after="283"/>
              <w:jc w:val="right"/>
              <w:rPr/>
            </w:pPr>
            <w:r>
              <w:rPr/>
              <w:t>(13,897,567</w:t>
            </w:r>
          </w:p>
        </w:tc>
        <w:tc>
          <w:tcPr>
            <w:tcW w:w="125"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085" w:type="dxa"/>
            <w:tcBorders/>
            <w:shd w:fill="CCEEFF" w:val="clear"/>
            <w:vAlign w:val="center"/>
          </w:tcPr>
          <w:p>
            <w:pPr>
              <w:pStyle w:val="TableContents"/>
              <w:bidi w:val="0"/>
              <w:spacing w:before="0" w:after="283"/>
              <w:jc w:val="right"/>
              <w:rPr/>
            </w:pPr>
            <w:r>
              <w:rPr/>
              <w:t>(9,683,619</w:t>
            </w:r>
          </w:p>
        </w:tc>
        <w:tc>
          <w:tcPr>
            <w:tcW w:w="170" w:type="dxa"/>
            <w:tcBorders/>
            <w:shd w:fill="CCEEFF" w:val="clear"/>
            <w:vAlign w:val="center"/>
          </w:tcPr>
          <w:p>
            <w:pPr>
              <w:pStyle w:val="TableContents"/>
              <w:bidi w:val="0"/>
              <w:spacing w:before="0" w:after="283"/>
              <w:jc w:val="left"/>
              <w:rPr/>
            </w:pPr>
            <w:r>
              <w:rPr/>
              <w:t>)</w:t>
            </w:r>
          </w:p>
        </w:tc>
      </w:tr>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Addback:</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 </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Interest expense, net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1,959</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12,712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14,842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36,219</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Interest income</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(61,657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(161,308</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(200,047</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(344,185</w:t>
            </w:r>
          </w:p>
        </w:tc>
        <w:tc>
          <w:tcPr>
            <w:tcW w:w="170" w:type="dxa"/>
            <w:tcBorders/>
            <w:vAlign w:val="center"/>
          </w:tcPr>
          <w:p>
            <w:pPr>
              <w:pStyle w:val="TableContents"/>
              <w:bidi w:val="0"/>
              <w:spacing w:before="0" w:after="283"/>
              <w:jc w:val="left"/>
              <w:rPr/>
            </w:pPr>
            <w:r>
              <w:rPr/>
              <w:t>)</w:t>
            </w:r>
          </w:p>
        </w:tc>
      </w:tr>
      <w:tr>
        <w:trPr/>
        <w:tc>
          <w:tcPr>
            <w:tcW w:w="4160" w:type="dxa"/>
            <w:tcBorders/>
            <w:shd w:fill="CCEEFF" w:val="clear"/>
            <w:vAlign w:val="center"/>
          </w:tcPr>
          <w:p>
            <w:pPr>
              <w:pStyle w:val="TableContents"/>
              <w:bidi w:val="0"/>
              <w:spacing w:before="0" w:after="283"/>
              <w:jc w:val="left"/>
              <w:rPr/>
            </w:pPr>
            <w:r>
              <w:rPr/>
              <w:t>Severance cost</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14,251</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Depreciation and amortization</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16,034</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43,798</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right"/>
              <w:rPr/>
            </w:pPr>
            <w:r>
              <w:rPr/>
              <w:t>76,475</w:t>
            </w:r>
          </w:p>
        </w:tc>
        <w:tc>
          <w:tcPr>
            <w:tcW w:w="125" w:type="dxa"/>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right"/>
              <w:rPr/>
            </w:pPr>
            <w:r>
              <w:rPr/>
              <w:t>131,210</w:t>
            </w:r>
          </w:p>
        </w:tc>
        <w:tc>
          <w:tcPr>
            <w:tcW w:w="170" w:type="dxa"/>
            <w:tcBorders/>
            <w:vAlign w:val="center"/>
          </w:tcPr>
          <w:p>
            <w:pPr>
              <w:pStyle w:val="TableContents"/>
              <w:bidi w:val="0"/>
              <w:spacing w:before="0" w:after="283"/>
              <w:jc w:val="left"/>
              <w:rPr/>
            </w:pPr>
            <w:r>
              <w:rPr/>
              <w:t> </w:t>
            </w:r>
          </w:p>
        </w:tc>
      </w:tr>
      <w:tr>
        <w:trPr/>
        <w:tc>
          <w:tcPr>
            <w:tcW w:w="4160" w:type="dxa"/>
            <w:tcBorders/>
            <w:shd w:fill="CCEEFF" w:val="clear"/>
            <w:vAlign w:val="center"/>
          </w:tcPr>
          <w:p>
            <w:pPr>
              <w:pStyle w:val="TableContents"/>
              <w:bidi w:val="0"/>
              <w:spacing w:before="0" w:after="283"/>
              <w:jc w:val="left"/>
              <w:rPr/>
            </w:pPr>
            <w:r>
              <w:rPr/>
              <w:t>Stock compensation</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1,092,982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595,536</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single" w:sz="12" w:space="0" w:color="000000"/>
            </w:tcBorders>
            <w:shd w:fill="CCEEFF" w:val="clear"/>
            <w:tcMar>
              <w:bottom w:w="28" w:type="dxa"/>
            </w:tcMar>
            <w:vAlign w:val="center"/>
          </w:tcPr>
          <w:p>
            <w:pPr>
              <w:pStyle w:val="TableContents"/>
              <w:bidi w:val="0"/>
              <w:spacing w:before="0" w:after="283"/>
              <w:jc w:val="right"/>
              <w:rPr/>
            </w:pPr>
            <w:r>
              <w:rPr/>
              <w:t>2,625,502</w:t>
            </w:r>
          </w:p>
        </w:tc>
        <w:tc>
          <w:tcPr>
            <w:tcW w:w="125"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7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85" w:type="dxa"/>
            <w:tcBorders>
              <w:bottom w:val="single" w:sz="12" w:space="0" w:color="000000"/>
            </w:tcBorders>
            <w:shd w:fill="CCEEFF" w:val="clear"/>
            <w:tcMar>
              <w:bottom w:w="28" w:type="dxa"/>
            </w:tcMar>
            <w:vAlign w:val="center"/>
          </w:tcPr>
          <w:p>
            <w:pPr>
              <w:pStyle w:val="TableContents"/>
              <w:bidi w:val="0"/>
              <w:spacing w:before="0" w:after="283"/>
              <w:jc w:val="right"/>
              <w:rPr/>
            </w:pPr>
            <w:r>
              <w:rPr/>
              <w:t>2,044,210</w:t>
            </w:r>
          </w:p>
        </w:tc>
        <w:tc>
          <w:tcPr>
            <w:tcW w:w="170" w:type="dxa"/>
            <w:tcBorders/>
            <w:shd w:fill="CCEEFF" w:val="clear"/>
            <w:vAlign w:val="center"/>
          </w:tcPr>
          <w:p>
            <w:pPr>
              <w:pStyle w:val="TableContents"/>
              <w:bidi w:val="0"/>
              <w:spacing w:before="0" w:after="283"/>
              <w:jc w:val="left"/>
              <w:rPr/>
            </w:pPr>
            <w:r>
              <w:rPr/>
              <w:t> </w:t>
            </w:r>
          </w:p>
        </w:tc>
      </w:tr>
      <w:tr>
        <w:trPr/>
        <w:tc>
          <w:tcPr>
            <w:tcW w:w="4160" w:type="dxa"/>
            <w:tcBorders/>
            <w:vAlign w:val="center"/>
          </w:tcPr>
          <w:p>
            <w:pPr>
              <w:pStyle w:val="TableContents"/>
              <w:bidi w:val="0"/>
              <w:spacing w:before="0" w:after="283"/>
              <w:jc w:val="left"/>
              <w:rPr/>
            </w:pPr>
            <w:r>
              <w:rPr/>
              <w:t>Adjusted EBITDA continuing operations (Non-GAAP)</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(4,124,003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(2,874,063</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205" w:type="dxa"/>
            <w:tcBorders>
              <w:bottom w:val="double" w:sz="10" w:space="0" w:color="000000"/>
            </w:tcBorders>
            <w:tcMar>
              <w:bottom w:w="28" w:type="dxa"/>
            </w:tcMar>
            <w:vAlign w:val="center"/>
          </w:tcPr>
          <w:p>
            <w:pPr>
              <w:pStyle w:val="TableContents"/>
              <w:bidi w:val="0"/>
              <w:spacing w:before="0" w:after="283"/>
              <w:jc w:val="right"/>
              <w:rPr/>
            </w:pPr>
            <w:r>
              <w:rPr/>
              <w:t>(11,380,795</w:t>
            </w:r>
          </w:p>
        </w:tc>
        <w:tc>
          <w:tcPr>
            <w:tcW w:w="125"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283"/>
              <w:jc w:val="left"/>
              <w:rPr/>
            </w:pPr>
            <w:r>
              <w:rPr/>
              <w:t> </w:t>
            </w:r>
          </w:p>
        </w:tc>
        <w:tc>
          <w:tcPr>
            <w:tcW w:w="170" w:type="dxa"/>
            <w:tcBorders>
              <w:bottom w:val="double" w:sz="10" w:space="0" w:color="000000"/>
            </w:tcBorders>
            <w:tcMar>
              <w:bottom w:w="28" w:type="dxa"/>
            </w:tcMar>
            <w:vAlign w:val="center"/>
          </w:tcPr>
          <w:p>
            <w:pPr>
              <w:pStyle w:val="TableContents"/>
              <w:bidi w:val="0"/>
              <w:spacing w:before="0" w:after="283"/>
              <w:jc w:val="left"/>
              <w:rPr/>
            </w:pPr>
            <w:r>
              <w:rPr/>
              <w:t> </w:t>
            </w:r>
          </w:p>
        </w:tc>
        <w:tc>
          <w:tcPr>
            <w:tcW w:w="1085" w:type="dxa"/>
            <w:tcBorders>
              <w:bottom w:val="double" w:sz="10" w:space="0" w:color="000000"/>
            </w:tcBorders>
            <w:tcMar>
              <w:bottom w:w="28" w:type="dxa"/>
            </w:tcMar>
            <w:vAlign w:val="center"/>
          </w:tcPr>
          <w:p>
            <w:pPr>
              <w:pStyle w:val="TableContents"/>
              <w:bidi w:val="0"/>
              <w:spacing w:before="0" w:after="283"/>
              <w:jc w:val="right"/>
              <w:rPr/>
            </w:pPr>
            <w:r>
              <w:rPr/>
              <w:t>(7,801,914</w:t>
            </w:r>
          </w:p>
        </w:tc>
        <w:tc>
          <w:tcPr>
            <w:tcW w:w="170"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and Nine Months Ended September 30, 2025 and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the Company’s revenues, net of discounts and concessions, were approximately a negative $0.1 million and positive $1.6 million, respectively, compared to approximately $0.2 million and $0.7 million, respectively, in the three and nine months ended September 30, 2024. The decline in net revenue over the three months ended September 30, 2025 is principally driven by the following two customer contracts: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quarter ended September 2025, a contracted customer who was delayed in their usage ramp and overdue on their invoices made a partial payment with the understanding that they would require an amendment to the contract to make further payments. Management believes that it is in the best interest of the Company to negotiate an amendment with the customer, however no terms have been agreed upon as of the date of this filing. Accordingly, until the negotiations have concluded, the Company has ceased revenue recognition for this contract and adjusted contract balances related thereto such that the Remaining Performance Obligation reflects only the amounts paid to the Company by the customer to date.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8"/>
        <w:gridCol w:w="200"/>
        <w:gridCol w:w="9937"/>
      </w:tblGrid>
      <w:tr>
        <w:trPr/>
        <w:tc>
          <w:tcPr>
            <w:tcW w:w="6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caps w:val="false"/>
                <w:smallCaps w:val="false"/>
              </w:rPr>
            </w:pPr>
            <w:r>
              <w:rPr>
                <w:caps w:val="false"/>
                <w:smallCaps w:val="false"/>
              </w:rPr>
              <w:t>●</w:t>
            </w:r>
          </w:p>
        </w:tc>
        <w:tc>
          <w:tcPr>
            <w:tcW w:w="99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During the three months ended September 30, 2025, the Company made a total of $0.7 million in estimated concessions, primarily related to one customer contract with an annual usage minimum fee payable on December 31, 2025. The customer’s usage declined unexpectedly and remained significantly below the minimum commitment by September 30, 2025, despite consistent communication from the customer that they projected their usage to ramp. Given the customer’s strategic importance to the Company, as well as management’s belief in their anticipated growth in usage and ongoing new business development opportunities, the Company expects to make a concession on the annual minimum fee, in order to maintain the relationship moving forward. Revenue has been adjusted in the three months ended September 30, 2025 to account for the estimated concession.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compared to the three and nine months ended September 30, 2024, general and administrative expense increased by approximately $1.2 million and $3.5 million, respectively. The increase was driven by increases in employee related expenses, shares issued to management advisors, as well as credit loss expense related to certain customer contracts of approximately $0.0 million and $0.8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and nine months ended September 30, 2025 compared to the three and nine months ended September 30, 2024, research and development expenses increased by approximately $0.2 million and $1.5 million, respectively. The increase was due to continued investment in employees and contractors to deliver required product capabilities and performance for existing customers and sales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Depreciation and amortization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 expenses remained flat during the three and nine months ended September 30, 2025 compared to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expense, net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includes interest expense, debt issuance and discount amortization expense. Interest expense remained flat during the three and nine months ended September 30, 2025 compared to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Interest income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income includes bank interest earned on the Company’s cash balances. Interest income was flat during the three months ended September 30, 2025 compared to the three ended September 30, 2024. During the nine months ended September 30, 2025, interest income increased $0.1 million compared to the nine months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approximately $4.9 million of cash on hand and approximately $4.6 million of working capital as of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was approximately $11.8 million and $8.5 million in the nine months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investing activities for the nine months ended September 30, 2025 was approximately $2,000, compared with $18,000 for nine months ended September 30, 2024, for the payment of patent costs and purchases of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nine months ended September 30, 2025 consisted of approximately $8.2 million in proceeds from the sale of common stock,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financing activities in the nine months ended September 30, 2024 consisted of approximately $10.0 million in proceeds from the sale of common stock, net of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need to raise additional funds to support its operations and investments as it seeks to create a sustainable organization. Our growth-oriented business plan to offer products to our customers will require continued capital investment and there is no guarantee that such financing will be available, or available on acceptable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our current business plan will not change, and as a result of such change, we will need additional capital to implement such business plan. Further, assuming we achieve our expected growth plan, of which there is no guarantee, we will need additional capital to implement growth beyond our current business plan.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Macro-Economic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global economy has been undergoing a period of political and economic uncertainty and stock markets are experiencing high levels of volatility, and it is difficult to predict how long this uncertainty and volatility will continue. The current increase in international tariffs and uncertainty over international trading conditions, continuing wars in Ukraine and the Middle East, inflationary pressures, rising energy prices and increases in interest rates have impacted the United States and other major economies and have created uncertainty regarding a possible recession. As a result, many businesses, especially in the technology sector, have made significant cut-backs in expenditure, including reductions in force and investment freezes. Our sales and results are also impacted by the changes in levels of spending on identity verification, management and security methods, and thus, negative trends in the global economy and other factors which negatively impact such spending may negatively impact the growth of our revenue from those products. All or any of these risks separately, or in combination could have a material adverse effect on our business, financial condition, results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off-balance sheet arrangements that are reasonably likely to have a current or future effect on our financial condition, changes in financial condition, revenues or expenses, results of operations, liquidity, capital expenditures or capital resources that is deemed by our management to be material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recent material accounting policies that may be the most critical to understanding of the financial results and conditions are discussed in Note 1 of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include disclosure under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end of the period covered by this Quarterly Report, our Chief Executive Officer and Chief Financial Officer performed an evaluation of the effectiveness of our disclosure controls and procedures as defined in Rules 13a-15(e) and 15d-15(e) of the Exchange Act. Based on the evaluation, the Chief Executive Officer and Chief Financial Officer concluded that, as of September 30, 2025, the Company’s disclosure controls and procedures are effective to ensure that the information required to be disclosed by the Company in the report that it files or submits under the Exchange Act is recorded, processed, summarized, and reported within the time periods specified in SEC rules and forms.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that term is defined in Rules 13a-15(f) and 15d-15(f) under the Exchange Act) that occurred during the nine months ended September 30, 2025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4" w:name="a_013"/>
      <w:bookmarkEnd w:id="14"/>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is a party to various legal or administrative proceedings arising in the ordinary course of business. While any litigation contains an element of uncertainty, we have no reason to believe the outcome of such proceedings will have a material adverse effect on the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5" w:name="a_014"/>
      <w:bookmarkEnd w:id="15"/>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 factors describing the major risks to our business can be found under Item 1A, “Risk Factors”, in our Annual Report on Form 10-K for the year ended December 31, 2024. There has been no material change in our risk factors from those previously discussed in the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6" w:name="a_015"/>
      <w:bookmarkEnd w:id="16"/>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the Company granted 30,000 options to a new employee at an exercise price of $5.89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the above securities is exempt from the registration requirements under Rule 4(a)(2) of the Securities Act of 1933, as amended, and/or Rule 506 as promulgated under Regulation 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7" w:name="a_016"/>
      <w:bookmarkEnd w:id="17"/>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8" w:name="a_017"/>
      <w:bookmarkEnd w:id="18"/>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 to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 w:name="a_018"/>
      <w:bookmarkEnd w:id="19"/>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September 30, 2025, no director or officer of the Company adopted or terminated a “Rule 10b5-1 trading arrangement” or “non-Rule 10b5-1 trading arrangement,” as each term is defined in Item 408(a) of Regulation S-K.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18, 2025, Michael C. Thompson resigned as a director of the Company and as a member of the Audit Committee, the Governance Committee and the Compensation Committee, effective immediately. Mr. Thompson's resignation was for personal reasons and not the result of any disagreement with the Company on any matter relating to the Company's operations, policies or practices. The Board of Directors appointed Shrikrishna Venkataraman to fill the vacancy on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20" w:name="a_019"/>
      <w:bookmarkEnd w:id="20"/>
      <w:r>
        <w:rPr>
          <w:rFonts w:ascii="Times New Roman;Times;Serif" w:hAnsi="Times New Roman;Times;Serif"/>
          <w:b/>
          <w:i w:val="false"/>
          <w:caps w:val="false"/>
          <w:smallCaps w:val="false"/>
          <w:sz w:val="20"/>
        </w:rPr>
        <w:t>ITEM 6. EXHIBITS</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21"/>
        <w:gridCol w:w="90"/>
        <w:gridCol w:w="9094"/>
      </w:tblGrid>
      <w:tr>
        <w:trPr/>
        <w:tc>
          <w:tcPr>
            <w:tcW w:w="1021"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Number</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(1)</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&amp; Restated Certificate of Incorporation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Amended &amp; Restated Bylaws as of July 18, 2022</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dated June 14, 2021</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(6)</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Certificate of Amendment to Amended and Restated Certificate of Incorporation as of July 18, 2022</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Certificate of Amendment to Amended and Restated Certificate of Incorporation as of September 20, 2022</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 (13)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Amended and Restated Certificate of Incorporation dated June 26,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 (22)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Certificate of Amendment to the Certificate of Incorporation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Form of Stock Option</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w:anchor="ea026169901ex4-2_authid.htm">
              <w:r>
                <w:rPr>
                  <w:rStyle w:val="InternetLink"/>
                  <w:rFonts w:ascii="Times New Roman;Times;Serif" w:hAnsi="Times New Roman;Times;Serif"/>
                  <w:b w:val="false"/>
                  <w:i w:val="false"/>
                  <w:caps w:val="false"/>
                  <w:smallCaps w:val="false"/>
                  <w:sz w:val="20"/>
                </w:rPr>
                <w:t>Description of the Registrant’s Securities</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 (2)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Form of Director Agreement</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 (2)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12">
              <w:r>
                <w:rPr>
                  <w:rStyle w:val="InternetLink"/>
                  <w:rFonts w:ascii="Times New Roman;Times;Serif" w:hAnsi="Times New Roman;Times;Serif"/>
                  <w:b w:val="false"/>
                  <w:i w:val="false"/>
                  <w:caps w:val="false"/>
                  <w:smallCaps w:val="false"/>
                  <w:sz w:val="20"/>
                </w:rPr>
                <w:t>Form of Indemnification Agreement</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(3)</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3">
              <w:r>
                <w:rPr>
                  <w:rStyle w:val="InternetLink"/>
                  <w:rFonts w:ascii="Times New Roman;Times;Serif" w:hAnsi="Times New Roman;Times;Serif"/>
                  <w:b w:val="false"/>
                  <w:i w:val="false"/>
                  <w:caps w:val="false"/>
                  <w:smallCaps w:val="false"/>
                  <w:sz w:val="20"/>
                </w:rPr>
                <w:t>2017 Incentive Stock Plan</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 (2)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Executive Retention Agreement entered between the Company and Thomas L. Thimot dated June 14, 2021</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 (2)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Executive Retention Agreement entered between the Company and Cecil N. Smith III dated June 14, 2021</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 (4)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AuthID Inc. 2021 Equity Incentive Plan</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 (5)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Letter Agreement between Annie Pham and AuthID Inc. dated April 25, 2022</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 (8)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Amended and Restated Faculty Agreement between the Company and Stephen J. Garchik dated March 8,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 (8)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Promissory Note between the Company and Stephen J. Garchik dated March 9,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 (8)</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Guaranty Agreement by FIN Holdings Inc., Innovation in Motion, Inc. and ID Solutions, Inc. in favor of Stephen J. Garchik dated March 9,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(8)</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Release Agreement between the Company and Stephen J. Garchik dated March 9,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Letter Agreement between Rhoniel Daguro and AuthID Inc. dated March 23,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 (9)</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Executive Retention Agreement between Rhoniel Daguro and AuthID Inc. dated March 23,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(9)</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Confidential Separation Agreement and General Release between Thomas Thimot and authID Inc. Dated March 23,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(10)</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Letter Agreement between Thomas Szoke and AuthID Inc. dated April 12,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(10)</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Executive Retention Agreement between Thomas Szoke and AuthID Inc. dated April 12,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 (11)</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Executive Retention Agreement between Annie Pham and AuthID Inc. dated May 11, 2023</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 (12)**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Securities Purchase Agreement dated as of May 23, 2023 between the Company and accredited investors</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 (12)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Engagement Agreement dated as of April 20, 2023 between the Company and Madison Global Partners LLC</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 (12)</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Stock Purchase Warrant dated May 26, 2023 issued to Madison Global Partners LLC</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 (12)**</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Exchange Agreement dated as of May 23, 2023 between the Company and certain Holders</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 (14)</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Letter Agreement between Edward Sellitto and authID Inc. dated July 31, 2023</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 (15)</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Agreement dated October 25, 2023 between The Pipeline Group, Inc. and authID Inc.</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10.24 (17)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Securities Purchase Agreement dated as of November 20, 2023 between the Company and accredited investor</w:t>
              </w:r>
            </w:hyperlink>
          </w:p>
        </w:tc>
      </w:tr>
      <w:tr>
        <w:trPr/>
        <w:tc>
          <w:tcPr>
            <w:tcW w:w="102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 (17)</w:t>
            </w:r>
          </w:p>
        </w:tc>
        <w:tc>
          <w:tcPr>
            <w:tcW w:w="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Engagement Agreement dated as of November 2, 2023 between the Company and Madison Global Partners, LLC</w:t>
              </w:r>
            </w:hyperlink>
          </w:p>
        </w:tc>
      </w:tr>
      <w:tr>
        <w:trPr/>
        <w:tc>
          <w:tcPr>
            <w:tcW w:w="1021"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10.26 (17)</w:t>
            </w:r>
          </w:p>
        </w:tc>
        <w:tc>
          <w:tcPr>
            <w:tcW w:w="9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094" w:type="dxa"/>
            <w:tcBorders/>
            <w:shd w:fill="CCEEFF" w:val="clear"/>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Stock Purchase Warrant dated November 22, 2023 issued to Madison Global Partners, LLC</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14"/>
        <w:gridCol w:w="90"/>
        <w:gridCol w:w="9101"/>
      </w:tblGrid>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10.27 (18)**</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Agreement dated December 19, 2023 between The Pipeline Group, Inc and authID Inc.</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10.28 (19)</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Letter Agreement between Kunal Mehta and authID Inc.</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 (21)**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Securities Purchase Agreement dated as of June 24, 2024 between the Company and accredited investors</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 (21)</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Engagement Agreement, dated as of June 24, 2024 between the Company and Madison Global Partners, LLC</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10.31 (21)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Stock Purchase Warrant issued to Madison Global Partners LLC dated June 27, 2024</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10.32 (23)**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Agreement dated August 26, 2024 between The Pipeline Group, Inc. and authID Inc.</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10.33 (22)</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Letter Agreement between Erick Soto and authID Inc. dated September 10, 2024</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10.34 (22)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Executive Retention Agreement between Erick Soto and AuthID Inc. dated September 10, 2024</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10.35 (24)</w:t>
            </w:r>
            <w:r>
              <w:rPr>
                <w:rFonts w:ascii="Times New Roman;Times;Serif" w:hAnsi="Times New Roman;Times;Serif"/>
                <w:b/>
                <w:i w:val="false"/>
                <w:caps w:val="false"/>
                <w:smallCaps w:val="false"/>
                <w:sz w:val="20"/>
              </w:rPr>
              <w:t>**</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Form of Securities Purchase Agreement dated as of March 31, 2025 between the Company and accredited investors</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 (24)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Pre-Funded Warrant dated April 1, 2025</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10.37 (24)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Engagement Agreement dated as of March 12, 2025 between the Company and Madison Global Partners LLC</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10.38 (24)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Amendment to the Engagement Agreement dated as of March 26, 2025 between the Company and Madison Global Partners LLC</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10.39 (24)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Placement Agency Agreement between the Company and Dominari Securities LLC dated March 31, 2025</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 (24)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Stock Purchase Warrant issued to Madison Global Partners LLC dated April 1, 2025</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 (24)</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Stock Purchase Warrant issued to Dominari Securities LLC dated April 1, 2025</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 (25)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Securities Purchase Agreement, dated as of May 6, 2025, between the Company and accredited investors</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 (25)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Placement Agency Agreement between the Company and Dominari Securities LLC dated May 6, 2025</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 (25)</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 xml:space="preserve">Stock Purchase Warrant issued to Madison Global Partners, LLC dated May 7, 2025 </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10.45 (25)</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Stock Purchase Warrant issued to Dominari Securities LLC dated May 7, 2025</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10.46 (26)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Form of Director Appointment Letter</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w:anchor="ea026169901ex10-47_authid.htm">
              <w:r>
                <w:rPr>
                  <w:rStyle w:val="InternetLink"/>
                  <w:rFonts w:ascii="Times New Roman;Times;Serif" w:hAnsi="Times New Roman;Times;Serif"/>
                  <w:b w:val="false"/>
                  <w:i w:val="false"/>
                  <w:caps w:val="false"/>
                  <w:smallCaps w:val="false"/>
                  <w:sz w:val="20"/>
                </w:rPr>
                <w:t>Agreement dated September 26, 2025 between The Pipeline Group, Inc. and authID Inc.</w:t>
              </w:r>
            </w:hyperlink>
            <w:r>
              <w:rPr>
                <w:rFonts w:ascii="Times New Roman;Times;Serif" w:hAnsi="Times New Roman;Times;Serif"/>
                <w:b w:val="false"/>
                <w:i w:val="false"/>
                <w:caps w:val="false"/>
                <w:smallCaps w:val="false"/>
                <w:sz w:val="20"/>
              </w:rPr>
              <w:t> </w:t>
            </w:r>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 (16)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Code of Ethics</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(23)</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Insider Trading Policy</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(23)</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List of Subsidiaries</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w:anchor="ea026169901ex31-1_authid.htm">
              <w:r>
                <w:rPr>
                  <w:rStyle w:val="InternetLink"/>
                  <w:rFonts w:ascii="Times New Roman;Times;Serif" w:hAnsi="Times New Roman;Times;Serif"/>
                  <w:b w:val="false"/>
                  <w:i w:val="false"/>
                  <w:caps w:val="false"/>
                  <w:smallCaps w:val="false"/>
                  <w:sz w:val="20"/>
                </w:rPr>
                <w:t>Certification of Chief Executive Officer pursuant to Rule 13a-14(a)/15d-14(a) of the Securities Exchange Act</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w:anchor="ea026169901ex31-2_authid.htm">
              <w:r>
                <w:rPr>
                  <w:rStyle w:val="InternetLink"/>
                  <w:rFonts w:ascii="Times New Roman;Times;Serif" w:hAnsi="Times New Roman;Times;Serif"/>
                  <w:b w:val="false"/>
                  <w:i w:val="false"/>
                  <w:caps w:val="false"/>
                  <w:smallCaps w:val="false"/>
                  <w:sz w:val="20"/>
                </w:rPr>
                <w:t>Certification of Chief Financial Officer pursuant to Rule 13a-14(a)/15d-14(a) of the Securities Exchange Act</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w:anchor="ea026169901ex32-1_authid.htm">
              <w:r>
                <w:rPr>
                  <w:rStyle w:val="InternetLink"/>
                  <w:rFonts w:ascii="Times New Roman;Times;Serif" w:hAnsi="Times New Roman;Times;Serif"/>
                  <w:b w:val="false"/>
                  <w:i w:val="false"/>
                  <w:caps w:val="false"/>
                  <w:smallCaps w:val="false"/>
                  <w:sz w:val="20"/>
                </w:rPr>
                <w:t>Certification of Chief Executive Officer and Chief Financial Officer pursuant to 18 U.S.C. §1350, as adopted pursuant to Section 906 of the Sarbanes-Oxley Act of 2002</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97.1 (16)</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Policy for the Recovery of Erroneously Awarded Compensation adopted October 6, 2023</w:t>
              </w:r>
            </w:hyperlink>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 (20)</w:t>
            </w:r>
          </w:p>
        </w:tc>
        <w:tc>
          <w:tcPr>
            <w:tcW w:w="9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Policy on Granting Equity Awards</w:t>
              </w:r>
            </w:hyperlink>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Instance Document </w:t>
            </w:r>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Schema Document </w:t>
            </w:r>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Calculation Linkbase Document </w:t>
            </w:r>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Definition Linkbase Document </w:t>
            </w:r>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Label Linkbase Document </w:t>
            </w:r>
          </w:p>
        </w:tc>
      </w:tr>
      <w:tr>
        <w:trPr/>
        <w:tc>
          <w:tcPr>
            <w:tcW w:w="101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101"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Inline XBRL Taxonomy Extension Presentation Linkbase Document </w:t>
            </w:r>
          </w:p>
        </w:tc>
      </w:tr>
      <w:tr>
        <w:trPr/>
        <w:tc>
          <w:tcPr>
            <w:tcW w:w="1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91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tbl>
      <w:tblPr>
        <w:tblW w:w="1435" w:type="dxa"/>
        <w:jc w:val="left"/>
        <w:tblInd w:w="0" w:type="dxa"/>
        <w:tblLayout w:type="fixed"/>
        <w:tblCellMar>
          <w:top w:w="0" w:type="dxa"/>
          <w:left w:w="0" w:type="dxa"/>
          <w:bottom w:w="0" w:type="dxa"/>
          <w:right w:w="0" w:type="dxa"/>
        </w:tblCellMar>
      </w:tblPr>
      <w:tblGrid>
        <w:gridCol w:w="170"/>
        <w:gridCol w:w="1265"/>
      </w:tblGrid>
      <w:tr>
        <w:trPr/>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confidential portions of this exhibit were omitted by means of marking such portions with asterisks because the identified confidential portions (i) are not material and (ii) would be competitively harmful if publicly disclosed. A copy of any omitted portions will be furnished to the SEC upon request.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7"/>
        <w:gridCol w:w="9918"/>
      </w:tblGrid>
      <w:tr>
        <w:trPr/>
        <w:tc>
          <w:tcPr>
            <w:tcW w:w="2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23, 2021.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7"/>
        <w:gridCol w:w="9818"/>
      </w:tblGrid>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15, 2021.</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May 4, 2018.</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S-8 Registration Statement filed with the Securities Exchange Commission on February 1, 2022.</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27, 2022.</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July 19, 2022.</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September 21, 2022.</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10,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28,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18,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16,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26,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27,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August 3,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October 26,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November 8,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November 27, 2023.</w:t>
            </w:r>
          </w:p>
        </w:tc>
      </w:tr>
      <w:tr>
        <w:trPr/>
        <w:tc>
          <w:tcPr>
            <w:tcW w:w="3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December 21, 2023.</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March 26, 2024.</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May 15, 2024.</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June 27, 2024.</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November 7, 2024.</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10-K Annual Report filed with the Securities Exchange Commission on March 13, 2025.</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April 2, 2025.</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8-K Current Report filed with the Securities Exchange Commission on May 7, 2025</w:t>
            </w:r>
          </w:p>
        </w:tc>
      </w:tr>
      <w:tr>
        <w:trPr/>
        <w:tc>
          <w:tcPr>
            <w:tcW w:w="3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c>
          <w:tcPr>
            <w:tcW w:w="981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by reference to the Form 10-Q Quarterly Report filed with the Securities Exchange Commission on August 14,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648"/>
        <w:jc w:val="left"/>
        <w:rPr>
          <w:caps w:val="false"/>
          <w:smallCaps w:val="false"/>
        </w:rPr>
      </w:pPr>
      <w:r>
        <w:rPr>
          <w:caps w:val="false"/>
          <w:smallCaps w:val="false"/>
        </w:rPr>
        <w:t> </w:t>
      </w:r>
    </w:p>
    <w:tbl>
      <w:tblPr>
        <w:tblW w:w="1145" w:type="dxa"/>
        <w:jc w:val="left"/>
        <w:tblInd w:w="0" w:type="dxa"/>
        <w:tblLayout w:type="fixed"/>
        <w:tblCellMar>
          <w:top w:w="0" w:type="dxa"/>
          <w:left w:w="0" w:type="dxa"/>
          <w:bottom w:w="0" w:type="dxa"/>
          <w:right w:w="0" w:type="dxa"/>
        </w:tblCellMar>
      </w:tblPr>
      <w:tblGrid>
        <w:gridCol w:w="105"/>
        <w:gridCol w:w="1040"/>
      </w:tblGrid>
      <w:tr>
        <w:trPr/>
        <w:tc>
          <w:tcPr>
            <w:tcW w:w="105" w:type="dxa"/>
            <w:tcBorders/>
            <w:vAlign w:val="center"/>
          </w:tcPr>
          <w:p>
            <w:pPr>
              <w:pStyle w:val="TableContents"/>
              <w:bidi w:val="0"/>
              <w:spacing w:before="0" w:after="283"/>
              <w:jc w:val="left"/>
              <w:rPr>
                <w:caps w:val="false"/>
                <w:smallCaps w:val="false"/>
              </w:rPr>
            </w:pPr>
            <w:r>
              <w:rPr>
                <w:caps w:val="false"/>
                <w:smallCaps w:val="false"/>
              </w:rPr>
              <w:t> </w:t>
            </w:r>
          </w:p>
        </w:tc>
        <w:tc>
          <w:tcPr>
            <w:tcW w:w="104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authID Inc.</w:t>
            </w:r>
          </w:p>
        </w:tc>
      </w:tr>
    </w:tbl>
    <w:p>
      <w:pPr>
        <w:pStyle w:val="TextBody"/>
        <w:bidi w:val="0"/>
        <w:spacing w:before="0" w:after="0"/>
        <w:ind w:left="0" w:right="0" w:hanging="0"/>
        <w:jc w:val="left"/>
        <w:rPr>
          <w:caps w:val="false"/>
          <w:smallCaps w:val="false"/>
        </w:rPr>
      </w:pPr>
      <w:r>
        <w:rPr>
          <w:caps w:val="false"/>
          <w:smallCaps w:val="false"/>
        </w:rPr>
        <w:t> </w:t>
      </w:r>
    </w:p>
    <w:tbl>
      <w:tblPr>
        <w:tblW w:w="6315" w:type="dxa"/>
        <w:jc w:val="left"/>
        <w:tblInd w:w="0" w:type="dxa"/>
        <w:tblLayout w:type="fixed"/>
        <w:tblCellMar>
          <w:top w:w="0" w:type="dxa"/>
          <w:left w:w="0" w:type="dxa"/>
          <w:bottom w:w="0" w:type="dxa"/>
          <w:right w:w="0" w:type="dxa"/>
        </w:tblCellMar>
      </w:tblPr>
      <w:tblGrid>
        <w:gridCol w:w="2255"/>
        <w:gridCol w:w="350"/>
        <w:gridCol w:w="3710"/>
      </w:tblGrid>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Rhoniel Daguro</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Rhoniel A. Daguro </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1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Ed Sellitto</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Ed Sellitto</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2255"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r>
        <w:trPr/>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November 12, 2025</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371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1" w:name="ea026169901ex4-2_authid.htm"/>
      <w:bookmarkStart w:id="22" w:name="ksea026169901ex42_authid"/>
      <w:bookmarkEnd w:id="21"/>
      <w:bookmarkEnd w:id="22"/>
      <w:r>
        <w:rPr>
          <w:rFonts w:ascii="Times New Roman;Times;Serif" w:hAnsi="Times New Roman;Times;Serif"/>
          <w:b/>
          <w:i w:val="false"/>
          <w:caps w:val="false"/>
          <w:smallCaps w:val="false"/>
          <w:sz w:val="20"/>
        </w:rPr>
        <w:t>Exhibit 4.2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THE REGISTRANT’S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PURSUANT TO SECTION 12 OF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 AS AMENDED</w:t>
      </w:r>
    </w:p>
    <w:p>
      <w:pPr>
        <w:pStyle w:val="TextBody"/>
        <w:bidi w:val="0"/>
        <w:spacing w:before="0" w:after="0"/>
        <w:ind w:left="0" w:right="0" w:firstLine="48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2024, authID Inc. (“we,” “our,” “us” or the “Company”) had one class of securities registered under Section 12 of the Securities Exchange Act of 1934, as amended (the “Exchange Act”): its common stock with a par value of $0.0001 per share (“Common Stock”).</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170,000,000 shares, all with a par value of $0.0001 per share, of which 150,000,000 shares are designated as Common Stock and 20,000,000 shares are designated as preferred stock. The following descriptions of our capital stock and certain provisions of our certificate of incorporation and bylaws are summaries and are qualified by reference to the amended and restated certificate of incorporation and amended and restated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preferred stock, holders of our Common Stock are entitled to receive dividends, if any, as may be declared from time to time by our board of directors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required by law or matters relating solely to the terms of preferred stock, each outstanding share of Common Stock is entitled to one vote on all matters submitted to a vote of stockholders. Holders of shares of our Common Stock shall have no cumulative voting rights. Except in respect of matters relating to the election and removal of directors on our board of directors and as otherwise provided in our amended and restated certificate of incorporation or required by law, all matters to be voted on by our stockholders must be approved by a majority of the shares present in person or by proxy at the meeting and entitled to vote on the subject matter. In the case of election of directors, the affirmative vote of a plurality of the shares present in person or by proxy at the meeting and entitled to vote on the election of directors is required, and the nominees receiving the largest number of votes will be elected as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the liquidation, dissolution or winding up of our company, holders of our Common Stock are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and Preferences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of our preferred stock are outstanding. Pursuant to the certificate of incorporation, we are authorized to issue up to 20,000,000 shares of preferred stock. Our certificate of incorporation authorizes our board, without any further stockholder action or approval, to issue these shares in one or more classes or series, to establish from time to time the number of shares to be included in each class or series and to fix the rights, preferences and privileges of the shares of each wholly unissued class or series and any of its qualifications, limitations or restrictions. Our board may authorize the issuance of preferred stock with voting or conversion rights that could adversely affect the voting power or other rights of the holders of our Common Stock. Additionally, the issuance of preferred stock may decrease the market price of our Common Stock. We currently have no plans to issue any shares of preferred stock.</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Authorized but Unissued Capital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authorized but unissued shares of preferred stock and Common Stock, and our board of directors may authorize the issuance of one or more series of preferred stock without stockholder approval. These shares could be used by our board of directors to make it more difficult or to discourage an attempt to obtain control of us through a merger, tender offer, proxy contest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 on Liability and Indemnification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pStyle w:val="TextBody"/>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75"/>
        <w:gridCol w:w="170"/>
        <w:gridCol w:w="56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6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breach of the director’s duty of loyalty to us or our stockholders;</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75"/>
        <w:gridCol w:w="170"/>
        <w:gridCol w:w="87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act or omission not in good faith or that involves intentional misconduct or a knowing violation of law;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unlawful payments of dividends or unlawful stock repurchases or redemptions as provided in Section 174 of the Delaware General Corporation Law; or</w:t>
            </w:r>
          </w:p>
        </w:tc>
      </w:tr>
    </w:tbl>
    <w:p>
      <w:pPr>
        <w:pStyle w:val="TextBody"/>
        <w:bidi w:val="0"/>
        <w:spacing w:before="0" w:after="0"/>
        <w:ind w:left="0" w:right="0" w:hanging="0"/>
        <w:jc w:val="left"/>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75"/>
        <w:gridCol w:w="170"/>
        <w:gridCol w:w="62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62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bylaws provide that we are required to indemnify our directors and officers, in each case to the fullest extent permitted by Delaware law. Our bylaws also will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and indemnification provisions in our certificate of incorporation and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Insofar as indemnification for liabilities arising under the Securities Act of 1933, as amended, may be permitted to our directors, officers and controlling persons pursuant to the foregoing provisions, or otherwise, we have been advised that, in the opinion of the Securities and Exchange Commission, such indemnification is against public policy as expressed in the Securities Act of 1933, as amended, and is, therefore, unenforceable. At present, there is no pending litigation or proceeding involving any of our directors, officers or employees for which indemnification is sought, and we are not aware of any threatened litigation that may result in claims for indemnification.</w:t>
      </w:r>
    </w:p>
    <w:p>
      <w:pPr>
        <w:pStyle w:val="TextBody"/>
        <w:shd w:fill="FFFFFF" w:val="clear"/>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transfer agent for our securities is Computershare N.A. 150 Royall Street, Canton, MA 02021, and its telephone number is 877-373-6374.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“AUID.” Our Common Stock began trading on Nasdaq on August 24, 2021. Our Common Stock was previously traded on the OTC Markets, OTCQB, under the symbol “AUID.”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3" w:name="ea026169901ex10-47_authid.htm"/>
      <w:bookmarkStart w:id="24" w:name="ksea026169901ex1047_authid"/>
      <w:bookmarkEnd w:id="23"/>
      <w:bookmarkEnd w:id="24"/>
      <w:r>
        <w:rPr>
          <w:rFonts w:ascii="Times New Roman;Times;Serif" w:hAnsi="Times New Roman;Times;Serif"/>
          <w:b/>
          <w:i w:val="false"/>
          <w:caps w:val="false"/>
          <w:smallCaps w:val="false"/>
          <w:sz w:val="20"/>
        </w:rPr>
        <w:t>Exhibit 10.47</w:t>
      </w:r>
      <w:r>
        <w:br w:type="page"/>
      </w:r>
    </w:p>
    <w:p>
      <w:pPr>
        <w:pStyle w:val="TextBody"/>
        <w:bidi w:val="0"/>
        <w:spacing w:before="0" w:after="0"/>
        <w:ind w:left="0" w:right="0" w:firstLine="9435"/>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3305"/>
        <w:gridCol w:w="1385"/>
        <w:gridCol w:w="75"/>
      </w:tblGrid>
      <w:tr>
        <w:trPr/>
        <w:tc>
          <w:tcPr>
            <w:tcW w:w="3305" w:type="dxa"/>
            <w:vMerge w:val="restart"/>
            <w:tcBorders/>
            <w:vAlign w:val="center"/>
          </w:tcPr>
          <w:p>
            <w:pPr>
              <w:pStyle w:val="TableContents"/>
              <w:bidi w:val="0"/>
              <w:spacing w:before="0" w:after="0"/>
              <w:ind w:left="0" w:right="0" w:hanging="0"/>
              <w:jc w:val="left"/>
              <w:rPr>
                <w:caps w:val="false"/>
                <w:smallCaps w:val="false"/>
              </w:rPr>
            </w:pPr>
            <w:r>
              <w:rPr>
                <w:caps w:val="false"/>
                <w:smallCaps w:val="false"/>
              </w:rPr>
              <w:drawing>
                <wp:inline distT="0" distB="0" distL="0" distR="0">
                  <wp:extent cx="19621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2"/>
                          <a:stretch>
                            <a:fillRect/>
                          </a:stretch>
                        </pic:blipFill>
                        <pic:spPr bwMode="auto">
                          <a:xfrm>
                            <a:off x="0" y="0"/>
                            <a:ext cx="1962150" cy="428625"/>
                          </a:xfrm>
                          <a:prstGeom prst="rect">
                            <a:avLst/>
                          </a:prstGeom>
                        </pic:spPr>
                      </pic:pic>
                    </a:graphicData>
                  </a:graphic>
                </wp:inline>
              </w:drawing>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Ken Jisser, CEO The Pipeline Group, Inc</w:t>
              <w:br/>
              <w:t>1625 The Alameda, Suite 402</w:t>
              <w:br/>
              <w:t>San Jose, CA 95126</w:t>
              <w:br/>
              <w:t>Phone: [**]</w:t>
              <w:br/>
              <w:t>Email: [**]</w:t>
            </w:r>
          </w:p>
        </w:tc>
        <w:tc>
          <w:tcPr>
            <w:tcW w:w="1385" w:type="dxa"/>
            <w:tcBorders/>
            <w:vAlign w:val="center"/>
          </w:tcPr>
          <w:p>
            <w:pPr>
              <w:pStyle w:val="TableContents"/>
              <w:bidi w:val="0"/>
              <w:spacing w:before="0" w:after="283"/>
              <w:jc w:val="right"/>
              <w:rPr>
                <w:b/>
                <w:sz w:val="20"/>
              </w:rPr>
            </w:pPr>
            <w:r>
              <w:rPr>
                <w:b/>
                <w:sz w:val="20"/>
              </w:rPr>
              <w:t xml:space="preserve">ORDER FORM </w:t>
            </w:r>
          </w:p>
        </w:tc>
        <w:tc>
          <w:tcPr>
            <w:tcW w:w="75" w:type="dxa"/>
            <w:tcBorders/>
            <w:vAlign w:val="center"/>
          </w:tcPr>
          <w:p>
            <w:pPr>
              <w:pStyle w:val="TableContents"/>
              <w:bidi w:val="0"/>
              <w:spacing w:before="0" w:after="283"/>
              <w:jc w:val="left"/>
              <w:rPr/>
            </w:pPr>
            <w:r>
              <w:rPr/>
              <w:t> </w:t>
            </w:r>
          </w:p>
        </w:tc>
      </w:tr>
      <w:tr>
        <w:trPr/>
        <w:tc>
          <w:tcPr>
            <w:tcW w:w="3305" w:type="dxa"/>
            <w:vMerge w:val="continue"/>
            <w:tcBorders/>
            <w:vAlign w:val="center"/>
          </w:tcPr>
          <w:p>
            <w:pPr>
              <w:pStyle w:val="Normal"/>
              <w:bidi w:val="0"/>
              <w:jc w:val="left"/>
              <w:rPr/>
            </w:pPr>
            <w:r>
              <w:rPr/>
            </w:r>
          </w:p>
        </w:tc>
        <w:tc>
          <w:tcPr>
            <w:tcW w:w="1385" w:type="dxa"/>
            <w:vMerge w:val="restart"/>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283"/>
              <w:jc w:val="left"/>
              <w:rPr/>
            </w:pPr>
            <w:r>
              <w:rPr/>
              <w:t> </w:t>
            </w:r>
          </w:p>
        </w:tc>
        <w:tc>
          <w:tcPr>
            <w:tcW w:w="1385" w:type="dxa"/>
            <w:vMerge w:val="continue"/>
            <w:tcBorders/>
            <w:vAlign w:val="center"/>
          </w:tcPr>
          <w:p>
            <w:pPr>
              <w:pStyle w:val="Normal"/>
              <w:bidi w:val="0"/>
              <w:jc w:val="left"/>
              <w:rPr/>
            </w:pPr>
            <w:r>
              <w:rPr/>
            </w:r>
          </w:p>
        </w:tc>
        <w:tc>
          <w:tcPr>
            <w:tcW w:w="75" w:type="dxa"/>
            <w:tcBorders/>
            <w:vAlign w:val="center"/>
          </w:tcPr>
          <w:p>
            <w:pPr>
              <w:pStyle w:val="TableContents"/>
              <w:bidi w:val="0"/>
              <w:spacing w:before="0" w:after="283"/>
              <w:jc w:val="left"/>
              <w:rPr/>
            </w:pPr>
            <w:r>
              <w:rPr/>
              <w:t> </w:t>
            </w:r>
          </w:p>
        </w:tc>
      </w:tr>
      <w:tr>
        <w:trPr/>
        <w:tc>
          <w:tcPr>
            <w:tcW w:w="330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Rhon Daguro, CEO</w:t>
              <w:br/>
              <w:t>Ed Sellitto, CFO</w:t>
              <w:br/>
              <w:t>Graham Arad, General Counsel</w:t>
              <w:br/>
              <w:t>authID Inc.</w:t>
              <w:br/>
              <w:t>1580 N. Logan St., Ste 660, Unit 51767</w:t>
              <w:br/>
              <w:t>Denver, Colorado 80203-1994</w:t>
              <w:b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BANK DETAILS:</w:t>
              <w:br/>
            </w:r>
            <w:r>
              <w:rPr>
                <w:rFonts w:ascii="Times New Roman;Times;Serif" w:hAnsi="Times New Roman;Times;Serif"/>
                <w:b w:val="false"/>
                <w:i w:val="false"/>
                <w:caps w:val="false"/>
                <w:smallCaps w:val="false"/>
                <w:sz w:val="20"/>
              </w:rPr>
              <w:t>[**]</w:t>
            </w:r>
          </w:p>
        </w:tc>
        <w:tc>
          <w:tcPr>
            <w:tcW w:w="138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firstLine="9435"/>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923925" cy="904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3"/>
                    <a:stretch>
                      <a:fillRect/>
                    </a:stretch>
                  </pic:blipFill>
                  <pic:spPr bwMode="auto">
                    <a:xfrm>
                      <a:off x="0" y="0"/>
                      <a:ext cx="923925" cy="904875"/>
                    </a:xfrm>
                    <a:prstGeom prst="rect">
                      <a:avLst/>
                    </a:prstGeom>
                  </pic:spPr>
                </pic:pic>
              </a:graphicData>
            </a:graphic>
          </wp:inline>
        </w:drawing>
      </w:r>
    </w:p>
    <w:p>
      <w:pPr>
        <w:pStyle w:val="TextBody"/>
        <w:bidi w:val="0"/>
        <w:spacing w:before="0" w:after="0"/>
        <w:ind w:left="0" w:right="0" w:firstLine="9435"/>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TPG Order Form</w:t>
      </w:r>
    </w:p>
    <w:p>
      <w:pPr>
        <w:pStyle w:val="TextBody"/>
        <w:bidi w:val="0"/>
        <w:spacing w:before="0" w:after="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 xml:space="preserve">More effective engagement. </w:t>
      </w:r>
      <w:r>
        <w:rPr>
          <w:rFonts w:ascii="Times New Roman;Times;Serif" w:hAnsi="Times New Roman;Times;Serif"/>
          <w:b/>
          <w:i w:val="false"/>
          <w:caps w:val="false"/>
          <w:smallCaps w:val="false"/>
          <w:sz w:val="24"/>
        </w:rPr>
        <w:t>More pipeline.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Launchpad xDR as a Service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Fully Managed Business Development Representatives (xDRs)</w:t>
        <w:br/>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Full-Time Equivalent xDRs: Pipeline creation and efficient new business generation.</w:t>
        <w:br/>
        <w:t>- Outbound calls, emails, social outreach, attend discovery calls, send calendar invites, and/or can make hot transfers.</w:t>
        <w:br/>
        <w:t>- Certified in client messaging, TPG technology, and TPG best practices.</w:t>
        <w:br/>
        <w:t>- Maintain anticipated activity metrics for the appropriate xDR Type and Total Addressable Marketing (TAM).</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xDR Support</w:t>
      </w:r>
      <w:r>
        <w:rPr>
          <w:rFonts w:ascii="Times New Roman;Times;Serif" w:hAnsi="Times New Roman;Times;Serif"/>
          <w:b w:val="false"/>
          <w:i w:val="false"/>
          <w:caps w:val="false"/>
          <w:smallCaps w:val="false"/>
          <w:sz w:val="20"/>
        </w:rPr>
        <w:br/>
        <w:t>- Full-time support for xDRs during breaks, PTO, and sick days.</w:t>
        <w:br/>
        <w:t>- Zero ramp time for future FTE needs. Backup for performance and unanticipated issues</w:t>
      </w:r>
      <w:r>
        <w:rPr>
          <w:rFonts w:ascii="Times New Roman;Times;Serif" w:hAnsi="Times New Roman;Times;Serif"/>
          <w:b/>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Management &amp; Training Deliverables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xDR Manager</w:t>
        <w:br/>
        <w:t xml:space="preserve">- </w:t>
      </w:r>
      <w:r>
        <w:rPr>
          <w:rFonts w:ascii="Times New Roman;Times;Serif" w:hAnsi="Times New Roman;Times;Serif"/>
          <w:b w:val="false"/>
          <w:i w:val="false"/>
          <w:caps w:val="false"/>
          <w:smallCaps w:val="false"/>
          <w:sz w:val="20"/>
        </w:rPr>
        <w:t>Weekly reviews of reports and dashboards.</w:t>
        <w:br/>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Identify areas for soft skill improvements.</w:t>
        <w:br/>
        <w:br/>
      </w:r>
      <w:r>
        <w:rPr>
          <w:rFonts w:ascii="Times New Roman;Times;Serif" w:hAnsi="Times New Roman;Times;Serif"/>
          <w:b/>
          <w:i w:val="false"/>
          <w:caps w:val="false"/>
          <w:smallCaps w:val="false"/>
          <w:sz w:val="20"/>
        </w:rPr>
        <w:t>4. Cold Calling Optimization Training</w:t>
        <w:br/>
        <w:t xml:space="preserve">- </w:t>
      </w:r>
      <w:r>
        <w:rPr>
          <w:rFonts w:ascii="Times New Roman;Times;Serif" w:hAnsi="Times New Roman;Times;Serif"/>
          <w:b w:val="false"/>
          <w:i w:val="false"/>
          <w:caps w:val="false"/>
          <w:smallCaps w:val="false"/>
          <w:sz w:val="20"/>
        </w:rPr>
        <w:t>Role-play sessions with updated conversation guides.</w:t>
        <w:br/>
        <w:t>- Objection-handling techniques. Call blitz campaigns to boost team performance.</w:t>
        <w:br/>
        <w:br/>
      </w:r>
      <w:r>
        <w:rPr>
          <w:rFonts w:ascii="Times New Roman;Times;Serif" w:hAnsi="Times New Roman;Times;Serif"/>
          <w:b/>
          <w:i w:val="false"/>
          <w:caps w:val="false"/>
          <w:smallCaps w:val="false"/>
          <w:sz w:val="20"/>
        </w:rPr>
        <w:t>5. xDR Advisory Services &amp; Benchmarking</w:t>
        <w:br/>
        <w:t xml:space="preserve">- </w:t>
      </w:r>
      <w:r>
        <w:rPr>
          <w:rFonts w:ascii="Times New Roman;Times;Serif" w:hAnsi="Times New Roman;Times;Serif"/>
          <w:b w:val="false"/>
          <w:i w:val="false"/>
          <w:caps w:val="false"/>
          <w:smallCaps w:val="false"/>
          <w:sz w:val="20"/>
        </w:rPr>
        <w:t>Semi-Quarterly executive reviews comparing xDR activities with industry benchmarks.</w:t>
        <w:br/>
        <w:t>- Continuous updates on trends, tactics, and tools.</w:t>
        <w:br/>
        <w:br/>
      </w:r>
      <w:r>
        <w:rPr>
          <w:rFonts w:ascii="Times New Roman;Times;Serif" w:hAnsi="Times New Roman;Times;Serif"/>
          <w:b/>
          <w:i w:val="false"/>
          <w:caps w:val="false"/>
          <w:smallCaps w:val="false"/>
          <w:sz w:val="20"/>
        </w:rPr>
        <w:t>6. Meeting Hand-off Training</w:t>
        <w:br/>
        <w:t xml:space="preserve">- </w:t>
      </w:r>
      <w:r>
        <w:rPr>
          <w:rFonts w:ascii="Times New Roman;Times;Serif" w:hAnsi="Times New Roman;Times;Serif"/>
          <w:b w:val="false"/>
          <w:i w:val="false"/>
          <w:caps w:val="false"/>
          <w:smallCaps w:val="false"/>
          <w:sz w:val="20"/>
        </w:rPr>
        <w:t>Align systems and ensure smooth handoffs from xDRs to sales teams.</w:t>
        <w:br/>
        <w:t>- All xDRs are trained on TPG guided selling best practices to ensure the pipeline progresses.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TPG Technologies™ Support &amp; Configuration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TPG Technologies Configuration &amp; Support</w:t>
        <w:br/>
      </w:r>
      <w:r>
        <w:rPr>
          <w:rFonts w:ascii="Times New Roman;Times;Serif" w:hAnsi="Times New Roman;Times;Serif"/>
          <w:b w:val="false"/>
          <w:i w:val="false"/>
          <w:caps w:val="false"/>
          <w:smallCaps w:val="false"/>
          <w:sz w:val="20"/>
        </w:rPr>
        <w:t>- First-line support for automated dialing technology, with email and social integration.</w:t>
        <w:br/>
        <w:t>- Ongoing system maintenance and escalation as needed.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Ideal Customer Profile (ICP)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ICP Data Classification</w:t>
        <w:br/>
        <w:t xml:space="preserve">- </w:t>
      </w:r>
      <w:r>
        <w:rPr>
          <w:rFonts w:ascii="Times New Roman;Times;Serif" w:hAnsi="Times New Roman;Times;Serif"/>
          <w:b w:val="false"/>
          <w:i w:val="false"/>
          <w:caps w:val="false"/>
          <w:smallCaps w:val="false"/>
          <w:sz w:val="20"/>
        </w:rPr>
        <w:t>Categorize Salesforce data by industry, employee size, and revenue.</w:t>
        <w:br/>
        <w:t>- Define ICP criteria and create a detailed ICP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Outbound List Building</w:t>
        <w:br/>
        <w:t xml:space="preserve">- </w:t>
      </w:r>
      <w:r>
        <w:rPr>
          <w:rFonts w:ascii="Times New Roman;Times;Serif" w:hAnsi="Times New Roman;Times;Serif"/>
          <w:b w:val="false"/>
          <w:i w:val="false"/>
          <w:caps w:val="false"/>
          <w:smallCaps w:val="false"/>
          <w:sz w:val="20"/>
        </w:rPr>
        <w:t>Segment Salesforce data and 3rd-party leads for outbound calls.</w:t>
        <w:br/>
        <w:t>- Build high-propensity account lists based on ICP.</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Conversation Guide Content Curation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Content Review</w:t>
        <w:br/>
        <w:t xml:space="preserve">- </w:t>
      </w:r>
      <w:r>
        <w:rPr>
          <w:rFonts w:ascii="Times New Roman;Times;Serif" w:hAnsi="Times New Roman;Times;Serif"/>
          <w:b w:val="false"/>
          <w:i w:val="false"/>
          <w:caps w:val="false"/>
          <w:smallCaps w:val="false"/>
          <w:sz w:val="20"/>
        </w:rPr>
        <w:t>Audit sales, marketing, and product content (e.g., personas, objections, use-cases).</w:t>
        <w:br/>
        <w:t>- Develop an initial Conversation Guide (CG).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Conversation Guide Updates</w:t>
        <w:br/>
        <w:t xml:space="preserve">- </w:t>
      </w:r>
      <w:r>
        <w:rPr>
          <w:rFonts w:ascii="Times New Roman;Times;Serif" w:hAnsi="Times New Roman;Times;Serif"/>
          <w:b w:val="false"/>
          <w:i w:val="false"/>
          <w:caps w:val="false"/>
          <w:smallCaps w:val="false"/>
          <w:sz w:val="20"/>
        </w:rPr>
        <w:t>Create checklists and integrate feedback from sales teams.</w:t>
        <w:br/>
        <w:t>- Maintain and refine the guide throughout the project.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Conversation Guide Administration</w:t>
        <w:br/>
      </w:r>
      <w:r>
        <w:rPr>
          <w:rFonts w:ascii="Times New Roman;Times;Serif" w:hAnsi="Times New Roman;Times;Serif"/>
          <w:b w:val="false"/>
          <w:i w:val="false"/>
          <w:caps w:val="false"/>
          <w:smallCaps w:val="false"/>
          <w:sz w:val="20"/>
        </w:rPr>
        <w:t>- Weekly updates with best practices for personas, objections, and qualification criteria.</w:t>
        <w:br/>
        <w:t>- Train sales teams on new guide content.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Email &amp; Social Content Curation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 Custom Email &amp; Social Messages</w:t>
        <w:br/>
        <w:t xml:space="preserve">- </w:t>
      </w:r>
      <w:r>
        <w:rPr>
          <w:rFonts w:ascii="Times New Roman;Times;Serif" w:hAnsi="Times New Roman;Times;Serif"/>
          <w:b w:val="false"/>
          <w:i w:val="false"/>
          <w:caps w:val="false"/>
          <w:smallCaps w:val="false"/>
          <w:sz w:val="20"/>
        </w:rPr>
        <w:t>Create and optimize email/social templates for prospecting and follow-ups.</w:t>
        <w:br/>
        <w:t xml:space="preserve">- TPG AI Content Co-Pilot creates high-value first-draft emails that can be personalized and authentic.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 Services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 Data Enrichment &amp; Custom List Building</w:t>
        <w:br/>
        <w:t xml:space="preserve">- </w:t>
      </w:r>
      <w:r>
        <w:rPr>
          <w:rFonts w:ascii="Times New Roman;Times;Serif" w:hAnsi="Times New Roman;Times;Serif"/>
          <w:b w:val="false"/>
          <w:i w:val="false"/>
          <w:caps w:val="false"/>
          <w:smallCaps w:val="false"/>
          <w:sz w:val="20"/>
        </w:rPr>
        <w:t>Enrich and append data from marketing activities (e.g., webinars, trade shows).</w:t>
        <w:br/>
        <w:t>- Custom list building to find new ICP-matched data - up to 1,000 records per xDR per month.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Development Support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 Network Operations Center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Real-time monitoring of activity metrics and results.</w:t>
        <w:br/>
        <w:t>- Issue identification, resolution, and support for xDR messaging and call lists.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Team Control Books and Predictable Pipeline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 Predictive Pipeline Development (PPD) Reporting</w:t>
        <w:br/>
        <w:t xml:space="preserve">- </w:t>
      </w:r>
      <w:r>
        <w:rPr>
          <w:rFonts w:ascii="Times New Roman;Times;Serif" w:hAnsi="Times New Roman;Times;Serif"/>
          <w:b w:val="false"/>
          <w:i w:val="false"/>
          <w:caps w:val="false"/>
          <w:smallCaps w:val="false"/>
          <w:sz w:val="20"/>
        </w:rPr>
        <w:t>Maintain PPD reporting in CRM with weekly data reviews.</w:t>
        <w:br/>
        <w:t>- Ensure process compliance and deliver executive-level reporting.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Technology Package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Technologies™</w:t>
      </w:r>
      <w:r>
        <w:rPr>
          <w:rFonts w:ascii="Times New Roman;Times;Serif" w:hAnsi="Times New Roman;Times;Serif"/>
          <w:b w:val="false"/>
          <w:i w:val="false"/>
          <w:caps w:val="false"/>
          <w:smallCaps w:val="false"/>
          <w:sz w:val="20"/>
        </w:rPr>
        <w:t xml:space="preserve"> The world's most advanced parallel dialing technology, offers four hybrid modes: Manual, Click-to-Call, AI, and Agent-Assisted Dialing. Enable xDRs to send timely, personalized messages across text, email, and social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Task &amp; Activity Outcome Package</w:t>
      </w:r>
      <w:r>
        <w:rPr>
          <w:rFonts w:ascii="Times New Roman;Times;Serif" w:hAnsi="Times New Roman;Times;Serif"/>
          <w:b w:val="false"/>
          <w:i w:val="false"/>
          <w:caps w:val="false"/>
          <w:smallCaps w:val="false"/>
          <w:sz w:val="20"/>
        </w:rPr>
        <w:t xml:space="preserve"> automates lead status updates based on activity outcomes, streamlining a closed-loop calling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Exception Reporting</w:t>
      </w:r>
      <w:r>
        <w:rPr>
          <w:rFonts w:ascii="Times New Roman;Times;Serif" w:hAnsi="Times New Roman;Times;Serif"/>
          <w:b w:val="false"/>
          <w:i w:val="false"/>
          <w:caps w:val="false"/>
          <w:smallCaps w:val="false"/>
          <w:sz w:val="20"/>
        </w:rPr>
        <w:t xml:space="preserve"> ensures all leads are resolved by identifying gaps in follow-up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Meeting Influence Tracking</w:t>
      </w:r>
      <w:r>
        <w:rPr>
          <w:rFonts w:ascii="Times New Roman;Times;Serif" w:hAnsi="Times New Roman;Times;Serif"/>
          <w:b w:val="false"/>
          <w:i w:val="false"/>
          <w:caps w:val="false"/>
          <w:smallCaps w:val="false"/>
          <w:sz w:val="20"/>
        </w:rPr>
        <w:t xml:space="preserve"> monitors meetings via TPG Fuel Lines, linking xDR activities to marketing channels and campaigns.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Account Matcher</w:t>
      </w:r>
      <w:r>
        <w:rPr>
          <w:rFonts w:ascii="Times New Roman;Times;Serif" w:hAnsi="Times New Roman;Times;Serif"/>
          <w:b w:val="false"/>
          <w:i w:val="false"/>
          <w:caps w:val="false"/>
          <w:smallCaps w:val="false"/>
          <w:sz w:val="20"/>
        </w:rPr>
        <w:t xml:space="preserve"> connects leads to accounts using email or domain data while suppressing customers, open opportunities, partners, and competitors.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Control Book &amp; Predictable Pipeline Reporting</w:t>
      </w:r>
      <w:r>
        <w:rPr>
          <w:rFonts w:ascii="Times New Roman;Times;Serif" w:hAnsi="Times New Roman;Times;Serif"/>
          <w:b w:val="false"/>
          <w:i w:val="false"/>
          <w:caps w:val="false"/>
          <w:smallCaps w:val="false"/>
          <w:sz w:val="20"/>
        </w:rPr>
        <w:t xml:space="preserve"> tracks key waterfall metrics, pipeline growth, and automated proactive KPI Alerting.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LinkedIn Sales Navigator</w:t>
      </w:r>
      <w:r>
        <w:rPr>
          <w:rFonts w:ascii="Times New Roman;Times;Serif" w:hAnsi="Times New Roman;Times;Serif"/>
          <w:b w:val="false"/>
          <w:i w:val="false"/>
          <w:caps w:val="false"/>
          <w:smallCaps w:val="false"/>
          <w:sz w:val="20"/>
        </w:rPr>
        <w:t xml:space="preserve"> empowers xDRs to research and engage prospects, fostering meaningful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AI Content Co-Pilot</w:t>
      </w:r>
      <w:r>
        <w:rPr>
          <w:rFonts w:ascii="Times New Roman;Times;Serif" w:hAnsi="Times New Roman;Times;Serif"/>
          <w:b w:val="false"/>
          <w:i w:val="false"/>
          <w:caps w:val="false"/>
          <w:smallCaps w:val="false"/>
          <w:sz w:val="20"/>
        </w:rPr>
        <w:t xml:space="preserve"> provides tailored prompts to craft high-value emails and messages for executives and target personas.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Project Assumptions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timely access to sales and marketing content and collateral.</w:t>
        <w:br/>
        <w:t>Grant TPG access to customer systems like CRM and marketing automation platforms to align activities log results, as well as track pipeline values and pipeline progression (e.g., meetings, opportunities, next steps, and amounts).</w:t>
        <w:br/>
        <w:t>Provide xDR with timely access to company email and to the sales team calendar.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Included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Technology Package.</w:t>
        <w:br/>
        <w:t>CRM license fees for xDRs using The Pipeline Group Salesforce.com system.</w:t>
        <w:br/>
        <w:t>Access to 28+ data sources and up to 1,000 human-verified records per xDR per month (e.g., a team of four xDRs receives up to 4,000 records monthly).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Excluded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 expenses.</w:t>
        <w:br/>
        <w:t>CRM License for Customer Org.</w:t>
        <w:br/>
        <w:t>Custom or CRM code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xDR Types &amp; Regions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6"/>
        <w:gridCol w:w="700"/>
        <w:gridCol w:w="9349"/>
      </w:tblGrid>
      <w:tr>
        <w:trPr/>
        <w:tc>
          <w:tcPr>
            <w:tcW w:w="15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pPr>
            <w:r>
              <w:rPr/>
              <w:t>●</w:t>
            </w:r>
          </w:p>
        </w:tc>
        <w:tc>
          <w:tcPr>
            <w:tcW w:w="9349" w:type="dxa"/>
            <w:tcBorders/>
            <w:vAlign w:val="center"/>
          </w:tcPr>
          <w:p>
            <w:pPr>
              <w:pStyle w:val="TableContents"/>
              <w:bidi w:val="0"/>
              <w:spacing w:before="0" w:after="283"/>
              <w:jc w:val="left"/>
              <w:rPr/>
            </w:pPr>
            <w:r>
              <w:rPr/>
              <w:t>[**] xDR Strategic 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Presumed ACV/ASP Value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1"/>
        <w:gridCol w:w="635"/>
        <w:gridCol w:w="9429"/>
      </w:tblGrid>
      <w:tr>
        <w:trPr/>
        <w:tc>
          <w:tcPr>
            <w:tcW w:w="14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pPr>
            <w:r>
              <w:rPr/>
              <w:t>●</w:t>
            </w:r>
          </w:p>
        </w:tc>
        <w:tc>
          <w:tcPr>
            <w:tcW w:w="9429" w:type="dxa"/>
            <w:tcBorders/>
            <w:vAlign w:val="center"/>
          </w:tcPr>
          <w:p>
            <w:pPr>
              <w:pStyle w:val="TableContents"/>
              <w:bidi w:val="0"/>
              <w:spacing w:before="0" w:after="283"/>
              <w:jc w:val="left"/>
              <w:rPr/>
            </w:pPr>
            <w:r>
              <w:rPr/>
              <w:t>Strategic ACV/ASP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Anticipated Results (Per xDR)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pPr>
            <w:r>
              <w:rPr>
                <w:b/>
              </w:rPr>
              <w:t>Month 1</w:t>
            </w: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pPr>
            <w:r>
              <w:rPr>
                <w:b/>
              </w:rPr>
              <w:t>Month 2</w:t>
            </w: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230"/>
        <w:gridCol w:w="1031"/>
        <w:gridCol w:w="8944"/>
      </w:tblGrid>
      <w:tr>
        <w:trPr/>
        <w:tc>
          <w:tcPr>
            <w:tcW w:w="23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pPr>
            <w:r>
              <w:rPr/>
              <w:t>●</w:t>
            </w:r>
          </w:p>
        </w:tc>
        <w:tc>
          <w:tcPr>
            <w:tcW w:w="8944" w:type="dxa"/>
            <w:tcBorders/>
            <w:vAlign w:val="center"/>
          </w:tcPr>
          <w:p>
            <w:pPr>
              <w:pStyle w:val="TableContents"/>
              <w:bidi w:val="0"/>
              <w:spacing w:before="0" w:after="283"/>
              <w:jc w:val="left"/>
              <w:rPr/>
            </w:pPr>
            <w:r>
              <w:rPr>
                <w:b/>
              </w:rPr>
              <w:t>Month 3</w:t>
            </w:r>
            <w:r>
              <w:rPr/>
              <w:t>: [**].</w:t>
            </w:r>
          </w:p>
        </w:tc>
      </w:tr>
    </w:tbl>
    <w:p>
      <w:pPr>
        <w:pStyle w:val="TextBody"/>
        <w:bidi w:val="0"/>
        <w:spacing w:before="0" w:after="0"/>
        <w:ind w:left="72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Sustain: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Results may be lower in November and December due to the holiday season.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The “Handoff”/SAL/SQL/Opportunity</w:t>
      </w:r>
      <w:r>
        <w:rPr>
          <w:rFonts w:ascii="Times New Roman;Times;Serif" w:hAnsi="Times New Roman;Times;Serif"/>
          <w:b w:val="false"/>
          <w:i w:val="false"/>
          <w:caps w:val="false"/>
          <w:smallCaps w:val="false"/>
          <w:sz w:val="20"/>
        </w:rPr>
        <w:t>: A next step agreed upon by the prospect and salesperson, scheduled within 30–45 days (e.g., discovery calls, demos, or pricing discussions).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TAM Constraints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customer will provide a sufficient Total Addressable Market (TAM), including accounts and contacts, to enable xDRs to achieve their objectives.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TAM is limited, success criteria may be mutually adjusted to ensure objectives and results remain attainable.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Terms and Conditions</w:t>
      </w:r>
      <w:r>
        <w:rPr>
          <w:rFonts w:ascii="Times New Roman;Times;Serif" w:hAnsi="Times New Roman;Times;Serif"/>
          <w:b w:val="false"/>
          <w:i w:val="false"/>
          <w:caps w:val="false"/>
          <w:smallCaps w:val="false"/>
          <w:sz w:val="24"/>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12"/>
        <w:gridCol w:w="60"/>
        <w:gridCol w:w="497"/>
        <w:gridCol w:w="60"/>
        <w:gridCol w:w="7420"/>
        <w:gridCol w:w="60"/>
        <w:gridCol w:w="1596"/>
      </w:tblGrid>
      <w:tr>
        <w:trPr/>
        <w:tc>
          <w:tcPr>
            <w:tcW w:w="512" w:type="dxa"/>
            <w:tcBorders>
              <w:bottom w:val="single" w:sz="12" w:space="0" w:color="000000"/>
            </w:tcBorders>
            <w:vAlign w:val="center"/>
          </w:tcPr>
          <w:p>
            <w:pPr>
              <w:pStyle w:val="TableContents"/>
              <w:bidi w:val="0"/>
              <w:spacing w:before="0" w:after="283"/>
              <w:jc w:val="left"/>
              <w:rPr>
                <w:b/>
                <w:sz w:val="20"/>
              </w:rPr>
            </w:pPr>
            <w:r>
              <w:rPr>
                <w:b/>
                <w:sz w:val="20"/>
              </w:rPr>
              <w:t>Start Date</w:t>
            </w:r>
          </w:p>
        </w:tc>
        <w:tc>
          <w:tcPr>
            <w:tcW w:w="60" w:type="dxa"/>
            <w:tcBorders/>
            <w:tcMar>
              <w:bottom w:w="0" w:type="dxa"/>
            </w:tcMar>
            <w:vAlign w:val="center"/>
          </w:tcPr>
          <w:p>
            <w:pPr>
              <w:pStyle w:val="TableContents"/>
              <w:bidi w:val="0"/>
              <w:spacing w:before="0" w:after="283"/>
              <w:jc w:val="left"/>
              <w:rPr/>
            </w:pPr>
            <w:r>
              <w:rPr/>
              <w:t> </w:t>
            </w:r>
          </w:p>
        </w:tc>
        <w:tc>
          <w:tcPr>
            <w:tcW w:w="497" w:type="dxa"/>
            <w:tcBorders>
              <w:bottom w:val="single" w:sz="12" w:space="0" w:color="000000"/>
            </w:tcBorders>
            <w:vAlign w:val="center"/>
          </w:tcPr>
          <w:p>
            <w:pPr>
              <w:pStyle w:val="TableContents"/>
              <w:bidi w:val="0"/>
              <w:spacing w:before="0" w:after="283"/>
              <w:jc w:val="left"/>
              <w:rPr>
                <w:b/>
                <w:sz w:val="20"/>
              </w:rPr>
            </w:pPr>
            <w:r>
              <w:rPr>
                <w:b/>
                <w:sz w:val="20"/>
              </w:rPr>
              <w:t>End Date</w:t>
            </w:r>
          </w:p>
        </w:tc>
        <w:tc>
          <w:tcPr>
            <w:tcW w:w="60" w:type="dxa"/>
            <w:tcBorders/>
            <w:tcMar>
              <w:bottom w:w="0" w:type="dxa"/>
            </w:tcMar>
            <w:vAlign w:val="center"/>
          </w:tcPr>
          <w:p>
            <w:pPr>
              <w:pStyle w:val="TableContents"/>
              <w:bidi w:val="0"/>
              <w:spacing w:before="0" w:after="283"/>
              <w:jc w:val="left"/>
              <w:rPr/>
            </w:pPr>
            <w:r>
              <w:rPr/>
              <w:t> </w:t>
            </w:r>
          </w:p>
        </w:tc>
        <w:tc>
          <w:tcPr>
            <w:tcW w:w="7420" w:type="dxa"/>
            <w:tcBorders>
              <w:bottom w:val="single" w:sz="12" w:space="0" w:color="000000"/>
            </w:tcBorders>
            <w:vAlign w:val="center"/>
          </w:tcPr>
          <w:p>
            <w:pPr>
              <w:pStyle w:val="TableContents"/>
              <w:bidi w:val="0"/>
              <w:spacing w:before="0" w:after="283"/>
              <w:jc w:val="left"/>
              <w:rPr>
                <w:b/>
                <w:sz w:val="20"/>
              </w:rPr>
            </w:pPr>
            <w:r>
              <w:rPr>
                <w:b/>
                <w:sz w:val="20"/>
              </w:rPr>
              <w:t xml:space="preserve">Terms </w:t>
            </w:r>
          </w:p>
        </w:tc>
        <w:tc>
          <w:tcPr>
            <w:tcW w:w="60" w:type="dxa"/>
            <w:tcBorders/>
            <w:tcMar>
              <w:bottom w:w="0" w:type="dxa"/>
            </w:tcMar>
            <w:vAlign w:val="center"/>
          </w:tcPr>
          <w:p>
            <w:pPr>
              <w:pStyle w:val="TableContents"/>
              <w:bidi w:val="0"/>
              <w:spacing w:before="0" w:after="283"/>
              <w:jc w:val="left"/>
              <w:rPr/>
            </w:pPr>
            <w:r>
              <w:rPr/>
              <w:t> </w:t>
            </w:r>
          </w:p>
        </w:tc>
        <w:tc>
          <w:tcPr>
            <w:tcW w:w="1596" w:type="dxa"/>
            <w:tcBorders>
              <w:bottom w:val="single" w:sz="12" w:space="0" w:color="000000"/>
            </w:tcBorders>
            <w:vAlign w:val="center"/>
          </w:tcPr>
          <w:p>
            <w:pPr>
              <w:pStyle w:val="TableContents"/>
              <w:bidi w:val="0"/>
              <w:spacing w:before="0" w:after="283"/>
              <w:jc w:val="left"/>
              <w:rPr>
                <w:b/>
                <w:sz w:val="20"/>
              </w:rPr>
            </w:pPr>
            <w:r>
              <w:rPr>
                <w:b/>
                <w:sz w:val="20"/>
              </w:rPr>
              <w:t xml:space="preserve">Price </w:t>
            </w:r>
          </w:p>
        </w:tc>
      </w:tr>
      <w:tr>
        <w:trPr/>
        <w:tc>
          <w:tcPr>
            <w:tcW w:w="512" w:type="dxa"/>
            <w:tcBorders/>
            <w:tcMar>
              <w:bottom w:w="0" w:type="dxa"/>
            </w:tcMar>
            <w:vAlign w:val="center"/>
          </w:tcPr>
          <w:p>
            <w:pPr>
              <w:pStyle w:val="TableContents"/>
              <w:bidi w:val="0"/>
              <w:spacing w:before="0" w:after="283"/>
              <w:jc w:val="left"/>
              <w:rPr>
                <w:sz w:val="20"/>
              </w:rPr>
            </w:pPr>
            <w:r>
              <w:rPr>
                <w:sz w:val="20"/>
              </w:rPr>
              <w:t>10/1/2025</w:t>
            </w:r>
          </w:p>
        </w:tc>
        <w:tc>
          <w:tcPr>
            <w:tcW w:w="60" w:type="dxa"/>
            <w:tcBorders/>
            <w:tcMar>
              <w:bottom w:w="0" w:type="dxa"/>
            </w:tcMar>
            <w:vAlign w:val="center"/>
          </w:tcPr>
          <w:p>
            <w:pPr>
              <w:pStyle w:val="TableContents"/>
              <w:bidi w:val="0"/>
              <w:spacing w:before="0" w:after="283"/>
              <w:jc w:val="left"/>
              <w:rPr/>
            </w:pPr>
            <w:r>
              <w:rPr/>
              <w:t> </w:t>
            </w:r>
          </w:p>
        </w:tc>
        <w:tc>
          <w:tcPr>
            <w:tcW w:w="497" w:type="dxa"/>
            <w:tcBorders/>
            <w:tcMar>
              <w:bottom w:w="0" w:type="dxa"/>
            </w:tcMar>
            <w:vAlign w:val="center"/>
          </w:tcPr>
          <w:p>
            <w:pPr>
              <w:pStyle w:val="TableContents"/>
              <w:bidi w:val="0"/>
              <w:spacing w:before="0" w:after="283"/>
              <w:jc w:val="left"/>
              <w:rPr>
                <w:sz w:val="20"/>
              </w:rPr>
            </w:pPr>
            <w:r>
              <w:rPr>
                <w:sz w:val="20"/>
              </w:rPr>
              <w:t>9/30/2026</w:t>
            </w:r>
          </w:p>
        </w:tc>
        <w:tc>
          <w:tcPr>
            <w:tcW w:w="60" w:type="dxa"/>
            <w:tcBorders/>
            <w:tcMar>
              <w:bottom w:w="0" w:type="dxa"/>
            </w:tcMar>
            <w:vAlign w:val="center"/>
          </w:tcPr>
          <w:p>
            <w:pPr>
              <w:pStyle w:val="TableContents"/>
              <w:bidi w:val="0"/>
              <w:spacing w:before="0" w:after="283"/>
              <w:jc w:val="left"/>
              <w:rPr/>
            </w:pPr>
            <w:r>
              <w:rPr/>
              <w:t> </w:t>
            </w:r>
          </w:p>
        </w:tc>
        <w:tc>
          <w:tcPr>
            <w:tcW w:w="742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 </w:t>
            </w:r>
            <w:r>
              <w:rPr>
                <w:rFonts w:ascii="Times New Roman;Times;Serif" w:hAnsi="Times New Roman;Times;Serif"/>
                <w:b w:val="false"/>
                <w:i w:val="false"/>
                <w:caps w:val="false"/>
                <w:smallCaps w:val="false"/>
                <w:sz w:val="20"/>
              </w:rPr>
              <w:t>Twelve (12) months according to the start date end date of this agreement, payment terms below, and Terms of Use attached hereto (Exhibit B)</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Order Form supersedes all previous agreements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Term Extension. </w:t>
            </w:r>
            <w:r>
              <w:rPr>
                <w:rFonts w:ascii="Times New Roman;Times;Serif" w:hAnsi="Times New Roman;Times;Serif"/>
                <w:b w:val="false"/>
                <w:i w:val="false"/>
                <w:caps w:val="false"/>
                <w:smallCaps w:val="false"/>
                <w:sz w:val="20"/>
              </w:rPr>
              <w:t>Each year on September 30, the Term will automatically renew for one (1) additional year unless either party provides written notice to the other by July 31(“</w:t>
            </w:r>
            <w:r>
              <w:rPr>
                <w:rFonts w:ascii="Times New Roman;Times;Serif" w:hAnsi="Times New Roman;Times;Serif"/>
                <w:b/>
                <w:i w:val="false"/>
                <w:caps w:val="false"/>
                <w:smallCaps w:val="false"/>
                <w:sz w:val="20"/>
              </w:rPr>
              <w:t>Extension Date</w:t>
            </w:r>
            <w:r>
              <w:rPr>
                <w:rFonts w:ascii="Times New Roman;Times;Serif" w:hAnsi="Times New Roman;Times;Serif"/>
                <w:b w:val="false"/>
                <w:i w:val="false"/>
                <w:caps w:val="false"/>
                <w:smallCaps w:val="false"/>
                <w:sz w:val="20"/>
              </w:rPr>
              <w:t>”) that the Term will not be extended. If such notice is given on or before the Extension Date, this agreement will terminate on September 30 of that same calendar year. Written notice of intent to not extend must be sent to optout@thepipelinegroup.io.</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TPG Data &amp; Technology.</w:t>
            </w:r>
            <w:r>
              <w:rPr>
                <w:rFonts w:ascii="Times New Roman;Times;Serif" w:hAnsi="Times New Roman;Times;Serif"/>
                <w:b w:val="false"/>
                <w:i w:val="false"/>
                <w:caps w:val="false"/>
                <w:smallCaps w:val="false"/>
                <w:sz w:val="20"/>
              </w:rPr>
              <w:t xml:space="preserve"> TPG data and products included in the agreement during Term until termination or opt-out is exercised.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Hiring During Term/Recruiting Fee</w:t>
            </w:r>
            <w:r>
              <w:rPr>
                <w:rFonts w:ascii="Times New Roman;Times;Serif" w:hAnsi="Times New Roman;Times;Serif"/>
                <w:b w:val="false"/>
                <w:i w:val="false"/>
                <w:caps w:val="false"/>
                <w:smallCaps w:val="false"/>
                <w:sz w:val="20"/>
              </w:rPr>
              <w:t>. If Customer wishes to hire an assigned TPG xDR resource in a full-time capacity, Customer shall deliver to TPG written notice thereof at least sixty (60) days before the intended hiring date. The final thirty (30) days of the notice period shall serve as a professional transition period during which the xDR will continue to work with TPG. Upon formal acceptance of a job offer by the xDR resource, Customer shall immediately pay TPG a recruiting fee of $[**].</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Hiring TPG XDR After Term/Placement Fee</w:t>
            </w:r>
            <w:r>
              <w:rPr>
                <w:rFonts w:ascii="Times New Roman;Times;Serif" w:hAnsi="Times New Roman;Times;Serif"/>
                <w:b w:val="false"/>
                <w:i w:val="false"/>
                <w:caps w:val="false"/>
                <w:smallCaps w:val="false"/>
                <w:sz w:val="20"/>
              </w:rPr>
              <w:t>. If any existing or former TPG xDR is hired by Customer, in any capacity, within two (2) years following termination of this agreement or opt-out exercise, upon formal acceptance of a job offer by the xDR, Customer shall immediately pay TPG a non-refundable placement fee of $[**] per xDR hired.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Hiring TPG Manager After Term/Placement Fee</w:t>
            </w:r>
            <w:r>
              <w:rPr>
                <w:rFonts w:ascii="Times New Roman;Times;Serif" w:hAnsi="Times New Roman;Times;Serif"/>
                <w:b w:val="false"/>
                <w:i w:val="false"/>
                <w:caps w:val="false"/>
                <w:smallCaps w:val="false"/>
                <w:sz w:val="20"/>
              </w:rPr>
              <w:t>. If any existing or former TPG manager, member of the management team, executive or comparable role is hired by Customer within two (2) years following termination of this agreement or opt-out exercise, upon formal acceptance of a job offer by the individual, Customer shall immediately pay TPG a non-refundable placement fee of $[**] per individual hired.</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any recruiting or placement fee, as described above, is not a penalty, but rather TPG’s and Customer’s reasonable estimate of the costs incurred by TPG if required to replace personnel hired by Customer, such as interviews, training and lost revenue during the time period it takes to replace the TPG personnel hired by Customer.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Late Payments. </w:t>
            </w:r>
            <w:r>
              <w:rPr>
                <w:rFonts w:ascii="Times New Roman;Times;Serif" w:hAnsi="Times New Roman;Times;Serif"/>
                <w:b w:val="false"/>
                <w:i w:val="false"/>
                <w:caps w:val="false"/>
                <w:smallCaps w:val="false"/>
                <w:sz w:val="20"/>
              </w:rPr>
              <w:t>If failure to make any payment to The Pipeline Group within ten (10) days after it is due, interest shall accrue on the overdue amount, from the date overdue until the date paid, at the overdue rate of 1.5% per month. The defaulting party shall be responsible for all costs and attorney’s fees incurred in enforcing this Agreement.</w:t>
            </w:r>
          </w:p>
        </w:tc>
        <w:tc>
          <w:tcPr>
            <w:tcW w:w="60" w:type="dxa"/>
            <w:tcBorders/>
            <w:tcMar>
              <w:bottom w:w="0" w:type="dxa"/>
            </w:tcMar>
            <w:vAlign w:val="center"/>
          </w:tcPr>
          <w:p>
            <w:pPr>
              <w:pStyle w:val="TableContents"/>
              <w:bidi w:val="0"/>
              <w:spacing w:before="0" w:after="283"/>
              <w:jc w:val="left"/>
              <w:rPr/>
            </w:pPr>
            <w:r>
              <w:rPr/>
              <w:t> </w:t>
            </w:r>
          </w:p>
        </w:tc>
        <w:tc>
          <w:tcPr>
            <w:tcW w:w="1596"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Pipeline Group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 Products and Services 1- 16.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PE/VC Partner Price: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$[**]xDR / Data Services / Automated Dialing Technology Mo.</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Payment Schedule attached as </w:t>
            </w:r>
            <w:r>
              <w:rPr>
                <w:rFonts w:ascii="Times New Roman;Times;Serif" w:hAnsi="Times New Roman;Times;Serif"/>
                <w:b w:val="false"/>
                <w:i w:val="false"/>
                <w:caps w:val="false"/>
                <w:smallCaps w:val="false"/>
                <w:sz w:val="20"/>
                <w:u w:val="single"/>
              </w:rPr>
              <w:t>Exhibit A</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810" w:type="dxa"/>
        <w:jc w:val="left"/>
        <w:tblInd w:w="0" w:type="dxa"/>
        <w:tblLayout w:type="fixed"/>
        <w:tblCellMar>
          <w:top w:w="0" w:type="dxa"/>
          <w:left w:w="0" w:type="dxa"/>
          <w:bottom w:w="28" w:type="dxa"/>
          <w:right w:w="0" w:type="dxa"/>
        </w:tblCellMar>
      </w:tblPr>
      <w:tblGrid>
        <w:gridCol w:w="5750"/>
        <w:gridCol w:w="60"/>
        <w:gridCol w:w="2000"/>
      </w:tblGrid>
      <w:tr>
        <w:trPr/>
        <w:tc>
          <w:tcPr>
            <w:tcW w:w="575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Payments</w:t>
            </w:r>
          </w:p>
        </w:tc>
        <w:tc>
          <w:tcPr>
            <w:tcW w:w="60" w:type="dxa"/>
            <w:tcBorders/>
            <w:tcMar>
              <w:bottom w:w="0" w:type="dxa"/>
            </w:tcMar>
            <w:vAlign w:val="center"/>
          </w:tcPr>
          <w:p>
            <w:pPr>
              <w:pStyle w:val="TableContents"/>
              <w:bidi w:val="0"/>
              <w:spacing w:before="0" w:after="283"/>
              <w:jc w:val="left"/>
              <w:rPr/>
            </w:pPr>
            <w:r>
              <w:rPr/>
              <w:t> </w:t>
            </w:r>
          </w:p>
        </w:tc>
        <w:tc>
          <w:tcPr>
            <w:tcW w:w="20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Terms</w:t>
            </w:r>
          </w:p>
        </w:tc>
      </w:tr>
      <w:tr>
        <w:trPr/>
        <w:tc>
          <w:tcPr>
            <w:tcW w:w="5750" w:type="dxa"/>
            <w:tcBorders/>
            <w:tcMar>
              <w:bottom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 Scope: Main Tasks 1-16</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to add additional xDR as a Service with thirty (30) days notice.</w:t>
            </w:r>
          </w:p>
        </w:tc>
        <w:tc>
          <w:tcPr>
            <w:tcW w:w="60" w:type="dxa"/>
            <w:tcBorders/>
            <w:tcMar>
              <w:bottom w:w="0" w:type="dxa"/>
            </w:tcMar>
            <w:vAlign w:val="center"/>
          </w:tcPr>
          <w:p>
            <w:pPr>
              <w:pStyle w:val="TableContents"/>
              <w:bidi w:val="0"/>
              <w:spacing w:before="0" w:after="283"/>
              <w:jc w:val="left"/>
              <w:rPr/>
            </w:pPr>
            <w:r>
              <w:rPr/>
              <w:t> </w:t>
            </w:r>
          </w:p>
        </w:tc>
        <w:tc>
          <w:tcPr>
            <w:tcW w:w="2000"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Amount</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Payment Due Date: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Monthly payments are due on the 1st day of every month.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make all checks or wire transfers payable to The Pipeline Group,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Signatories</w:t>
      </w:r>
    </w:p>
    <w:p>
      <w:pPr>
        <w:pStyle w:val="TextBody"/>
        <w:bidi w:val="0"/>
        <w:spacing w:before="0" w:after="0"/>
        <w:ind w:left="0" w:right="0" w:hanging="0"/>
        <w:jc w:val="left"/>
        <w:rPr>
          <w:caps w:val="false"/>
          <w:smallCaps w:val="false"/>
        </w:rPr>
      </w:pPr>
      <w:r>
        <w:rPr>
          <w:caps w:val="false"/>
          <w:smallCaps w:val="false"/>
        </w:rPr>
        <w:t> </w:t>
      </w:r>
    </w:p>
    <w:tbl>
      <w:tblPr>
        <w:tblW w:w="7334" w:type="dxa"/>
        <w:jc w:val="left"/>
        <w:tblInd w:w="0" w:type="dxa"/>
        <w:tblLayout w:type="fixed"/>
        <w:tblCellMar>
          <w:top w:w="0" w:type="dxa"/>
          <w:left w:w="0" w:type="dxa"/>
          <w:bottom w:w="0" w:type="dxa"/>
          <w:right w:w="0" w:type="dxa"/>
        </w:tblCellMar>
      </w:tblPr>
      <w:tblGrid>
        <w:gridCol w:w="785"/>
        <w:gridCol w:w="1340"/>
        <w:gridCol w:w="60"/>
        <w:gridCol w:w="1866"/>
        <w:gridCol w:w="3283"/>
      </w:tblGrid>
      <w:tr>
        <w:trPr/>
        <w:tc>
          <w:tcPr>
            <w:tcW w:w="2125" w:type="dxa"/>
            <w:gridSpan w:val="2"/>
            <w:tcBorders/>
            <w:vAlign w:val="center"/>
          </w:tcPr>
          <w:p>
            <w:pPr>
              <w:pStyle w:val="TableContents"/>
              <w:bidi w:val="0"/>
              <w:spacing w:before="0" w:after="283"/>
              <w:jc w:val="left"/>
              <w:rPr>
                <w:b/>
              </w:rPr>
            </w:pPr>
            <w:r>
              <w:rPr>
                <w:b/>
              </w:rPr>
              <w:t>authID Inc.</w:t>
            </w:r>
          </w:p>
        </w:tc>
        <w:tc>
          <w:tcPr>
            <w:tcW w:w="6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283"/>
              <w:jc w:val="left"/>
              <w:rPr>
                <w:b/>
              </w:rPr>
            </w:pPr>
            <w:r>
              <w:rPr>
                <w:b/>
              </w:rPr>
              <w:t>The Pipeline Group, Inc., a California corporation</w:t>
            </w:r>
          </w:p>
        </w:tc>
      </w:tr>
      <w:tr>
        <w:trPr/>
        <w:tc>
          <w:tcPr>
            <w:tcW w:w="212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49" w:type="dxa"/>
            <w:gridSpan w:val="2"/>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b/>
              </w:rPr>
            </w:pPr>
            <w:r>
              <w:rPr>
                <w:b/>
              </w:rPr>
              <w:t>Signed </w:t>
            </w:r>
          </w:p>
        </w:tc>
        <w:tc>
          <w:tcPr>
            <w:tcW w:w="1340" w:type="dxa"/>
            <w:tcBorders>
              <w:bottom w:val="single" w:sz="12" w:space="0" w:color="000000"/>
            </w:tcBorders>
            <w:tcMar>
              <w:bottom w:w="28" w:type="dxa"/>
            </w:tcMar>
            <w:vAlign w:val="center"/>
          </w:tcPr>
          <w:p>
            <w:pPr>
              <w:pStyle w:val="TableContents"/>
              <w:bidi w:val="0"/>
              <w:spacing w:before="0" w:after="283"/>
              <w:jc w:val="left"/>
              <w:rPr>
                <w:b/>
              </w:rPr>
            </w:pPr>
            <w:r>
              <w:rPr>
                <w:b/>
              </w:rPr>
              <w:t>/s/ Ed Sellitto</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b/>
              </w:rPr>
            </w:pPr>
            <w:r>
              <w:rPr>
                <w:b/>
              </w:rPr>
              <w:t>Signed </w:t>
            </w:r>
          </w:p>
        </w:tc>
        <w:tc>
          <w:tcPr>
            <w:tcW w:w="3283" w:type="dxa"/>
            <w:tcBorders>
              <w:bottom w:val="single" w:sz="12" w:space="0" w:color="000000"/>
            </w:tcBorders>
            <w:tcMar>
              <w:bottom w:w="28" w:type="dxa"/>
            </w:tcMar>
            <w:vAlign w:val="center"/>
          </w:tcPr>
          <w:p>
            <w:pPr>
              <w:pStyle w:val="TableContents"/>
              <w:bidi w:val="0"/>
              <w:spacing w:before="0" w:after="283"/>
              <w:jc w:val="left"/>
              <w:rPr>
                <w:b/>
              </w:rPr>
            </w:pPr>
            <w:r>
              <w:rPr>
                <w:b/>
              </w:rPr>
              <w:t>/s/ Ken Jisser</w:t>
            </w:r>
          </w:p>
        </w:tc>
      </w:tr>
      <w:tr>
        <w:trPr/>
        <w:tc>
          <w:tcPr>
            <w:tcW w:w="785" w:type="dxa"/>
            <w:tcBorders/>
            <w:vAlign w:val="center"/>
          </w:tcPr>
          <w:p>
            <w:pPr>
              <w:pStyle w:val="TableContents"/>
              <w:bidi w:val="0"/>
              <w:spacing w:before="0" w:after="283"/>
              <w:jc w:val="left"/>
              <w:rPr>
                <w:b/>
              </w:rPr>
            </w:pPr>
            <w:r>
              <w:rPr>
                <w:b/>
              </w:rPr>
              <w:t>Name</w:t>
            </w:r>
          </w:p>
        </w:tc>
        <w:tc>
          <w:tcPr>
            <w:tcW w:w="1340" w:type="dxa"/>
            <w:tcBorders/>
            <w:vAlign w:val="center"/>
          </w:tcPr>
          <w:p>
            <w:pPr>
              <w:pStyle w:val="TableContents"/>
              <w:bidi w:val="0"/>
              <w:spacing w:before="0" w:after="283"/>
              <w:jc w:val="left"/>
              <w:rPr>
                <w:b/>
              </w:rPr>
            </w:pPr>
            <w:r>
              <w:rPr>
                <w:b/>
              </w:rPr>
              <w:t>Ed Sellitto</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b/>
              </w:rPr>
            </w:pPr>
            <w:r>
              <w:rPr>
                <w:b/>
              </w:rPr>
              <w:t>Name</w:t>
            </w:r>
          </w:p>
        </w:tc>
        <w:tc>
          <w:tcPr>
            <w:tcW w:w="3283" w:type="dxa"/>
            <w:tcBorders/>
            <w:vAlign w:val="center"/>
          </w:tcPr>
          <w:p>
            <w:pPr>
              <w:pStyle w:val="TableContents"/>
              <w:bidi w:val="0"/>
              <w:spacing w:before="0" w:after="283"/>
              <w:jc w:val="left"/>
              <w:rPr>
                <w:b/>
              </w:rPr>
            </w:pPr>
            <w:r>
              <w:rPr>
                <w:b/>
              </w:rPr>
              <w:t>Ken Jisser</w:t>
            </w:r>
          </w:p>
        </w:tc>
      </w:tr>
      <w:tr>
        <w:trPr/>
        <w:tc>
          <w:tcPr>
            <w:tcW w:w="785" w:type="dxa"/>
            <w:tcBorders/>
            <w:vAlign w:val="center"/>
          </w:tcPr>
          <w:p>
            <w:pPr>
              <w:pStyle w:val="TableContents"/>
              <w:bidi w:val="0"/>
              <w:spacing w:before="0" w:after="283"/>
              <w:jc w:val="left"/>
              <w:rPr>
                <w:b/>
              </w:rPr>
            </w:pPr>
            <w:r>
              <w:rPr>
                <w:b/>
              </w:rPr>
              <w:t>Title</w:t>
            </w:r>
          </w:p>
        </w:tc>
        <w:tc>
          <w:tcPr>
            <w:tcW w:w="1340" w:type="dxa"/>
            <w:tcBorders/>
            <w:vAlign w:val="center"/>
          </w:tcPr>
          <w:p>
            <w:pPr>
              <w:pStyle w:val="TableContents"/>
              <w:bidi w:val="0"/>
              <w:spacing w:before="0" w:after="283"/>
              <w:jc w:val="left"/>
              <w:rPr>
                <w:b/>
              </w:rPr>
            </w:pPr>
            <w:r>
              <w:rPr>
                <w:b/>
              </w:rPr>
              <w:t>CEO</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b/>
              </w:rPr>
            </w:pPr>
            <w:r>
              <w:rPr>
                <w:b/>
              </w:rPr>
              <w:t>Title</w:t>
            </w:r>
          </w:p>
        </w:tc>
        <w:tc>
          <w:tcPr>
            <w:tcW w:w="3283" w:type="dxa"/>
            <w:tcBorders/>
            <w:vAlign w:val="center"/>
          </w:tcPr>
          <w:p>
            <w:pPr>
              <w:pStyle w:val="TableContents"/>
              <w:bidi w:val="0"/>
              <w:spacing w:before="0" w:after="283"/>
              <w:jc w:val="left"/>
              <w:rPr>
                <w:b/>
              </w:rPr>
            </w:pPr>
            <w:r>
              <w:rPr>
                <w:b/>
              </w:rPr>
              <w:t>CEO</w:t>
            </w:r>
          </w:p>
        </w:tc>
      </w:tr>
      <w:tr>
        <w:trPr/>
        <w:tc>
          <w:tcPr>
            <w:tcW w:w="785" w:type="dxa"/>
            <w:tcBorders/>
            <w:vAlign w:val="center"/>
          </w:tcPr>
          <w:p>
            <w:pPr>
              <w:pStyle w:val="TableContents"/>
              <w:bidi w:val="0"/>
              <w:spacing w:before="0" w:after="283"/>
              <w:jc w:val="left"/>
              <w:rPr>
                <w:b/>
              </w:rPr>
            </w:pPr>
            <w:r>
              <w:rPr>
                <w:b/>
              </w:rPr>
              <w:t>Date</w:t>
            </w:r>
          </w:p>
        </w:tc>
        <w:tc>
          <w:tcPr>
            <w:tcW w:w="1340" w:type="dxa"/>
            <w:tcBorders/>
            <w:vAlign w:val="center"/>
          </w:tcPr>
          <w:p>
            <w:pPr>
              <w:pStyle w:val="TableContents"/>
              <w:bidi w:val="0"/>
              <w:spacing w:before="0" w:after="283"/>
              <w:jc w:val="left"/>
              <w:rPr>
                <w:b/>
              </w:rPr>
            </w:pPr>
            <w:r>
              <w:rPr>
                <w:b/>
              </w:rPr>
              <w:t>9/26/25</w:t>
            </w:r>
          </w:p>
        </w:tc>
        <w:tc>
          <w:tcPr>
            <w:tcW w:w="60" w:type="dxa"/>
            <w:tcBorders/>
            <w:vAlign w:val="center"/>
          </w:tcPr>
          <w:p>
            <w:pPr>
              <w:pStyle w:val="TableContents"/>
              <w:bidi w:val="0"/>
              <w:spacing w:before="0" w:after="283"/>
              <w:jc w:val="left"/>
              <w:rPr/>
            </w:pPr>
            <w:r>
              <w:rPr/>
              <w:t> </w:t>
            </w:r>
          </w:p>
        </w:tc>
        <w:tc>
          <w:tcPr>
            <w:tcW w:w="1866" w:type="dxa"/>
            <w:tcBorders/>
            <w:vAlign w:val="center"/>
          </w:tcPr>
          <w:p>
            <w:pPr>
              <w:pStyle w:val="TableContents"/>
              <w:bidi w:val="0"/>
              <w:spacing w:before="0" w:after="283"/>
              <w:jc w:val="left"/>
              <w:rPr>
                <w:b/>
              </w:rPr>
            </w:pPr>
            <w:r>
              <w:rPr>
                <w:b/>
              </w:rPr>
              <w:t>Date</w:t>
            </w:r>
          </w:p>
        </w:tc>
        <w:tc>
          <w:tcPr>
            <w:tcW w:w="3283" w:type="dxa"/>
            <w:tcBorders/>
            <w:vAlign w:val="center"/>
          </w:tcPr>
          <w:p>
            <w:pPr>
              <w:pStyle w:val="TableContents"/>
              <w:bidi w:val="0"/>
              <w:spacing w:before="0" w:after="283"/>
              <w:jc w:val="left"/>
              <w:rPr>
                <w:b/>
              </w:rPr>
            </w:pPr>
            <w:r>
              <w:rPr>
                <w:b/>
              </w:rPr>
              <w:t>9/26/25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this order form/agreement is confidential information</w:t>
      </w:r>
      <w:r>
        <w:rPr>
          <w:rFonts w:ascii="Times New Roman;Times;Serif" w:hAnsi="Times New Roman;Times;Serif"/>
          <w:b/>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Payment Schedule</w:t>
      </w:r>
    </w:p>
    <w:p>
      <w:pPr>
        <w:pStyle w:val="TextBody"/>
        <w:bidi w:val="0"/>
        <w:spacing w:before="0" w:after="283"/>
        <w:jc w:val="left"/>
        <w:rPr/>
      </w:pPr>
      <w:r>
        <w:rPr/>
        <w:t> </w:t>
      </w:r>
    </w:p>
    <w:tbl>
      <w:tblPr>
        <w:tblW w:w="6175" w:type="dxa"/>
        <w:jc w:val="left"/>
        <w:tblInd w:w="0" w:type="dxa"/>
        <w:tblLayout w:type="fixed"/>
        <w:tblCellMar>
          <w:top w:w="0" w:type="dxa"/>
          <w:left w:w="0" w:type="dxa"/>
          <w:bottom w:w="28" w:type="dxa"/>
          <w:right w:w="0" w:type="dxa"/>
        </w:tblCellMar>
      </w:tblPr>
      <w:tblGrid>
        <w:gridCol w:w="2915"/>
        <w:gridCol w:w="60"/>
        <w:gridCol w:w="3200"/>
      </w:tblGrid>
      <w:tr>
        <w:trPr/>
        <w:tc>
          <w:tcPr>
            <w:tcW w:w="2915"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Subscription Period</w:t>
            </w:r>
          </w:p>
        </w:tc>
        <w:tc>
          <w:tcPr>
            <w:tcW w:w="60" w:type="dxa"/>
            <w:tcBorders/>
            <w:tcMar>
              <w:bottom w:w="0" w:type="dxa"/>
            </w:tcMar>
            <w:vAlign w:val="center"/>
          </w:tcPr>
          <w:p>
            <w:pPr>
              <w:pStyle w:val="TableContents"/>
              <w:bidi w:val="0"/>
              <w:spacing w:before="0" w:after="283"/>
              <w:jc w:val="left"/>
              <w:rPr/>
            </w:pPr>
            <w:r>
              <w:rPr/>
              <w:t> </w:t>
            </w:r>
          </w:p>
        </w:tc>
        <w:tc>
          <w:tcPr>
            <w:tcW w:w="3200" w:type="dxa"/>
            <w:tcBorders>
              <w:bottom w:val="single" w:sz="12"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October 1, 2025 - September 30, 2026</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Term Length</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 months</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Per xDR Price (List)</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Per xDR Price (Discount)</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1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Monthly Price</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29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20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28" w:type="dxa"/>
          <w:right w:w="0" w:type="dxa"/>
        </w:tblCellMar>
      </w:tblPr>
      <w:tblGrid>
        <w:gridCol w:w="3320"/>
        <w:gridCol w:w="2120"/>
      </w:tblGrid>
      <w:tr>
        <w:trPr/>
        <w:tc>
          <w:tcPr>
            <w:tcW w:w="5440" w:type="dxa"/>
            <w:gridSpan w:val="2"/>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Service Periods</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October 1, 2025 - October 31, 2025</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$0 ([**])</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1, 2025 - November 30, 2025</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December 1, 2025 - December 31, 2025</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 2026 - January 31,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 2026 - February 28,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March 1, 2026 - March 31,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April 1, 2026 - April 30,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 2026 - May 31,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June 1, 2026 - June 30,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July 1, 2026 - July 31,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 (Extension Date)</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 2026 - August 31,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r>
        <w:trPr/>
        <w:tc>
          <w:tcPr>
            <w:tcW w:w="33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 2026 - September 30, 2026</w:t>
            </w:r>
          </w:p>
        </w:tc>
        <w:tc>
          <w:tcPr>
            <w:tcW w:w="21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$42,000*</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4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i/>
              </w:rPr>
            </w:pPr>
            <w:r>
              <w:rPr>
                <w:i/>
              </w:rPr>
              <w:t>*</w:t>
            </w:r>
          </w:p>
        </w:tc>
        <w:tc>
          <w:tcPr>
            <w:tcW w:w="4205" w:type="dxa"/>
            <w:tcBorders/>
            <w:vAlign w:val="center"/>
          </w:tcPr>
          <w:p>
            <w:pPr>
              <w:pStyle w:val="TableContents"/>
              <w:bidi w:val="0"/>
              <w:spacing w:before="0" w:after="283"/>
              <w:jc w:val="both"/>
              <w:rPr>
                <w:i/>
              </w:rPr>
            </w:pPr>
            <w:r>
              <w:rPr>
                <w:i/>
              </w:rPr>
              <w:t>Final payment if opt-out option is exercised.</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righ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Terms of Use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terms and conditions (the “Agreement”) govern all use of The Pipeline Group Technology &amp; Services (the “Services”), as set forth in the attached order form entered into with authID Inc. (“authID.ai” or “Customer”) (the “Order Form”). The Service is owned and operated by The Pipeline Group, Inc., (“TPG”). The Service is offered subject to all terms and conditions contained herein. BY USING OR ACCESSING ANY PART OF THE SERVICE, YOU AGREE TO ALL OF THE TERMS AND CONDITIONS CONTAINED HEREIN; IF YOU DO NOT AGREE, DO NOT USE OR ACCESS THE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DEFINITIONS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Browser Extension(s)” means any software plug-in or application that TPG develops that extends the functionality of a web browser in order to support the delivery of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Content” means information produced by TPG, or obtained by TPG from publicly available sources or third party content providers, and made available to Customer pursuant to the Services. Content includes, but is not limited to, Data, Conversation Guides, Ideal Customer Profile Reports, Email Templates.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Data” means any data provided during the Term including but not limited to contact information, information regarding which specific technology products are in use by specific companies, company firmographic attributes, industry spending estimates and estimated contract renewal dates.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Order Form” means an online order or ordering document referencing this Agreement specifying the Services or Content that TPG will provide to Customer, including any addenda and supplements.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Service” means the services purchased by Customer online through a link, or through an Order Form, or provided to Customer free of charge, or through a free trial, and made available to Customer via any Delivery Method, in order to access the Content. Service includes, but is not limited to, Data, Content, and Technology.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Technology” means the technology provided by TPG as part of the Service including but not limited to Lead Assignment, Account Matcher, Predictable Pipeline, TPG Data Automation, TPG Referrals, TPG Conversation Guide, LAMP Task Activity Outcome by The Pipeline Group, Contact Role Validations, &amp; LaunchQ.</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Term” means the period during which Customer has agreed to subscribe to the Services and Content, as specified in the applicable Order Form. If no period is specified, the Term shall be one (1)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Customer(s)” means an individual accepting this Agreement on his or her behalf or on behalf of a company or other legal entity, an individual authorized by Customer to use the Services, for whom Customer has provisioned the Services. Customers may include Customer’s employees, consultants, contractors, agents, and third parties acting on Customer’s behalf and that have access to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Website(s)” means any website available online that is owned or controlled by TPG, including but not limited to the website located at https://hginsights.com, and any of its web pages, as well as any successor websites.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ACCESS.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and conditions of this Agreement, the Service is solely for authID’s use in its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may change, suspend or discontinue the Services at any time upon not less than six months’ notice to authID.ai, including the availability of any feature, database, or content. TPG may also impose limits on certain features and services or restrict Customer’s access to parts or all of the Services upon not less than six months’ notice to auithID.ai. If any such changes, suspensions, limits or restrictions materially impact authID.ai’s use of the Services or TPG’s deliverables pursuant to the Order Form, authID.ai shall be entitled to a</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commensurate reduction and credit for all fees charged after such changes, suspension, limits or restrictions are imposed or take effect. Any such changes suspensions, limits or restrictions which occur without due notice shall be grounds for termination by authID.ai</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also certifies that it is legally permitted to use the Service, and takes full responsibility for the selection and use of the Service. This Agreement is void where prohibited by law, and the right to access the Service is revoked in such jurisdictions.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be responsible for obtaining and maintaining any equipment or ancillary services needed to connect to, access the Service, including, without limitation, modems, hardware, software, and long distance or local telephone service. Customer shall be responsible for ensuring that such equipment or ancillary services are compatible with the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Content, Technology and Data are the exclusive property of TPG. All rights, title and interest (including patent, copyright, trade secret rights, trademarks, logos and all other intellectual property rights with respect to the Content) are and will always be and remain the property of TPG, including any future Services, Content, Technology and Data developed as a result of any Customer feedback or suggestions.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Content, Technology, and Data are available as subscriptions and may be used during the Term only.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RESTRICTIONS.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Service and Content may only be used by Customer for its internal use during the Term. Customer may not sell, resell, license, sublicense, rent, publish, distribute, or make the Services or Content available to any third party.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nor permit anyone else to, directly or indirectly: (i) reverse engineer, disassemble, decompile or otherwise attempt to discover the source code or underlying algorithms of all or any part of the Service (except that this restriction shall not apply to the limited extent restrictions on reverse engineering are prohibited by applicable local law); (ii) modify or create derivatives of any part of the Service; (iii) rent, lease, or use the Service for timesharing or service bureau purposes; or (iv) remove or obscure any proprietary notices on the Service. As between the parties, TPG shall own all title, ownership rights, and intellectual property rights in and to the Service, and any copies or portions thereof.</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may not use the Content to enable the creation of any audience segment in a third-party application including, but not limited to, data management platforms (DMPs) or demand-side platforms (DSPs) or social media platforms for the purpose of delivering targeted programmatic display or social advertising campaigns.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may not duplicate, or generate modified versions of, the Technology or Content for the purpose of retaining the Technology or Content beyond the Term.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use any “deep-link”, “page-scrape”, “robot”, “spider” or other automatic device, program, algorithm or methodology, or any similar or equivalent manual process, to access, acquire, copy or monitor any portion of the Service or any Content, or in any way reproduce or circumvent the navigational structure or presentation of the Service or any Content, to obtain or attempt to obtain any materials, documents or information through any means not purposely made available through the Service. TPG reserves the right to bar any such activity.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attempt to gain unauthorized access to any portion or feature of the Service, or any other systems or networks connected to the Service or to any TPG server, or to any of the services offered on or through the Service, by hacking, password “mining”, or any other illegitimate means.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probe, scan or test the vulnerability of the Service or any network connected to the Service, other than Customer’s own network and related systems, nor breach the security or authentication measures on the Service or any network connected to the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take any action that imposes an unreasonable or disproportionately large load on the infrastructure of the Service or TPG’s systems or networks, or any systems or networks connected to the Service or to TPG.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use any device, software or routine to interfere or attempt to interfere with the proper working of the Service or any transaction being conducted on the Service, or with any other person’s use of the Service.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shall not use the Service or any Content for any purpose that is unlawful or prohibited by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will be responsible for, and will pay, all such fees as described in the Order Form that identifies The Pipeline Group’s products and services ordered by Customer which is accepted by The Pipeline Group, which is incorporated by this reference and shall take precedence over this Agreement in the event of a conflict.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CONTENT.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agrees that all content and materials (collectively, “Content”) delivered via the Service or otherwise made available by TPG at the Website are protected by copyrights, trademarks, service marks, patents, trade secrets or other proprietary rights and laws. Except as expressly authorized by TPG in writing, Customer agrees not to sell, license, rent, modify, distribute, copy, reproduce, transmit, publicly display, publicly perform, publish, adapt, edit or create derivative works from such materials or content. However, Customer may print or download a reasonable number of copies of the materials or content at this Website for Customer’s own informational purposes; provided, that Customer retain all copyright and other proprietary notices contained therein. Reproducing, copying or distributing any content, materials or design elements on the Website for any other purpose is strictly prohibited without the express prior written permission of TPG.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INDEMNIFICATION.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Customer is responsible for all of its activity in connection with the Service. Customer shall defend, indemnify, and hold harmless TPG, its affiliates and each of its, and its affiliates employees, contractors, directors, suppliers and representatives from all liabilities, claims, and expenses, including reasonable attorneys' fees, that arise from (i) Customer’s use or misuse of the Service; (ii) Customer’s access to any part of the Service, (iv) and content, information or materials used by Customer in connection with the Service, or (iv) Customer’s violation of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TPG shall defend, indemnify, and hold harmless Customer, its affiliates and each of its, and its affiliates employees, contractors, directors, suppliers and representatives from all liabilities, claims, and expenses, including reasonable attorneys' fees, that arise from (i) TPG’s breach of the warranties set forth herein, or (ii) TPG’s violation of this Agreement. TPG’s indemnity obligations in this Section 6 do not apply to the extent that a Claim results from TPG’s compliance with written instructions provided by Customer in connection with the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WARRANTIES.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Warranties to TPG. Customer represents and warrants that: (i) with respect to all information it provides to TPG, Customer has the full right and authority to make such provision and to allow TPG to use such information to provide the Service (including, without limitation, for TPG to provide such information to its data providers), (ii) none of the content (e.g. emails) transmitted, uploaded or otherwise distributed by it (or its partners or any third party) through use of the Service will infringe or otherwise conflict with the rights of any third party, and (iii) it will use the Service only in compliance with all applicable regulations and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Warranties to Customer. TPG represents and warrants that: (i) with respect to all information it provides to Customer, TPG has the full right and authority to make such provision and to allow Customer to use such information to make use of the Service, (ii) none of the Service will infringe or otherwise conflict with the rights of any third party, (iii) it will provide the Service only in compliance with all applicable regulations and laws (iv) TPG will provide the Services in a good and workmanlike manner in accordance with the professional standards normally exercised by professional firms providing services of a similar nature; and (v) will not, directly or indirectly, transmit to nor introduce into any of authID.ai’s servers, any Unauthorized Code. “Unauthorized Code” means any virus, software program or segment of code, or other programming design, instruction, or routine that permits unauthorized access to any authID.ai server, and is intended to damage, detrimentally interfere with, surreptitiously intercept, or expropriate any of the foregoing or any system, data, or personal information.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WARRANTY DISCLAIMER.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SET FORTH IN SECTION 6, THE SERVICE IS PROVIDED ON AN "AS IS" BASIS, WITHOUT WARRANTIES OF ANY KIND, EITHER EXPRESS OR IMPLIED, INCLUDING, WITHOUT LIMITATION, IMPLIED WARRANTIES OF MERCHANTABILITY, OR FITNESS FOR A PARTICULAR PURPOSE. TPG MAKES NO WARRANTY THAT THE RESULTS OF USING THE SERVICE WILL MEET Customer’S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LIMITATION OF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TPG, ITS OFFICERS, DIRECTORS, EMPLOYEES, AGENTS, VENDORS OR SUPPLIERS BE LIABLE UNDER CONTRACT, TORT, STRICT LIABILITY, NEGLIGENCE OR ANY OTHER LEGAL THEORY WITH RESPECT TO THE SERVICE: (I) FOR ANY LOST PROFITS OR SPECIAL, INDIRECT, INCIDENTAL, PUNITIVE, OR CONSEQUENTIAL DAMAGES OF ANY KIND WHATSOEVER, EVEN IF FORESEEABLE, (II) FOR ANY BUGS, VIRUSES, TROJAN HORSES, OR THE LIKE (REGARDLESS OF THE SOURCE OF ORIGINATION), OR (III) FOR ANY DIRECT DAMAGES IN EXCESS OF (U.S.) (PROVIDED THAT, IF Customer HAS PAID FEES TO TPG, SUCH AMOUNT WILL BE EQUAL TO THE FEES PAID BY Customer TO TPG DURING THE SIX (6) MONTH PERIOD IMMEDIATELY PRIOR TO THE DATE THE CAUSE OF ACTIONS ACCRUES).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TPG shall not be liable for any loss or liability resulting, directly or indirectly, from Customer’s inability to access or otherwise use the Services including, without limitation, any delays or interruptions due to electronic or mechanical equipment failures, denial of service attacks, data processing failures, telecommunications or Internet problems or utility failures. THE FOREGOING LIMITATIONS SHALL NOT APPLY TO THE EXTENT PROHIBITED BY APPLICABLE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either party may terminate this Agreement at any time, with cause as a result of a material breach of the terms of this Agreement, by providing the other party with fourteen (14) days’ written notice and if the relevant breach is not remedied to the reasonable satisfaction of the party serving notice by the end of such notice period, this Agreement shall terminate upon the expiration of such notice period.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EXPORT &amp; TRADE CONTROLS.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agrees not to import, export, re-export, or transfer, directly or indirectly, any part of the Service or any information provided on or pursuant to the Service except in full compliance with all United States, foreign and other applicable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PRIVACY &amp; CONFIDENTIALITY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TPG’s current privacy policy is available at https://thepipelinegroup.io// (the “Privacy Policy”), which is incorporated by this reference. TPG strongly recommends that you review the Privacy Policy closely. (a) Confidential Information. Each Party acknowledges that it has received and may receive information of a confidential nature relating to one or more of the other Party’s customers, assets, liabilities, revenues, trade secrets, technology, know how, other intellectual property, business processes or other business and financial affairs or plans, which may be disclosed in any manner or medium in connection with this Agreement (collectively, “Confidential Information”). The Parties shall use Confidential Information only for the purpose of undertaking their respective obligations in accordance with this Agreement. Except as otherwise provided in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 Party shall have no authority to use another Party’s Confidential Information for any other purpose or in any other manner.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Duty to Maintain Confidentiality. The Party disclosing Confidential Information shall at all times retain title to the Confidential Information, except to the extent that the same constitutes Work Product belonging to the Client hereunder. The receiving Parties shall preserve and protect the confidentiality of the disclosing Party's Confidential Information using precautions at least as restrictive as those it takes to protect their own confidential, proprietary and trade secret information (but in no event less than a reasonable degree of care). Except as expressly authorized by this Agreement, the receiving Parties shall not allow others to use, display, copy, disclose, transmit, reverse engineer, disassemble, decompile, or translate all or any part of such Confidential Information without the disclosing Party's prior written consent. The receiving Parties shall limit access to the disclosing Party's Confidential Information to its and its affiliates’ directors, officers, managers, employees and contractors who: (i) have a need to know such Confidential Information to enable that Person to perform its, his or her obligations under this Agreement and (ii) are obligated to protect the confidentiality of such Confidential Information under substantially similar terms as those set forth in this Section. The receiving Parties shall be fully and directly responsible and liable to the disclosing Party for any breach of this Section by any Persons receiving access to the disclosing Party's Confidential Information through or on behalf of such receiving Party. The disclosing Party shall be entitled to injunctive relief for any breach or threatened breach of this Section.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Exclusions. Excluded from the obligations of this Section 11 is any information that: (i) is known to the receiving Party prior to disclosure by the disclosing Party as demonstrated by documentary evidence;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after disclosure to the receiving Party, is published or otherwise becomes publicly available through no fault of the receiving Party;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is developed by the receiving Party independently of knowledge of Confidential Information; or (iv) has been rightfully acquired by the receiving Party from a third Person without restriction and provided that the third Person had the right to disclose the information without restriction; 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consists of general know how, processes and techniques, which, although similar in purpose and effect to protected Confidential Information, were not developed using and were not derived from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Exceptions for Legal Process. Further, the receiving Party may disclose Confidential Information to the extent required by law, including applicable securities laws and the requirements or rules of any securities market or exchange, or pursuant to any subpoena, civil investigative demand or similar demand or request of any court, regulatory authority, arbitrator or tribunal. However, in that case the receiving Party shall first give the disclosing Party prompt notice of any order or demand requiring such disclosure (unless prevented from doing such by its terms) and if required by the disclosing Party shall, at the disclosing Party’s cost, make a reasonable effort to obtain a protective order or otherwise protect the confidentiality of such Confidential Information.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Employees. Each of Consultant and Client shall independently ensure that it and their respective employees, subsidiaries, affiliates, agents and sub-contractors shall observe the provisions of applicable privacy laws and are aware of and comply with the provisions of this Section 11.</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Term of Confidentiality. The obligations under this section 11 shall survive termination of this Agreement for any reason and shall continue for a period of 5 years from the date of such termination.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COPYRIGHT.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content included with the Services and on the Website, such as text, graphics, logos, button icons, images, audio clips, digital downloads, data compilations, and software, is the property of TPG or its content suppliers and protected by United States and international copyright laws. The compilation of all content on the Website is the exclusive property of TPG and protected by U.S. and international copyright laws. All software used on (or provided through) the Website and the Services is the property of TPG or its software suppliers and protected by United States and international copyright laws.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MISCELLANEOUS.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of either party to exercise in any respect any right provided for herein shall not be deemed a waiver of any further rights hereunder. TPG shall not be liable for any failure to perform its obligations hereunder where such failure results from any cause beyond TPG’s reasonable control, including, without limitation, mechanical, electronic or communications failure or degradation (including "line-noise" interference). If any provision of this Agreement is found to be unenforceable or invalid, that provision shall be limited or eliminated to the minimum extent necessary so that this Agreement shall otherwise remain in full force and effect and enforceable. This Agreement is not assignable, transferable or sublicensable by Customer except with TPG’s prior written consent. TPG may transfer, assign or delegate this Agreement and its rights and obligations without consent. This Agreement shall be governed by and construed in accordance with the laws of the State of California, as if made within California between two residents thereof, and the parties submit to the exclusive jurisdiction and venue of the state and Federal courts located in Santa Clara, California. Both parties agree that this Agreement constitutes the complete and exclusive statement of the mutual understanding of the parties and supersedes and cancels all previous written and oral agreements, communications and other understandings relating to the subject matter of this Agreement, and that all modifications must be in a writing signed by both parties, except as otherwise provided herein. No agency, partnership, joint venture, or employment is created as a result of this Agreement and Customer does not have any authority of any kind to bind TPG in any respect whatsoever.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TPG Technology:</w:t>
      </w:r>
    </w:p>
    <w:p>
      <w:pPr>
        <w:pStyle w:val="TextBody"/>
        <w:bidi w:val="0"/>
        <w:spacing w:before="0" w:after="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p>
      <w:pPr>
        <w:pStyle w:val="TextBody"/>
        <w:bidi w:val="0"/>
        <w:jc w:val="left"/>
        <w:rPr>
          <w:bdr w:val="single" w:sz="12" w:space="1" w:color="000000"/>
        </w:rPr>
      </w:pPr>
      <w:r>
        <w:rPr>
          <w:bdr w:val="single" w:sz="12" w:space="1" w:color="000000"/>
        </w:rPr>
        <w:t> </w:t>
      </w:r>
    </w:p>
    <w:p>
      <w:pPr>
        <w:pStyle w:val="TextBody"/>
        <w:shd w:fill="FFFFFF" w:val="clear"/>
        <w:bidi w:val="0"/>
        <w:spacing w:before="0" w:after="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6169901ex31-1_authid.htm"/>
      <w:bookmarkStart w:id="26" w:name="ksea026169901ex311_authid"/>
      <w:bookmarkEnd w:id="25"/>
      <w:bookmarkEnd w:id="26"/>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CERTIFICATION OF PRINCIPAL EXECUTIVE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Rhoniel A. Daguro, Chief Executive Officer certify that:</w:t>
      </w:r>
    </w:p>
    <w:p>
      <w:pPr>
        <w:pStyle w:val="TextBody"/>
        <w:bidi w:val="0"/>
        <w:spacing w:before="0" w:after="0"/>
        <w:ind w:left="0" w:right="0" w:hanging="0"/>
        <w:jc w:val="both"/>
        <w:rPr>
          <w:caps w:val="false"/>
          <w:smallCaps w:val="false"/>
        </w:rPr>
      </w:pPr>
      <w:r>
        <w:rPr>
          <w:caps w:val="false"/>
          <w:smallCaps w:val="false"/>
        </w:rPr>
        <w:t> </w:t>
      </w:r>
    </w:p>
    <w:tbl>
      <w:tblPr>
        <w:tblW w:w="5485" w:type="dxa"/>
        <w:jc w:val="left"/>
        <w:tblInd w:w="0" w:type="dxa"/>
        <w:tblLayout w:type="fixed"/>
        <w:tblCellMar>
          <w:top w:w="0" w:type="dxa"/>
          <w:left w:w="0" w:type="dxa"/>
          <w:bottom w:w="0" w:type="dxa"/>
          <w:right w:w="0" w:type="dxa"/>
        </w:tblCellMar>
      </w:tblPr>
      <w:tblGrid>
        <w:gridCol w:w="185"/>
        <w:gridCol w:w="530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510"/>
        <w:gridCol w:w="2765"/>
      </w:tblGrid>
      <w:tr>
        <w:trPr/>
        <w:tc>
          <w:tcPr>
            <w:tcW w:w="2510" w:type="dxa"/>
            <w:tcBorders/>
            <w:shd w:fill="FFFFFF" w:val="clear"/>
            <w:vAlign w:val="center"/>
          </w:tcPr>
          <w:p>
            <w:pPr>
              <w:pStyle w:val="TableContents"/>
              <w:bidi w:val="0"/>
              <w:spacing w:before="0" w:after="283"/>
              <w:jc w:val="left"/>
              <w:rPr/>
            </w:pPr>
            <w:r>
              <w:rPr/>
              <w:t>Date: November 12, 2025</w:t>
            </w:r>
          </w:p>
        </w:tc>
        <w:tc>
          <w:tcPr>
            <w:tcW w:w="2765"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Rhoniel A. Daguro</w:t>
            </w:r>
          </w:p>
        </w:tc>
      </w:tr>
      <w:tr>
        <w:trPr/>
        <w:tc>
          <w:tcPr>
            <w:tcW w:w="25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Rhoniel A. Daguro</w:t>
            </w:r>
          </w:p>
        </w:tc>
      </w:tr>
      <w:tr>
        <w:trPr/>
        <w:tc>
          <w:tcPr>
            <w:tcW w:w="251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Chief Executive Officer</w:t>
              <w:br/>
              <w:t>(Principal Executive Officer)</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026169901ex31-2_authid.htm"/>
      <w:bookmarkStart w:id="28" w:name="ksea026169901ex312_authid"/>
      <w:bookmarkEnd w:id="27"/>
      <w:bookmarkEnd w:id="28"/>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AND ACCOUNTING OFFICER</w:t>
        <w:br/>
        <w:t>PURSUANT TO SECTION 302 OF THE</w:t>
        <w:br/>
        <w:t>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Edward Sellitto, Chief Financial Officer, certify that:</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185"/>
        <w:gridCol w:w="5345"/>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quarterly report on Form 10-Q of authID Inc.;</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controls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9"/>
        <w:gridCol w:w="10001"/>
      </w:tblGrid>
      <w:tr>
        <w:trPr/>
        <w:tc>
          <w:tcPr>
            <w:tcW w:w="75"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5"/>
        <w:gridCol w:w="9995"/>
      </w:tblGrid>
      <w:tr>
        <w:trPr/>
        <w:tc>
          <w:tcPr>
            <w:tcW w:w="75"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9"/>
        <w:gridCol w:w="9981"/>
      </w:tblGrid>
      <w:tr>
        <w:trPr/>
        <w:tc>
          <w:tcPr>
            <w:tcW w:w="75"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8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year that has materially affected, or is reasonably likely to materially affect, the registrant’s internal control over financial reporting;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4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controls over financial reporting, to the registrant’s auditors and the audit committee of registrant’s board of directors (or persons performing the equivalent function):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controls over financial reporting which are reasonably likely to adversely affect the registrant’s ability to record, process, summarize and report financial data information; and</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controls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9025" w:type="dxa"/>
        <w:jc w:val="left"/>
        <w:tblInd w:w="0" w:type="dxa"/>
        <w:tblLayout w:type="fixed"/>
        <w:tblCellMar>
          <w:top w:w="0" w:type="dxa"/>
          <w:left w:w="0" w:type="dxa"/>
          <w:bottom w:w="0" w:type="dxa"/>
          <w:right w:w="0" w:type="dxa"/>
        </w:tblCellMar>
      </w:tblPr>
      <w:tblGrid>
        <w:gridCol w:w="2510"/>
        <w:gridCol w:w="6515"/>
      </w:tblGrid>
      <w:tr>
        <w:trPr/>
        <w:tc>
          <w:tcPr>
            <w:tcW w:w="2510" w:type="dxa"/>
            <w:tcBorders/>
            <w:shd w:fill="FFFFFF" w:val="clear"/>
            <w:vAlign w:val="center"/>
          </w:tcPr>
          <w:p>
            <w:pPr>
              <w:pStyle w:val="TableContents"/>
              <w:bidi w:val="0"/>
              <w:spacing w:before="0" w:after="283"/>
              <w:jc w:val="left"/>
              <w:rPr/>
            </w:pPr>
            <w:r>
              <w:rPr/>
              <w:t>Date: November 12, 2025</w:t>
            </w:r>
          </w:p>
        </w:tc>
        <w:tc>
          <w:tcPr>
            <w:tcW w:w="6515" w:type="dxa"/>
            <w:tcBorders>
              <w:bottom w:val="single" w:sz="12" w:space="0" w:color="000000"/>
            </w:tcBorders>
            <w:shd w:fill="FFFFFF" w:val="clear"/>
            <w:tcMar>
              <w:bottom w:w="28" w:type="dxa"/>
            </w:tcMar>
            <w:vAlign w:val="center"/>
          </w:tcPr>
          <w:p>
            <w:pPr>
              <w:pStyle w:val="TableContents"/>
              <w:bidi w:val="0"/>
              <w:spacing w:before="0" w:after="283"/>
              <w:jc w:val="left"/>
              <w:rPr>
                <w:sz w:val="20"/>
              </w:rPr>
            </w:pPr>
            <w:r>
              <w:rPr>
                <w:sz w:val="20"/>
              </w:rPr>
              <w:t>/s/ Ed Sellitto</w:t>
            </w:r>
          </w:p>
        </w:tc>
      </w:tr>
      <w:tr>
        <w:trPr/>
        <w:tc>
          <w:tcPr>
            <w:tcW w:w="251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Ed Sellitto</w:t>
            </w:r>
          </w:p>
        </w:tc>
      </w:tr>
      <w:tr>
        <w:trPr/>
        <w:tc>
          <w:tcPr>
            <w:tcW w:w="251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Chief Financial Officer (Principal Financial and Accounting Officer)</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6169901ex32-1_authid.htm"/>
      <w:bookmarkStart w:id="30" w:name="ksea026169901ex321_authid"/>
      <w:bookmarkEnd w:id="29"/>
      <w:bookmarkEnd w:id="30"/>
      <w:r>
        <w:rPr>
          <w:rFonts w:ascii="Times New Roman;Times;Serif" w:hAnsi="Times New Roman;Times;Serif"/>
          <w:b/>
          <w:i w:val="false"/>
          <w:caps w:val="false"/>
          <w:smallCaps w:val="false"/>
          <w:sz w:val="20"/>
        </w:rPr>
        <w:t>Exhibit 32.1</w:t>
      </w:r>
      <w:r>
        <w:br w:type="page"/>
      </w:r>
    </w:p>
    <w:p>
      <w:pPr>
        <w:pStyle w:val="TextBody"/>
        <w:bidi w:val="0"/>
        <w:spacing w:before="0" w:after="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authID Inc. (the “Company”) on Form 10-Q for the quarter ended September 30, 2025 as filed with the Securities and Exchange Commission (the “Report”), We, Rhoniel A. Daguro, Chief Executive Officer of the Company, and, Edward Sellitto, Chief Financial Officer of the Company, certify, pursuant to 18 U.S.C. SS. 1350, as adopted pursuant to SS. 906 of the Sarbanes-Oxley Act of 2002, that: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1.</w:t>
            </w:r>
          </w:p>
        </w:tc>
        <w:tc>
          <w:tcPr>
            <w:tcW w:w="9975" w:type="dxa"/>
            <w:tcBorders/>
            <w:vAlign w:val="center"/>
          </w:tcPr>
          <w:p>
            <w:pPr>
              <w:pStyle w:val="TableContents"/>
              <w:bidi w:val="0"/>
              <w:spacing w:before="0" w:after="283"/>
              <w:jc w:val="both"/>
              <w:rPr/>
            </w:pPr>
            <w:r>
              <w:rPr/>
              <w:t>The Report fully complies with the requirements of Section 13(a) or 15(d) of the Securities Exchange Act of 1934;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2.</w:t>
            </w:r>
          </w:p>
        </w:tc>
        <w:tc>
          <w:tcPr>
            <w:tcW w:w="9985" w:type="dxa"/>
            <w:tcBorders/>
            <w:vAlign w:val="center"/>
          </w:tcPr>
          <w:p>
            <w:pPr>
              <w:pStyle w:val="TableContents"/>
              <w:bidi w:val="0"/>
              <w:spacing w:before="0" w:after="283"/>
              <w:jc w:val="both"/>
              <w:rPr/>
            </w:pPr>
            <w:r>
              <w:rPr/>
              <w:t>The information contained in the Report fairly presents, in all material respects, the financial condition and result of operations of the Company.</w:t>
            </w:r>
          </w:p>
        </w:tc>
      </w:tr>
    </w:tbl>
    <w:p>
      <w:pPr>
        <w:pStyle w:val="TextBody"/>
        <w:bidi w:val="0"/>
        <w:spacing w:before="0" w:after="0"/>
        <w:ind w:left="0" w:right="0" w:hanging="0"/>
        <w:jc w:val="left"/>
        <w:rPr>
          <w:caps w:val="false"/>
          <w:smallCaps w:val="false"/>
        </w:rPr>
      </w:pPr>
      <w:r>
        <w:rPr>
          <w:caps w:val="false"/>
          <w:smallCaps w:val="false"/>
        </w:rPr>
        <w:t> </w:t>
      </w:r>
    </w:p>
    <w:tbl>
      <w:tblPr>
        <w:tblW w:w="4075" w:type="dxa"/>
        <w:jc w:val="left"/>
        <w:tblInd w:w="0" w:type="dxa"/>
        <w:tblLayout w:type="fixed"/>
        <w:tblCellMar>
          <w:top w:w="0" w:type="dxa"/>
          <w:left w:w="0" w:type="dxa"/>
          <w:bottom w:w="0" w:type="dxa"/>
          <w:right w:w="0" w:type="dxa"/>
        </w:tblCellMar>
      </w:tblPr>
      <w:tblGrid>
        <w:gridCol w:w="1640"/>
        <w:gridCol w:w="2435"/>
      </w:tblGrid>
      <w:tr>
        <w:trPr/>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November 12, 2025</w:t>
            </w:r>
          </w:p>
        </w:tc>
        <w:tc>
          <w:tcPr>
            <w:tcW w:w="2435" w:type="dxa"/>
            <w:tcBorders>
              <w:bottom w:val="single" w:sz="12" w:space="0" w:color="000000"/>
            </w:tcBorders>
            <w:tcMar>
              <w:bottom w:w="28" w:type="dxa"/>
            </w:tcMar>
            <w:vAlign w:val="center"/>
          </w:tcPr>
          <w:p>
            <w:pPr>
              <w:pStyle w:val="TableContents"/>
              <w:bidi w:val="0"/>
              <w:spacing w:before="0" w:after="283"/>
              <w:jc w:val="left"/>
              <w:rPr/>
            </w:pPr>
            <w:r>
              <w:rPr/>
              <w:t>/s/ Rhoniel A. Daguro     </w:t>
            </w:r>
          </w:p>
        </w:tc>
      </w:tr>
      <w:tr>
        <w:trPr/>
        <w:tc>
          <w:tcPr>
            <w:tcW w:w="16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Rhoniel A. Daguro</w:t>
            </w:r>
          </w:p>
        </w:tc>
      </w:tr>
      <w:tr>
        <w:trPr/>
        <w:tc>
          <w:tcPr>
            <w:tcW w:w="16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Chief Executive Officer</w:t>
            </w:r>
          </w:p>
        </w:tc>
      </w:tr>
      <w:tr>
        <w:trPr/>
        <w:tc>
          <w:tcPr>
            <w:tcW w:w="164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5590" w:type="dxa"/>
        <w:jc w:val="left"/>
        <w:tblInd w:w="0" w:type="dxa"/>
        <w:tblLayout w:type="fixed"/>
        <w:tblCellMar>
          <w:top w:w="0" w:type="dxa"/>
          <w:left w:w="0" w:type="dxa"/>
          <w:bottom w:w="0" w:type="dxa"/>
          <w:right w:w="0" w:type="dxa"/>
        </w:tblCellMar>
      </w:tblPr>
      <w:tblGrid>
        <w:gridCol w:w="1940"/>
        <w:gridCol w:w="3650"/>
      </w:tblGrid>
      <w:tr>
        <w:trPr/>
        <w:tc>
          <w:tcPr>
            <w:tcW w:w="1940" w:type="dxa"/>
            <w:tcBorders/>
            <w:vAlign w:val="center"/>
          </w:tcPr>
          <w:p>
            <w:pPr>
              <w:pStyle w:val="TableContents"/>
              <w:bidi w:val="0"/>
              <w:spacing w:before="0" w:after="283"/>
              <w:jc w:val="left"/>
              <w:rPr/>
            </w:pPr>
            <w:r>
              <w:rPr/>
              <w:t>November 12, 2025</w:t>
            </w:r>
          </w:p>
        </w:tc>
        <w:tc>
          <w:tcPr>
            <w:tcW w:w="3650" w:type="dxa"/>
            <w:tcBorders>
              <w:bottom w:val="single" w:sz="12" w:space="0" w:color="000000"/>
            </w:tcBorders>
            <w:tcMar>
              <w:bottom w:w="28" w:type="dxa"/>
            </w:tcMar>
            <w:vAlign w:val="center"/>
          </w:tcPr>
          <w:p>
            <w:pPr>
              <w:pStyle w:val="TableContents"/>
              <w:bidi w:val="0"/>
              <w:spacing w:before="0" w:after="283"/>
              <w:jc w:val="left"/>
              <w:rPr/>
            </w:pPr>
            <w:r>
              <w:rPr/>
              <w:t>/s/ Ed Sellitto   </w:t>
            </w:r>
          </w:p>
        </w:tc>
      </w:tr>
      <w:tr>
        <w:trPr/>
        <w:tc>
          <w:tcPr>
            <w:tcW w:w="194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Ed Sellitto, </w:t>
            </w:r>
          </w:p>
        </w:tc>
      </w:tr>
      <w:tr>
        <w:trPr/>
        <w:tc>
          <w:tcPr>
            <w:tcW w:w="194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sz w:val="20"/>
              </w:rPr>
            </w:pPr>
            <w:r>
              <w:rPr>
                <w:sz w:val="20"/>
              </w:rPr>
              <w:t>Chief Financial Officer</w:t>
            </w:r>
          </w:p>
        </w:tc>
      </w:tr>
      <w:tr>
        <w:trPr/>
        <w:tc>
          <w:tcPr>
            <w:tcW w:w="194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534154/000121390021017290/ea138222ex3-1_ipsidyinc.htm" TargetMode="External"/><Relationship Id="rId4" Type="http://schemas.openxmlformats.org/officeDocument/2006/relationships/hyperlink" Target="http://www.sec.gov/Archives/edgar/data/1534154/000121390022040296/ea162935ex3-2_authid.htm" TargetMode="External"/><Relationship Id="rId5" Type="http://schemas.openxmlformats.org/officeDocument/2006/relationships/hyperlink" Target="http://www.sec.gov/Archives/edgar/data/1534154/000121390021032569/ea142763ex3-1_ipsidyinc.htm" TargetMode="External"/><Relationship Id="rId6" Type="http://schemas.openxmlformats.org/officeDocument/2006/relationships/hyperlink" Target="http://www.sec.gov/Archives/edgar/data/1534154/000121390022040296/ea162935ex3-1_authid.htm" TargetMode="External"/><Relationship Id="rId7" Type="http://schemas.openxmlformats.org/officeDocument/2006/relationships/hyperlink" Target="http://www.sec.gov/Archives/edgar/data/1534154/000121390022057553/ea166087ex3-1_authid.htm" TargetMode="External"/><Relationship Id="rId8" Type="http://schemas.openxmlformats.org/officeDocument/2006/relationships/hyperlink" Target="http://www.sec.gov/Archives/edgar/data/1534154/000121390023052128/ea180976ex3-1_authidinc.htm" TargetMode="External"/><Relationship Id="rId9" Type="http://schemas.openxmlformats.org/officeDocument/2006/relationships/hyperlink" Target="http://www.sec.gov/Archives/edgar/data/1534154/000121390024056729/ea020866001ex3-1_authid.htm" TargetMode="External"/><Relationship Id="rId10" Type="http://schemas.openxmlformats.org/officeDocument/2006/relationships/hyperlink" Target="http://www.sec.gov/Archives/edgar/data/1534154/000121390021032569/ea142763ex4-1_ipsidyinc.htm" TargetMode="External"/><Relationship Id="rId11" Type="http://schemas.openxmlformats.org/officeDocument/2006/relationships/hyperlink" Target="http://www.sec.gov/Archives/edgar/data/1534154/000121390021032569/ea142763ex10-6_ipsidyinc.htm" TargetMode="External"/><Relationship Id="rId12" Type="http://schemas.openxmlformats.org/officeDocument/2006/relationships/hyperlink" Target="http://www.sec.gov/Archives/edgar/data/1534154/000121390021032569/ea142763ex10-5_ipsidyinc.htm" TargetMode="External"/><Relationship Id="rId13" Type="http://schemas.openxmlformats.org/officeDocument/2006/relationships/hyperlink" Target="http://www.sec.gov/Archives/edgar/data/1534154/000161577418003344/s109839_ex10-27.htm" TargetMode="External"/><Relationship Id="rId14" Type="http://schemas.openxmlformats.org/officeDocument/2006/relationships/hyperlink" Target="http://www.sec.gov/Archives/edgar/data/1534154/000121390021032569/ea142763ex10-1_ipsidyinc.htm" TargetMode="External"/><Relationship Id="rId15" Type="http://schemas.openxmlformats.org/officeDocument/2006/relationships/hyperlink" Target="http://www.sec.gov/Archives/edgar/data/1534154/000121390021032569/ea142763ex10-2_ipsidyinc.htm" TargetMode="External"/><Relationship Id="rId16" Type="http://schemas.openxmlformats.org/officeDocument/2006/relationships/hyperlink" Target="http://www.sec.gov/Archives/edgar/data/1534154/000121390022004803/ea154748ex4-1_ipsidyinc.htm" TargetMode="External"/><Relationship Id="rId17" Type="http://schemas.openxmlformats.org/officeDocument/2006/relationships/hyperlink" Target="http://www.sec.gov/Archives/edgar/data/1534154/000121390022021805/ea158885ex10-1_ipsidyinc.htm" TargetMode="External"/><Relationship Id="rId18" Type="http://schemas.openxmlformats.org/officeDocument/2006/relationships/hyperlink" Target="http://www.sec.gov/Archives/edgar/data/1534154/000121390023018987/ea174977ex10-1_authid.htm" TargetMode="External"/><Relationship Id="rId19" Type="http://schemas.openxmlformats.org/officeDocument/2006/relationships/hyperlink" Target="http://www.sec.gov/Archives/edgar/data/1534154/000121390023018987/ea174977ex10-2_authid.htm" TargetMode="External"/><Relationship Id="rId20" Type="http://schemas.openxmlformats.org/officeDocument/2006/relationships/hyperlink" Target="http://www.sec.gov/Archives/edgar/data/1534154/000121390023018987/ea174977ex10-3_authid.htm" TargetMode="External"/><Relationship Id="rId21" Type="http://schemas.openxmlformats.org/officeDocument/2006/relationships/hyperlink" Target="http://www.sec.gov/Archives/edgar/data/1534154/000121390023018987/ea174977ex10-4_authid.htm" TargetMode="External"/><Relationship Id="rId22" Type="http://schemas.openxmlformats.org/officeDocument/2006/relationships/hyperlink" Target="http://www.sec.gov/Archives/edgar/data/1534154/000121390023023408/ea175837ex10-1_authid.htm" TargetMode="External"/><Relationship Id="rId23" Type="http://schemas.openxmlformats.org/officeDocument/2006/relationships/hyperlink" Target="http://www.sec.gov/Archives/edgar/data/1534154/000121390023023408/ea175837ex10-2_authid.htm" TargetMode="External"/><Relationship Id="rId24" Type="http://schemas.openxmlformats.org/officeDocument/2006/relationships/hyperlink" Target="http://www.sec.gov/Archives/edgar/data/1534154/000121390023023408/ea175837ex10-3_authid.htm" TargetMode="External"/><Relationship Id="rId25" Type="http://schemas.openxmlformats.org/officeDocument/2006/relationships/hyperlink" Target="http://www.sec.gov/Archives/edgar/data/1534154/000121390023030640/ea177091ex10-1_authid.htm" TargetMode="External"/><Relationship Id="rId26" Type="http://schemas.openxmlformats.org/officeDocument/2006/relationships/hyperlink" Target="http://www.sec.gov/Archives/edgar/data/1534154/000121390023030640/ea177091ex10-2_authid.htm" TargetMode="External"/><Relationship Id="rId27" Type="http://schemas.openxmlformats.org/officeDocument/2006/relationships/hyperlink" Target="http://www.sec.gov/Archives/edgar/data/1534154/000121390023040545/ea178743ex10-1_authid.htm" TargetMode="External"/><Relationship Id="rId28" Type="http://schemas.openxmlformats.org/officeDocument/2006/relationships/hyperlink" Target="http://www.sec.gov/Archives/edgar/data/1534154/000121390023043563/ea179371ex10-1_authidinc.htm" TargetMode="External"/><Relationship Id="rId29" Type="http://schemas.openxmlformats.org/officeDocument/2006/relationships/hyperlink" Target="http://www.sec.gov/Archives/edgar/data/1534154/000121390023043563/ea179371ex10-2_authidinc.htm" TargetMode="External"/><Relationship Id="rId30" Type="http://schemas.openxmlformats.org/officeDocument/2006/relationships/hyperlink" Target="http://www.sec.gov/Archives/edgar/data/1534154/000121390023043563/ea179371ex10-3_authidinc.htm" TargetMode="External"/><Relationship Id="rId31" Type="http://schemas.openxmlformats.org/officeDocument/2006/relationships/hyperlink" Target="http://www.sec.gov/Archives/edgar/data/1534154/000121390023043563/ea179371ex10-4_authidinc.htm" TargetMode="External"/><Relationship Id="rId32" Type="http://schemas.openxmlformats.org/officeDocument/2006/relationships/hyperlink" Target="http://www.sec.gov/Archives/edgar/data/1534154/000121390023062781/ea182763ex10-1_authidinc.htm" TargetMode="External"/><Relationship Id="rId33" Type="http://schemas.openxmlformats.org/officeDocument/2006/relationships/hyperlink" Target="http://www.sec.gov/Archives/edgar/data/1534154/000121390023081375/ea187301ex10-1_authid.htm" TargetMode="External"/><Relationship Id="rId34" Type="http://schemas.openxmlformats.org/officeDocument/2006/relationships/hyperlink" Target="http://www.sec.gov/Archives/edgar/data/1534154/000121390023090267/ea189066ex10-1_authidinc.htm" TargetMode="External"/><Relationship Id="rId35" Type="http://schemas.openxmlformats.org/officeDocument/2006/relationships/hyperlink" Target="http://www.sec.gov/Archives/edgar/data/1534154/000121390023090267/ea189066ex10-2_authidinc.htm" TargetMode="External"/><Relationship Id="rId36" Type="http://schemas.openxmlformats.org/officeDocument/2006/relationships/hyperlink" Target="http://www.sec.gov/Archives/edgar/data/1534154/000121390023090267/ea189066ex10-3_authidinc.htm" TargetMode="External"/><Relationship Id="rId37" Type="http://schemas.openxmlformats.org/officeDocument/2006/relationships/hyperlink" Target="http://www.sec.gov/Archives/edgar/data/1534154/000121390023097744/ea190517ex10-1_authidinc.htm" TargetMode="External"/><Relationship Id="rId38" Type="http://schemas.openxmlformats.org/officeDocument/2006/relationships/hyperlink" Target="http://www.sec.gov/Archives/edgar/data/1534154/000121390024026066/ea020260501ex10-1_authidinc.htm" TargetMode="External"/><Relationship Id="rId39" Type="http://schemas.openxmlformats.org/officeDocument/2006/relationships/hyperlink" Target="https://www.sec.gov/Archives/edgar/data/1534154/000121390024056729/ea020866001ex10-1_authid.htm" TargetMode="External"/><Relationship Id="rId40" Type="http://schemas.openxmlformats.org/officeDocument/2006/relationships/hyperlink" Target="http://www.sec.gov/Archives/edgar/data/1534154/000121390024056729/ea020866001ex10-2_authid.htm" TargetMode="External"/><Relationship Id="rId41" Type="http://schemas.openxmlformats.org/officeDocument/2006/relationships/hyperlink" Target="http://www.sec.gov/Archives/edgar/data/1534154/000121390024056729/ea020866001ex10-3_authid.htm" TargetMode="External"/><Relationship Id="rId42" Type="http://schemas.openxmlformats.org/officeDocument/2006/relationships/hyperlink" Target="http://www.sec.gov/Archives/edgar/data/1534154/000121390025023697/ea023186001ex10-32_authid.htm" TargetMode="External"/><Relationship Id="rId43" Type="http://schemas.openxmlformats.org/officeDocument/2006/relationships/hyperlink" Target="http://www.sec.gov/Archives/edgar/data/1534154/000121390024095394/ea021872901ex10-47_authid.htm" TargetMode="External"/><Relationship Id="rId44" Type="http://schemas.openxmlformats.org/officeDocument/2006/relationships/hyperlink" Target="http://www.sec.gov/Archives/edgar/data/1534154/000121390024095394/ea021872901ex10-48_authid.htm" TargetMode="External"/><Relationship Id="rId45" Type="http://schemas.openxmlformats.org/officeDocument/2006/relationships/hyperlink" Target="http://www.sec.gov/Archives/edgar/data/1534154/000121390025027527/ea023660501ex10-1_authid.htm" TargetMode="External"/><Relationship Id="rId46" Type="http://schemas.openxmlformats.org/officeDocument/2006/relationships/hyperlink" Target="http://www.sec.gov/Archives/edgar/data/1534154/000121390025027527/ea023660501ex10-2_authid.htm" TargetMode="External"/><Relationship Id="rId47" Type="http://schemas.openxmlformats.org/officeDocument/2006/relationships/hyperlink" Target="http://www.sec.gov/Archives/edgar/data/1534154/000121390025027527/ea023660501ex10-3_authid.htm" TargetMode="External"/><Relationship Id="rId48" Type="http://schemas.openxmlformats.org/officeDocument/2006/relationships/hyperlink" Target="http://www.sec.gov/Archives/edgar/data/1534154/000121390025027527/ea023660501ex10-4_authid.htm" TargetMode="External"/><Relationship Id="rId49" Type="http://schemas.openxmlformats.org/officeDocument/2006/relationships/hyperlink" Target="http://www.sec.gov/Archives/edgar/data/1534154/000121390025027527/ea023660501ex10-5_authid.htm" TargetMode="External"/><Relationship Id="rId50" Type="http://schemas.openxmlformats.org/officeDocument/2006/relationships/hyperlink" Target="http://www.sec.gov/Archives/edgar/data/1534154/000121390025027527/ea023660501ex10-6_authid.htm" TargetMode="External"/><Relationship Id="rId51" Type="http://schemas.openxmlformats.org/officeDocument/2006/relationships/hyperlink" Target="http://www.sec.gov/Archives/edgar/data/1534154/000121390025027527/ea023660501ex10-7_authid.htm" TargetMode="External"/><Relationship Id="rId52" Type="http://schemas.openxmlformats.org/officeDocument/2006/relationships/hyperlink" Target="https://www.sec.gov/Archives/edgar/data/1534154/000121390025040647/ea024124601ex10-1_authid.htm" TargetMode="External"/><Relationship Id="rId53" Type="http://schemas.openxmlformats.org/officeDocument/2006/relationships/hyperlink" Target="https://www.sec.gov/Archives/edgar/data/1534154/000121390025040647/ea024124601ex10-4_authid.htm" TargetMode="External"/><Relationship Id="rId54" Type="http://schemas.openxmlformats.org/officeDocument/2006/relationships/hyperlink" Target="https://www.sec.gov/Archives/edgar/data/1534154/000121390025040647/ea024124601ex10-5_authid.htm" TargetMode="External"/><Relationship Id="rId55" Type="http://schemas.openxmlformats.org/officeDocument/2006/relationships/hyperlink" Target="https://www.sec.gov/Archives/edgar/data/1534154/000121390025040647/ea024124601ex10-6_authid.htm" TargetMode="External"/><Relationship Id="rId56" Type="http://schemas.openxmlformats.org/officeDocument/2006/relationships/hyperlink" Target="http://www.sec.gov/Archives/edgar/data/1534154/000121390025076641/ea024985901ex10-46_authid.htm" TargetMode="External"/><Relationship Id="rId57" Type="http://schemas.openxmlformats.org/officeDocument/2006/relationships/hyperlink" Target="http://www.sec.gov/Archives/edgar/data/1534154/000121390023084806/f10q0923ex14-1_authidinc.htm" TargetMode="External"/><Relationship Id="rId58" Type="http://schemas.openxmlformats.org/officeDocument/2006/relationships/hyperlink" Target="http://www.sec.gov/Archives/edgar/data/1534154/000121390025023697/ea023186001ex19_authid.htm" TargetMode="External"/><Relationship Id="rId59" Type="http://schemas.openxmlformats.org/officeDocument/2006/relationships/hyperlink" Target="http://www.sec.gov/Archives/edgar/data/1534154/000121390025023697/ea023186001ex21-1_authid.htm" TargetMode="External"/><Relationship Id="rId60" Type="http://schemas.openxmlformats.org/officeDocument/2006/relationships/hyperlink" Target="http://www.sec.gov/Archives/edgar/data/1534154/000121390023084806/f10q0923ex99-1_authidinc.htm" TargetMode="External"/><Relationship Id="rId61" Type="http://schemas.openxmlformats.org/officeDocument/2006/relationships/hyperlink" Target="http://www.sec.gov/Archives/edgar/data/1534154/000121390024043594/ea020525801ex99-1_authidinc.htm" TargetMode="External"/><Relationship Id="rId62" Type="http://schemas.openxmlformats.org/officeDocument/2006/relationships/image" Target="media/image2.jpeg"/><Relationship Id="rId63" Type="http://schemas.openxmlformats.org/officeDocument/2006/relationships/image" Target="media/image3.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19592</Words>
  <Characters>108137</Characters>
  <CharactersWithSpaces>128918</CharactersWithSpaces>
  <Paragraphs>5049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