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26"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8"/>
          <w:szCs w:val="18"/>
          <w:color w:val="auto"/>
        </w:rPr>
        <w:t>FORM 10-Q</w:t>
      </w:r>
    </w:p>
    <w:p>
      <w:pPr>
        <w:spacing w:after="0" w:line="144"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jc w:val="center"/>
        <w:ind w:left="4000" w:right="1480" w:hanging="2511"/>
        <w:spacing w:after="0" w:line="399" w:lineRule="auto"/>
        <w:tabs>
          <w:tab w:leader="none" w:pos="1691"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UNDER SECTION 13 OR 15(d) OF THE SECURITIES EXCHANGE ACT OF 1934 For the quarterly period ended June 30, 2022</w:t>
      </w: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144" w:lineRule="exact"/>
        <w:rPr>
          <w:rFonts w:ascii="MS PGothic" w:cs="MS PGothic" w:eastAsia="MS PGothic" w:hAnsi="MS PGothic"/>
          <w:sz w:val="18"/>
          <w:szCs w:val="18"/>
          <w:color w:val="auto"/>
        </w:rPr>
      </w:pPr>
    </w:p>
    <w:p>
      <w:pPr>
        <w:ind w:left="1380" w:hanging="206"/>
        <w:spacing w:after="0"/>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44" w:lineRule="exact"/>
        <w:rPr>
          <w:sz w:val="24"/>
          <w:szCs w:val="24"/>
          <w:color w:val="auto"/>
        </w:rPr>
      </w:pPr>
    </w:p>
    <w:p>
      <w:pPr>
        <w:ind w:left="3820"/>
        <w:spacing w:after="0"/>
        <w:tabs>
          <w:tab w:leader="none" w:pos="66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001-40747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1985010</wp:posOffset>
            </wp:positionH>
            <wp:positionV relativeFrom="paragraph">
              <wp:posOffset>154305</wp:posOffset>
            </wp:positionV>
            <wp:extent cx="3180080" cy="1791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0080" cy="17919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authID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color w:val="auto"/>
                <w:w w:val="98"/>
              </w:rPr>
              <w:t>Delaware</w:t>
            </w:r>
          </w:p>
        </w:tc>
        <w:tc>
          <w:tcPr>
            <w:tcW w:w="356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rPr>
              <w:t>46-2069547</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ind w:left="18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33"/>
        </w:trPr>
        <w:tc>
          <w:tcPr>
            <w:tcW w:w="768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w w:val="99"/>
              </w:rPr>
              <w:t>1325 S. Colorado Blvd</w:t>
            </w:r>
          </w:p>
        </w:tc>
        <w:tc>
          <w:tcPr>
            <w:tcW w:w="3560" w:type="dxa"/>
            <w:vAlign w:val="bottom"/>
          </w:tcPr>
          <w:p>
            <w:pPr>
              <w:spacing w:after="0"/>
              <w:rPr>
                <w:sz w:val="24"/>
                <w:szCs w:val="24"/>
                <w:color w:val="auto"/>
              </w:rPr>
            </w:pPr>
          </w:p>
        </w:tc>
      </w:tr>
      <w:tr>
        <w:trPr>
          <w:trHeight w:val="216"/>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Denver, CO 80222</w:t>
            </w:r>
          </w:p>
        </w:tc>
        <w:tc>
          <w:tcPr>
            <w:tcW w:w="3560" w:type="dxa"/>
            <w:vAlign w:val="bottom"/>
          </w:tcPr>
          <w:p>
            <w:pPr>
              <w:spacing w:after="0"/>
              <w:rPr>
                <w:sz w:val="18"/>
                <w:szCs w:val="18"/>
                <w:color w:val="auto"/>
              </w:rPr>
            </w:pPr>
          </w:p>
        </w:tc>
      </w:tr>
      <w:tr>
        <w:trPr>
          <w:trHeight w:val="234"/>
        </w:trPr>
        <w:tc>
          <w:tcPr>
            <w:tcW w:w="768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w w:val="99"/>
              </w:rPr>
              <w:t>(Address of principal executive offices) (zip code)</w:t>
            </w:r>
          </w:p>
        </w:tc>
        <w:tc>
          <w:tcPr>
            <w:tcW w:w="3560" w:type="dxa"/>
            <w:vAlign w:val="bottom"/>
          </w:tcPr>
          <w:p>
            <w:pPr>
              <w:spacing w:after="0"/>
              <w:rPr>
                <w:sz w:val="20"/>
                <w:szCs w:val="20"/>
                <w:color w:val="auto"/>
              </w:rPr>
            </w:pPr>
          </w:p>
        </w:tc>
      </w:tr>
      <w:tr>
        <w:trPr>
          <w:trHeight w:val="333"/>
        </w:trPr>
        <w:tc>
          <w:tcPr>
            <w:tcW w:w="768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w w:val="99"/>
              </w:rPr>
              <w:t>516-274-8700</w:t>
            </w:r>
          </w:p>
        </w:tc>
        <w:tc>
          <w:tcPr>
            <w:tcW w:w="3560" w:type="dxa"/>
            <w:vAlign w:val="bottom"/>
          </w:tcPr>
          <w:p>
            <w:pPr>
              <w:spacing w:after="0"/>
              <w:rPr>
                <w:sz w:val="24"/>
                <w:szCs w:val="24"/>
                <w:color w:val="auto"/>
              </w:rPr>
            </w:pPr>
          </w:p>
        </w:tc>
      </w:tr>
      <w:tr>
        <w:trPr>
          <w:trHeight w:val="23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Ipsidy Inc., 670 Long Beach Boulevard, Long Beach, New York 11561</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58"/>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4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ind w:right="670"/>
              <w:spacing w:after="0"/>
              <w:rPr>
                <w:sz w:val="20"/>
                <w:szCs w:val="20"/>
                <w:color w:val="auto"/>
              </w:rPr>
            </w:pPr>
            <w:r>
              <w:rPr>
                <w:rFonts w:ascii="Times New Roman" w:cs="Times New Roman" w:eastAsia="Times New Roman" w:hAnsi="Times New Roman"/>
                <w:sz w:val="18"/>
                <w:szCs w:val="18"/>
                <w:color w:val="auto"/>
                <w:w w:val="97"/>
              </w:rPr>
              <w:t>AUID</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6" w:lineRule="exact"/>
        <w:rPr>
          <w:sz w:val="24"/>
          <w:szCs w:val="24"/>
          <w:color w:val="auto"/>
        </w:rPr>
      </w:pPr>
    </w:p>
    <w:p>
      <w:pPr>
        <w:ind w:left="5280" w:hanging="194"/>
        <w:spacing w:after="0" w:line="207" w:lineRule="exact"/>
        <w:tabs>
          <w:tab w:leader="none" w:pos="52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2" w:lineRule="exact"/>
        <w:rPr>
          <w:sz w:val="24"/>
          <w:szCs w:val="24"/>
          <w:color w:val="auto"/>
        </w:rPr>
      </w:pPr>
    </w:p>
    <w:p>
      <w:pPr>
        <w:ind w:left="5280" w:hanging="194"/>
        <w:spacing w:after="0" w:line="207" w:lineRule="exact"/>
        <w:tabs>
          <w:tab w:leader="none" w:pos="52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5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32" w:right="339" w:bottom="0" w:gutter="0" w:footer="0" w:header="0"/>
        </w:sectPr>
      </w:pPr>
    </w:p>
    <w:p>
      <w:pPr>
        <w:spacing w:after="0" w:line="6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36" w:lineRule="exact"/>
        <w:rPr>
          <w:sz w:val="24"/>
          <w:szCs w:val="24"/>
          <w:color w:val="auto"/>
        </w:rPr>
      </w:pPr>
    </w:p>
    <w:p>
      <w:pPr>
        <w:sectPr>
          <w:pgSz w:w="11900" w:h="16838" w:orient="portrait"/>
          <w:cols w:equalWidth="0" w:num="2">
            <w:col w:w="6040" w:space="720"/>
            <w:col w:w="4480"/>
          </w:cols>
          <w:pgMar w:left="320" w:top="432" w:right="339" w:bottom="0" w:gutter="0" w:footer="0" w:header="0"/>
          <w:type w:val="continuous"/>
        </w:sect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15" w:lineRule="exact"/>
        <w:rPr>
          <w:sz w:val="24"/>
          <w:szCs w:val="24"/>
          <w:color w:val="auto"/>
        </w:rPr>
      </w:pPr>
    </w:p>
    <w:p>
      <w:pPr>
        <w:ind w:left="508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44" w:lineRule="exact"/>
        <w:rPr>
          <w:sz w:val="24"/>
          <w:szCs w:val="24"/>
          <w:color w:val="auto"/>
        </w:rPr>
      </w:pPr>
    </w:p>
    <w:p>
      <w:pPr>
        <w:ind w:left="2560"/>
        <w:spacing w:after="0"/>
        <w:tabs>
          <w:tab w:leader="none" w:pos="7440" w:val="left"/>
        </w:tabs>
        <w:rPr>
          <w:sz w:val="20"/>
          <w:szCs w:val="20"/>
          <w:color w:val="auto"/>
        </w:rPr>
      </w:pPr>
      <w:r>
        <w:rPr>
          <w:rFonts w:ascii="Times New Roman" w:cs="Times New Roman" w:eastAsia="Times New Roman" w:hAnsi="Times New Roman"/>
          <w:sz w:val="18"/>
          <w:szCs w:val="18"/>
          <w:color w:val="auto"/>
        </w:rPr>
        <w:t>Class</w:t>
      </w:r>
      <w:r>
        <w:rPr>
          <w:sz w:val="20"/>
          <w:szCs w:val="20"/>
          <w:color w:val="auto"/>
        </w:rPr>
        <w:tab/>
      </w:r>
      <w:r>
        <w:rPr>
          <w:rFonts w:ascii="Times New Roman" w:cs="Times New Roman" w:eastAsia="Times New Roman" w:hAnsi="Times New Roman"/>
          <w:sz w:val="18"/>
          <w:szCs w:val="18"/>
          <w:color w:val="auto"/>
        </w:rPr>
        <w:t>Outstanding at July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742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74295"/>
                    </a:xfrm>
                    <a:prstGeom prst="rect">
                      <a:avLst/>
                    </a:prstGeom>
                    <a:noFill/>
                  </pic:spPr>
                </pic:pic>
              </a:graphicData>
            </a:graphic>
          </wp:anchor>
        </w:drawing>
      </w:r>
    </w:p>
    <w:p>
      <w:pPr>
        <w:sectPr>
          <w:pgSz w:w="11900" w:h="16838" w:orient="portrait"/>
          <w:cols w:equalWidth="0" w:num="1">
            <w:col w:w="11240"/>
          </w:cols>
          <w:pgMar w:left="320" w:top="432"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000" w:type="dxa"/>
            <w:vAlign w:val="bottom"/>
            <w:shd w:val="clear" w:color="auto" w:fill="CCEEFF"/>
          </w:tcPr>
          <w:p>
            <w:pPr>
              <w:jc w:val="center"/>
              <w:ind w:right="390"/>
              <w:spacing w:after="0"/>
              <w:rPr>
                <w:sz w:val="20"/>
                <w:szCs w:val="20"/>
                <w:color w:val="auto"/>
              </w:rPr>
            </w:pPr>
            <w:r>
              <w:rPr>
                <w:rFonts w:ascii="Times New Roman" w:cs="Times New Roman" w:eastAsia="Times New Roman" w:hAnsi="Times New Roman"/>
                <w:sz w:val="18"/>
                <w:szCs w:val="18"/>
                <w:color w:val="auto"/>
              </w:rPr>
              <w:t>Common Stock, par value $0.0001</w:t>
            </w:r>
          </w:p>
        </w:tc>
        <w:tc>
          <w:tcPr>
            <w:tcW w:w="52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24,789,418 shares</w:t>
            </w:r>
          </w:p>
        </w:tc>
      </w:tr>
      <w:tr>
        <w:trPr>
          <w:trHeight w:val="234"/>
        </w:trPr>
        <w:tc>
          <w:tcPr>
            <w:tcW w:w="60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Documents incorporated by reference:</w:t>
            </w:r>
          </w:p>
        </w:tc>
        <w:tc>
          <w:tcPr>
            <w:tcW w:w="52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None</w:t>
            </w:r>
          </w:p>
        </w:tc>
      </w:tr>
      <w:tr>
        <w:trPr>
          <w:trHeight w:val="117"/>
        </w:trPr>
        <w:tc>
          <w:tcPr>
            <w:tcW w:w="6000" w:type="dxa"/>
            <w:vAlign w:val="bottom"/>
            <w:tcBorders>
              <w:bottom w:val="single" w:sz="8" w:color="auto"/>
            </w:tcBorders>
          </w:tcPr>
          <w:p>
            <w:pPr>
              <w:spacing w:after="0"/>
              <w:rPr>
                <w:sz w:val="10"/>
                <w:szCs w:val="10"/>
                <w:color w:val="auto"/>
              </w:rPr>
            </w:pPr>
          </w:p>
        </w:tc>
        <w:tc>
          <w:tcPr>
            <w:tcW w:w="5240" w:type="dxa"/>
            <w:vAlign w:val="bottom"/>
            <w:tcBorders>
              <w:bottom w:val="single" w:sz="8" w:color="auto"/>
            </w:tcBorders>
          </w:tcPr>
          <w:p>
            <w:pPr>
              <w:spacing w:after="0"/>
              <w:rPr>
                <w:sz w:val="10"/>
                <w:szCs w:val="10"/>
                <w:color w:val="auto"/>
              </w:rPr>
            </w:pPr>
          </w:p>
        </w:tc>
      </w:tr>
      <w:tr>
        <w:trPr>
          <w:trHeight w:val="28"/>
        </w:trPr>
        <w:tc>
          <w:tcPr>
            <w:tcW w:w="600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574"/>
        </w:trPr>
        <w:tc>
          <w:tcPr>
            <w:tcW w:w="60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20" w:type="dxa"/>
            <w:vAlign w:val="bottom"/>
            <w:gridSpan w:val="10"/>
          </w:tcPr>
          <w:p>
            <w:pPr>
              <w:ind w:left="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196"/>
        </w:trPr>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0" w:type="dxa"/>
            <w:vAlign w:val="bottom"/>
            <w:gridSpan w:val="12"/>
            <w:shd w:val="clear" w:color="auto" w:fill="CCEEFF"/>
          </w:tcPr>
          <w:p>
            <w:pPr>
              <w:jc w:val="center"/>
              <w:ind w:right="3040"/>
              <w:spacing w:after="0" w:line="162" w:lineRule="exact"/>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90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2022 (unaudited) and December 31, 2021</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Six Months Ended June 30, 2022 and 2021 (unaudited)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Loss for the Three and Six Months Ended June 30, 2022 and 2021 (unaudited)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and Six Months Ended June 30, 2022 and 2021 (unaudited)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June 30, 2022 and 2021 (unaudited)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6-17</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18-23</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780" w:type="dxa"/>
            <w:vAlign w:val="bottom"/>
            <w:gridSpan w:val="11"/>
            <w:shd w:val="clear" w:color="auto" w:fill="CCEEFF"/>
          </w:tcPr>
          <w:p>
            <w:pPr>
              <w:jc w:val="center"/>
              <w:ind w:right="3640"/>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90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103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report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“aim,” “will,” “would,” “could,” and similar expressions or phrases identify forward-looking statements. We have based these forward-looking statements largely on our current expectations and future events and financial trends that we believe may affect our financial condition, results of operation, business strategy and financial needs.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read thoroughly this report and the documents that we refer to herein with the understanding that our actual future results may be materially different from and/or worse than what we expect. We qualify all of our forward-looking statements by these cautionary statements including those made in this report, in Part I. Item 1A. Risk Factors also appear in our Annual Report on Form 10-K for the year ended December 31, 2021 and our other filings with the Securities and Exchange Commission. Some examples of risk factors which may affect our business are as follows:</w:t>
      </w:r>
    </w:p>
    <w:p>
      <w:pPr>
        <w:spacing w:after="0" w:line="180"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significant revenues and history of losses,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customers for existing and new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maintain and update our technology and product and service portfolio;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and additional talent;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under acceptable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listing of our common stock on the Nasdaq Capital Market;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intellectual property, or the loss of some of our intellectual property rights through costly litigation or administrative proceedings;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in non-US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war in Ukraine;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and government regulation;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inflation and access to capital.</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Other sections of this report include additional factors which could adversely impact our business and financial performance.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Except for our ongoing obligations to disclose material information under the Federal securities laws, we undertake no obligation to release publicly any revisions to any forward-looking statements, to report events or to report the occurrence of unanticipated events. These forward-looking statements speak only as of the date of this report, and you should not rely on these statements without also considering the risks and uncertainties associated with these statements and our business.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PERTINENT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specifically set forth to the contrary, when used in this report the terms “authID”, the “Company,” “we,” “our,” “us,” and similar terms refer to authID Inc., a Delaware corporation and its subsidiaries. The Company was formerly known as Ipsidy Inc.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July 18, 2022, Ipsidy Inc. changed its corporate name to authID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which appears on our website www.authID.ai is not part of this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authID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(formerly known as Ipsidy Inc.)</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ind w:left="404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9,978,252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5,767,276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38,076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997,113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502,721</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781,895</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629,752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11,795,336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6,926,595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25,399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351,024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1,958,142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2,379,451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4,183,232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4,183,232</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73,981</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312,831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18,361,715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13,830,009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1,784,682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1,778,092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45,644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199,007</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534,118</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295,332</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3,026,444</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2,934,431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debt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7,607,011</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10,633,455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2,934,431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24,789,418 and 23,294,024 shares issued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June 30, 2022 and December 31, 2021,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2,478</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135,322,838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126,581,702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(127,773,494)</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(115,899,939)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comprehensive income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176,438</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211,486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7,728,260</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10,895,578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18,361,715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13,830,009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authID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Ipsidy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5"/>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1"/>
                <w:szCs w:val="21"/>
                <w:color w:val="auto"/>
              </w:rPr>
            </w:pPr>
          </w:p>
        </w:tc>
        <w:tc>
          <w:tcPr>
            <w:tcW w:w="242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Verified software license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51,409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18,499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86,902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Legacy authentication services</w:t>
            </w:r>
          </w:p>
        </w:tc>
        <w:tc>
          <w:tcPr>
            <w:tcW w:w="80" w:type="dxa"/>
            <w:vAlign w:val="bottom"/>
          </w:tcPr>
          <w:p>
            <w:pPr>
              <w:spacing w:after="0"/>
              <w:rPr>
                <w:sz w:val="20"/>
                <w:szCs w:val="20"/>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128,272</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144,559</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261,810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 net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294,831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4,806,275</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2,733,786</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9,284,897</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4,343,822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915,628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347,173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1,453,492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20"/>
                <w:szCs w:val="20"/>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244,448</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299,239</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460,833</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579,435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5,966,351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3,380,198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11,199,222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5,592,440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(5,899,942)</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(3,233,427)</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(10,967,761)</w:t>
            </w:r>
          </w:p>
        </w:tc>
        <w:tc>
          <w:tcPr>
            <w:tcW w:w="2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(5,297,609)</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8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480,156</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3,240</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480,156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(459,262)</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(253,919)</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(493,904)</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(551,351)</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(459,262</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226,237</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(490,664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(71,195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8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(6,359,204)</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(3,007,190)</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(11,458,425)</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(5,368,804)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tcPr>
          <w:p>
            <w:pPr>
              <w:spacing w:after="0"/>
              <w:rPr>
                <w:sz w:val="20"/>
                <w:szCs w:val="20"/>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(7,316)</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(8,100)</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(6,947)</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80" w:type="dxa"/>
            <w:vAlign w:val="bottom"/>
          </w:tcPr>
          <w:p>
            <w:pPr>
              <w:spacing w:after="0"/>
              <w:rPr>
                <w:sz w:val="20"/>
                <w:szCs w:val="20"/>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(6,366,520)</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(3,008,218)</w:t>
            </w:r>
          </w:p>
        </w:tc>
        <w:tc>
          <w:tcPr>
            <w:tcW w:w="12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(11,466,525)</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(5,375,751)</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80" w:type="dxa"/>
            <w:vAlign w:val="bottom"/>
          </w:tcPr>
          <w:p>
            <w:pPr>
              <w:spacing w:after="0"/>
              <w:rPr>
                <w:sz w:val="20"/>
                <w:szCs w:val="20"/>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(206,307)</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(49,392)</w:t>
            </w:r>
          </w:p>
        </w:tc>
        <w:tc>
          <w:tcPr>
            <w:tcW w:w="12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(407,030)</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(171,858)</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21"/>
              <w:spacing w:after="0" w:line="256" w:lineRule="exact"/>
              <w:rPr>
                <w:sz w:val="20"/>
                <w:szCs w:val="20"/>
                <w:color w:val="auto"/>
              </w:rPr>
            </w:pPr>
            <w:r>
              <w:rPr>
                <w:rFonts w:ascii="Times New Roman" w:cs="Times New Roman" w:eastAsia="Times New Roman" w:hAnsi="Times New Roman"/>
                <w:sz w:val="16"/>
                <w:szCs w:val="16"/>
                <w:color w:val="auto"/>
              </w:rPr>
              <w:t>(6,572,827</w:t>
            </w:r>
            <w:r>
              <w:rPr>
                <w:rFonts w:ascii="Times New Roman" w:cs="Times New Roman" w:eastAsia="Times New Roman" w:hAnsi="Times New Roman"/>
                <w:sz w:val="29"/>
                <w:szCs w:val="29"/>
                <w:color w:val="auto"/>
                <w:vertAlign w:val="superscript"/>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(3,057,610</w:t>
            </w:r>
            <w:r>
              <w:rPr>
                <w:rFonts w:ascii="Times New Roman" w:cs="Times New Roman" w:eastAsia="Times New Roman" w:hAnsi="Times New Roman"/>
                <w:sz w:val="29"/>
                <w:szCs w:val="29"/>
                <w:color w:val="auto"/>
                <w:vertAlign w:val="superscript"/>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(11,873,555</w:t>
            </w:r>
            <w:r>
              <w:rPr>
                <w:rFonts w:ascii="Times New Roman" w:cs="Times New Roman" w:eastAsia="Times New Roman" w:hAnsi="Times New Roman"/>
                <w:sz w:val="29"/>
                <w:szCs w:val="29"/>
                <w:color w:val="auto"/>
                <w:vertAlign w:val="superscript"/>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(5,547,609</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21"/>
              <w:spacing w:after="0" w:line="256" w:lineRule="exact"/>
              <w:rPr>
                <w:sz w:val="20"/>
                <w:szCs w:val="20"/>
                <w:color w:val="auto"/>
              </w:rPr>
            </w:pPr>
            <w:r>
              <w:rPr>
                <w:rFonts w:ascii="Times New Roman" w:cs="Times New Roman" w:eastAsia="Times New Roman" w:hAnsi="Times New Roman"/>
                <w:sz w:val="16"/>
                <w:szCs w:val="16"/>
                <w:color w:val="auto"/>
              </w:rPr>
              <w:t>(0.26</w:t>
            </w:r>
            <w:r>
              <w:rPr>
                <w:rFonts w:ascii="Times New Roman" w:cs="Times New Roman" w:eastAsia="Times New Roman" w:hAnsi="Times New Roman"/>
                <w:sz w:val="29"/>
                <w:szCs w:val="29"/>
                <w:color w:val="auto"/>
                <w:vertAlign w:val="superscript"/>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(0.15</w:t>
            </w:r>
            <w:r>
              <w:rPr>
                <w:rFonts w:ascii="Times New Roman" w:cs="Times New Roman" w:eastAsia="Times New Roman" w:hAnsi="Times New Roman"/>
                <w:sz w:val="29"/>
                <w:szCs w:val="29"/>
                <w:color w:val="auto"/>
                <w:vertAlign w:val="superscript"/>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(0.48</w:t>
            </w:r>
            <w:r>
              <w:rPr>
                <w:rFonts w:ascii="Times New Roman" w:cs="Times New Roman" w:eastAsia="Times New Roman" w:hAnsi="Times New Roman"/>
                <w:sz w:val="29"/>
                <w:szCs w:val="29"/>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(0.27</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80" w:type="dxa"/>
            <w:vAlign w:val="bottom"/>
          </w:tcPr>
          <w:p>
            <w:pPr>
              <w:spacing w:after="0"/>
              <w:rPr>
                <w:sz w:val="22"/>
                <w:szCs w:val="22"/>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24,673,806</w:t>
            </w:r>
          </w:p>
        </w:tc>
        <w:tc>
          <w:tcPr>
            <w:tcW w:w="200" w:type="dxa"/>
            <w:vAlign w:val="bottom"/>
          </w:tcPr>
          <w:p>
            <w:pPr>
              <w:spacing w:after="0"/>
              <w:rPr>
                <w:sz w:val="22"/>
                <w:szCs w:val="22"/>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20,248,868</w:t>
            </w:r>
          </w:p>
        </w:tc>
        <w:tc>
          <w:tcPr>
            <w:tcW w:w="120" w:type="dxa"/>
            <w:vAlign w:val="bottom"/>
          </w:tcPr>
          <w:p>
            <w:pPr>
              <w:spacing w:after="0"/>
              <w:rPr>
                <w:sz w:val="22"/>
                <w:szCs w:val="22"/>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24,118,829</w:t>
            </w:r>
          </w:p>
        </w:tc>
        <w:tc>
          <w:tcPr>
            <w:tcW w:w="2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20,003,913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authID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Ipsidy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5"/>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1"/>
                <w:szCs w:val="21"/>
                <w:color w:val="auto"/>
              </w:rPr>
            </w:pPr>
          </w:p>
        </w:tc>
        <w:tc>
          <w:tcPr>
            <w:tcW w:w="2420" w:type="dxa"/>
            <w:vAlign w:val="bottom"/>
            <w:gridSpan w:val="5"/>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7"/>
        </w:trPr>
        <w:tc>
          <w:tcPr>
            <w:tcW w:w="598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(6,572,827)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(3,057,610)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(11,873,555)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(5,547,609)</w:t>
            </w: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80" w:type="dxa"/>
            <w:vAlign w:val="bottom"/>
          </w:tcPr>
          <w:p>
            <w:pPr>
              <w:spacing w:after="0"/>
              <w:rPr>
                <w:sz w:val="20"/>
                <w:szCs w:val="20"/>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(67,788)</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(35,048)</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42,025</w:t>
            </w:r>
          </w:p>
        </w:tc>
      </w:tr>
      <w:tr>
        <w:trPr>
          <w:trHeight w:val="250"/>
        </w:trPr>
        <w:tc>
          <w:tcPr>
            <w:tcW w:w="59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Comprehensive loss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(6,640,615</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(3,055,941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(11,908,603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(5,505,584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5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authID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Ipsidy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20" w:type="dxa"/>
            <w:vAlign w:val="bottom"/>
          </w:tcPr>
          <w:p>
            <w:pPr>
              <w:spacing w:after="0"/>
              <w:rPr>
                <w:sz w:val="21"/>
                <w:szCs w:val="21"/>
                <w:color w:val="auto"/>
              </w:rPr>
            </w:pPr>
          </w:p>
        </w:tc>
        <w:tc>
          <w:tcPr>
            <w:tcW w:w="210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1"/>
                <w:szCs w:val="21"/>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p>
        </w:tc>
        <w:tc>
          <w:tcPr>
            <w:tcW w:w="10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23,294,024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$ 126,581,702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(115,899,939)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211,486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10,895,578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4,499,107</w:t>
            </w:r>
          </w:p>
        </w:tc>
        <w:tc>
          <w:tcPr>
            <w:tcW w:w="10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Sale of common stock for cash, net of offering</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1,063,514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3,146,834</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3,146,940</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issued with convertible debt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91,754</w:t>
            </w:r>
          </w:p>
        </w:tc>
        <w:tc>
          <w:tcPr>
            <w:tcW w:w="10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91,757</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issued for working capital facility</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302,990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303,000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in lieu of interest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116,896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250,996</w:t>
            </w:r>
          </w:p>
        </w:tc>
        <w:tc>
          <w:tcPr>
            <w:tcW w:w="10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Warrants for services with the issuance of</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convertible debt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449,474</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449,474</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Cashless stock option exercise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185,111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Cashless warrant exercise</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(11,873,555)</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(11,873,555)</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(35,048)</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(35,048)</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Balances, June 30, 2022</w:t>
            </w: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20" w:type="dxa"/>
            <w:vAlign w:val="bottom"/>
            <w:vMerge w:val="continue"/>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24,789,418</w:t>
            </w:r>
          </w:p>
        </w:tc>
        <w:tc>
          <w:tcPr>
            <w:tcW w:w="1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2,478</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135,322,838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(127,773,494</w:t>
            </w:r>
          </w:p>
        </w:tc>
        <w:tc>
          <w:tcPr>
            <w:tcW w:w="220" w:type="dxa"/>
            <w:vAlign w:val="bottom"/>
            <w:vMerge w:val="continue"/>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176,438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7,728,260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2022</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24,672,522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2,467</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$ 132,439,724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9"/>
              </w:rPr>
              <w:t>(121,200,667)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244,226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11,485,750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in lieu of interest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116,896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250,996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251,007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2,632,118</w:t>
            </w:r>
          </w:p>
        </w:tc>
        <w:tc>
          <w:tcPr>
            <w:tcW w:w="10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(6,572,827)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(6,572,827)</w:t>
            </w: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(67,788)</w:t>
            </w: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(67,788)</w:t>
            </w:r>
          </w:p>
        </w:tc>
        <w:tc>
          <w:tcPr>
            <w:tcW w:w="0" w:type="dxa"/>
            <w:vAlign w:val="bottom"/>
          </w:tcPr>
          <w:p>
            <w:pPr>
              <w:spacing w:after="0"/>
              <w:rPr>
                <w:sz w:val="1"/>
                <w:szCs w:val="1"/>
                <w:color w:val="auto"/>
              </w:rPr>
            </w:pPr>
          </w:p>
        </w:tc>
      </w:tr>
      <w:tr>
        <w:trPr>
          <w:trHeight w:val="27"/>
        </w:trPr>
        <w:tc>
          <w:tcPr>
            <w:tcW w:w="4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2022</w:t>
            </w: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vMerge w:val="continue"/>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24,789,418</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2,478</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135,322,838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(127,773,494</w:t>
            </w:r>
          </w:p>
        </w:tc>
        <w:tc>
          <w:tcPr>
            <w:tcW w:w="2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176,438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7,728,260</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2020</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19,642,519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1,964</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$ 102,651,304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(98,234,151)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160,642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4,579,759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2,261,126</w:t>
            </w:r>
          </w:p>
        </w:tc>
        <w:tc>
          <w:tcPr>
            <w:tcW w:w="10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of accrued expense with stock options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349,376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349,376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 converted to common stock</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1,171,296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6,232,223</w:t>
            </w:r>
          </w:p>
        </w:tc>
        <w:tc>
          <w:tcPr>
            <w:tcW w:w="10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Cashless stock option exercise</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286,453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Cashless warrant exercise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262,759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(5,547,609)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(5,547,609)</w:t>
            </w:r>
          </w:p>
        </w:tc>
        <w:tc>
          <w:tcPr>
            <w:tcW w:w="0" w:type="dxa"/>
            <w:vAlign w:val="bottom"/>
          </w:tcPr>
          <w:p>
            <w:pPr>
              <w:spacing w:after="0"/>
              <w:rPr>
                <w:sz w:val="1"/>
                <w:szCs w:val="1"/>
                <w:color w:val="auto"/>
              </w:rPr>
            </w:pPr>
          </w:p>
        </w:tc>
      </w:tr>
      <w:tr>
        <w:trPr>
          <w:trHeight w:val="229"/>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42,025</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42,025</w:t>
            </w:r>
          </w:p>
        </w:tc>
        <w:tc>
          <w:tcPr>
            <w:tcW w:w="0" w:type="dxa"/>
            <w:vAlign w:val="bottom"/>
          </w:tcPr>
          <w:p>
            <w:pPr>
              <w:spacing w:after="0"/>
              <w:rPr>
                <w:sz w:val="1"/>
                <w:szCs w:val="1"/>
                <w:color w:val="auto"/>
              </w:rPr>
            </w:pPr>
          </w:p>
        </w:tc>
      </w:tr>
      <w:tr>
        <w:trPr>
          <w:trHeight w:val="27"/>
        </w:trPr>
        <w:tc>
          <w:tcPr>
            <w:tcW w:w="4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2021</w:t>
            </w: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vMerge w:val="continue"/>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21,363,027</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2,137</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$ 111,493,973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(103,781,760</w:t>
            </w:r>
          </w:p>
        </w:tc>
        <w:tc>
          <w:tcPr>
            <w:tcW w:w="2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202,667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7,917,017</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2021</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20,116,348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2,012</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$ 103,401,916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9"/>
              </w:rPr>
              <w:t>(100,724,150)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200,998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2,880,776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1,634,546</w:t>
            </w:r>
          </w:p>
        </w:tc>
        <w:tc>
          <w:tcPr>
            <w:tcW w:w="10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of accrued expense with stock options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349,376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349,376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 converted to common stock</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1,138,346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6,108,146</w:t>
            </w:r>
          </w:p>
        </w:tc>
        <w:tc>
          <w:tcPr>
            <w:tcW w:w="10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6,108,260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Cashless stock option exercise</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108,333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(3,057,610)</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(3,057,610)</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Balances, June 30, 2021</w:t>
            </w: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vMerge w:val="continue"/>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21,363,027</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2,137</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$ 111,493,973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(103,781,760</w:t>
            </w:r>
          </w:p>
        </w:tc>
        <w:tc>
          <w:tcPr>
            <w:tcW w:w="2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202,667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authID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Ipsidy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(11,873,555)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(5,547,609)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with cash flows from operations: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460,833</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4,499,107</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2,261,126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issued in lieu of interest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251,007</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discounts and issuance costs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210,722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Forgiveness of notes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(485,760)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(11,230)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(86,607)</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investment in direct financing lease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(46,560)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(295,233)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(289,716)</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6,587</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(153,363)</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(47,809)</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relating to discontinued operations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422,423</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(20,405)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cash flows from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(6,482,702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(2,377,324</w:t>
            </w:r>
          </w:p>
        </w:tc>
        <w:tc>
          <w:tcPr>
            <w:tcW w:w="8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(7,978)</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 – discontinued operations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(16,159)</w:t>
            </w:r>
          </w:p>
        </w:tc>
        <w:tc>
          <w:tcPr>
            <w:tcW w:w="220" w:type="dxa"/>
            <w:vAlign w:val="bottom"/>
          </w:tcPr>
          <w:p>
            <w:pPr>
              <w:spacing w:after="0"/>
              <w:rPr>
                <w:sz w:val="18"/>
                <w:szCs w:val="18"/>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(78,325)</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(6,306)</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(10,829)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cash flows from investing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(30,443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(89,154</w:t>
            </w:r>
          </w:p>
        </w:tc>
        <w:tc>
          <w:tcPr>
            <w:tcW w:w="8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 stock, net of offering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3,146,940</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note payable, net of issuance costs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7,992,841</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working capital facility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warrants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notes payable – discontinued operations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(1,579)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(2,892)</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capital lease obligation – discontinued operations</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(10,582)</w:t>
            </w:r>
          </w:p>
        </w:tc>
        <w:tc>
          <w:tcPr>
            <w:tcW w:w="220" w:type="dxa"/>
            <w:vAlign w:val="bottom"/>
          </w:tcPr>
          <w:p>
            <w:pPr>
              <w:spacing w:after="0"/>
              <w:rPr>
                <w:sz w:val="20"/>
                <w:szCs w:val="20"/>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(19,224)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10,827,620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463,644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currencies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(33,826)</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42,971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4,280,649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(1,959,863)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5,767,276</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3,506,171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the period – discontinued operations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270,707</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end of the period – discontinued operations</w:t>
            </w:r>
          </w:p>
        </w:tc>
        <w:tc>
          <w:tcPr>
            <w:tcW w:w="12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(340,380)</w:t>
            </w:r>
          </w:p>
        </w:tc>
        <w:tc>
          <w:tcPr>
            <w:tcW w:w="220" w:type="dxa"/>
            <w:vAlign w:val="bottom"/>
          </w:tcPr>
          <w:p>
            <w:pPr>
              <w:spacing w:after="0"/>
              <w:rPr>
                <w:sz w:val="19"/>
                <w:szCs w:val="19"/>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(236,051)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the period</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9,978,252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1,569,363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 – discontinued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Cash paid for income taxes – discontinued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Schedule of Non-cash Investing and Financing Activities:</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Cashless option and warrant exercises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Common stock issued with convertible notes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91,757</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Common stock for working capital facility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303,000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Warrants for services with the issuance of convertible debt</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449,474</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Settlement of accounts payable with issuance of common stock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349,376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Conversion of convertible note payable and accrued interest to common stock</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6,232,340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434"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authID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Ipsidy Inc.)</w:t>
      </w:r>
    </w:p>
    <w:p>
      <w:pPr>
        <w:spacing w:after="0" w:line="20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are prepared in accordance with instructions for Form 10-Q, include all adjustments (consisting only of normal recurring accruals) which we considered as necessary for a fair presentation of the results for the periods presented. Certain information and footnote disclosures normally included in the consolidated financial statements prepared in accordance with accounting principles generally accepted in the United States of America have been condensed or omitted. It is suggested that these condensed consolidated financial statements be read in conjunction with the Company’s Annual Report on Form 10-K for the year ended December 31, 2021. The results of operations for the three and six months ended June 30, 2022 are not necessarily indicative of the results to be expected for future periods or the full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July 18, 2022, the Company changed its name to authID, Inc.</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authID Inc. and its wholly-owned subsidiaries MultiPay S.A.S., ID Global LATAM, IDGS S.A.S., ID Solutions, Inc., FIN Holdings Inc., Ipsidy Enterprises Limited, Cards Plus Pty Ltd. and Ipsidy Peru S.A.C. (collectively the “Company”). All significant intercompany balances and transactions have been eliminated in consolidation.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4, 2022, the Board of Directors of authID, Inc. approved a plan to exit from certain non-core activities comprising the MultiPay correspondent bank and payments services in Colombia and the Card Plus cards manufacturing and printing business in South Africa. As of June 30, 2022 and December 31, 2021, MultiPay S.A.S., IDGS S.A.S (collectively “MultiPay”) and Cards Plus Pty Ltd. (“Cards Plus”) legal entities’ assets are presented as assets held for sale on the Company’s Condensed Consolidated Balance Sheets and their results from operations presented as discontinued operations as they met the criteria for discontinued operations under the applicable accounting guidance. See Discontinued Operations Note 9 for details.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the Company had an accumulated deficit of approximately $127.8 million. For the three and six months ended June 30, 2022 the Company earned revenue from continuing operations of approximately $0.1 million and 0.2 million and incurred a loss from continuing operations of approximately $6.4 million $11.5 million,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reports of our independent registered public accounting firm on our consolidated financial statements for the years ended December 31, 2021 and 2020 contained an emphasis of matter paragraph regarding the Company’s liquidity situation and management’s plan thereto.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2022, the Company secured additional financing which management believes will provide adequate funding for its operations as it continues to invest in its product, people, and technology. The Company may need additional capital in the future but currently it believes it has sufficient funds and credit facilities to operate its business through December 31, 2023. See Notes 5, 6 and 8.</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on a going concern basis, which implies the Company will continue to meet its obligations and continue its operations for the next fiscal 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Net Loss per Common Share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computes net loss per share in accordance with Financial Accounting Standards Board (“FASB”) Accounting Standards Codification (“ASC”) 260, “Earnings per Share”. ASC 260 requires presentation of both basic and diluted earnings per share (“EPS”) on the face of the statement of operations. Basic EPS is computed by dividing net loss available to common shareholders by the weighted average number of common shares outstanding during the period. Diluted EPS gives effect to all dilutive potential common shares outstanding during the period including stock options, using the treasury stock method, and convertible notes and stock warrants, using the if-converted method. In computing diluted EPS, the average stock price for the period is used in determining the number of shares assumed to be purchased from the exercise of stock options, warrants and conversion of convertible notes. Diluted EPS excludes all dilutive potential common shares if their effect is anti-dilutive. The following potentially dilutive securities were excluded from the calculation of diluted loss per share for the three months and six months ended June 30, 2022 and 2021 because their effect was antidilutive: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2,601,503</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1,304,356</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1,411,308</w:t>
            </w:r>
          </w:p>
        </w:tc>
        <w:tc>
          <w:tcPr>
            <w:tcW w:w="80" w:type="dxa"/>
            <w:vAlign w:val="bottom"/>
          </w:tcPr>
          <w:p>
            <w:pPr>
              <w:spacing w:after="0"/>
              <w:rPr>
                <w:sz w:val="18"/>
                <w:szCs w:val="18"/>
                <w:color w:val="auto"/>
              </w:rPr>
            </w:pPr>
          </w:p>
        </w:tc>
      </w:tr>
      <w:tr>
        <w:trPr>
          <w:trHeight w:val="249"/>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9,697,615</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9,167,642</w:t>
            </w:r>
          </w:p>
        </w:tc>
        <w:tc>
          <w:tcPr>
            <w:tcW w:w="80" w:type="dxa"/>
            <w:vAlign w:val="bottom"/>
            <w:shd w:val="clear" w:color="auto" w:fill="CCEEFF"/>
          </w:tcPr>
          <w:p>
            <w:pPr>
              <w:spacing w:after="0"/>
              <w:rPr>
                <w:sz w:val="21"/>
                <w:szCs w:val="21"/>
                <w:color w:val="auto"/>
              </w:rPr>
            </w:pPr>
          </w:p>
        </w:tc>
      </w:tr>
      <w:tr>
        <w:trPr>
          <w:trHeight w:val="223"/>
        </w:trPr>
        <w:tc>
          <w:tcPr>
            <w:tcW w:w="87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13,603,474</w:t>
            </w:r>
          </w:p>
        </w:tc>
        <w:tc>
          <w:tcPr>
            <w:tcW w:w="220" w:type="dxa"/>
            <w:vAlign w:val="bottom"/>
            <w:tcBorders>
              <w:top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10,696,479</w:t>
            </w:r>
          </w:p>
        </w:tc>
        <w:tc>
          <w:tcPr>
            <w:tcW w:w="2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34"/>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Starting in the quarter ended June 30, 2022, the Company separately reports Verified software license revenue from Legacy authentication services. Prior periods revenues are recast accordingly for comparison purpose.</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recognizes revenue based on the identified performance obligations over the performance period for fixed consideration and/or for variable fees generated that are earned on a usage fee earned over time based on monthly transaction or user volumes and/or on a minimum monthly flat fee rate. The Company had a contract liability of approximately $46,000 and $199,000 as of June 30, 2022, and December 31, 2021, respectively, for certain revenue that will be earned in future periods. Of the $46,000 of deferred revenue contract liability as of June 30, 2022, the majority will be earned during the balance of 2022. The majority of the deferred revenue contract liability as of December 31, 2021 related to legacy authentication services and was recognized in the quarter ended March 31, 2022. All contracts are reviewed for their respective performance obligations and related revenue and expense recognition implications. Certain of the revenues are derived from our products that could include multiple performance obligations. A performance obligation is defined as a promise to provide a “distinct” good or service to a customer. The Company has determined that one possible treatment under U.S. Generally Accepted Accounting Principles (“GAAP”) is that these services will represent a stand-ready series of distinct daily services that are substantially the same, with the same pattern of transfer to the customer. Further, the Company has determined that the performance obligation to provide account access and facilitate transactions should meet the criteria for the “as invoiced” practical expedient, in that the Company has a right to consideration from a customer in an amount that corresponds directly with the value to the customer of the Company’s performance completed to date. As a result, the Company anticipates it may recognize revenue in the amount to which the Company has a right to invoice, based on completed performance at the relevant date. Additionally, the contracts could include implementation services, or support on an “as needed” basis and we will review each contract and determine whether such performance obligations are separate and distinct and apply the new standard accordingly to the revenue and expense derived from or related to each such service.</w:t>
      </w:r>
    </w:p>
    <w:p>
      <w:pPr>
        <w:spacing w:after="0" w:line="1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provided annual software maintenance support services relating to previously licensed software on a stand ready basis. These fees were billed in advance and recognized ratably over the requisite service period as legacy authentication revenue. The contract terminated on April 1, 2022.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the Company will capitalize the incremental costs of acquiring and fulfilling a contract with a customer if the Company expects to recover those costs. These incremental costs were immaterial in both three-month periods and the Company recognizes these costs as incurred as it typically relates to a period of less than one year as allowed by the practical expedient and the amounts in the period were immaterial.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cost assets will be amortized using the straight-line method over the expected period of benefit beginning at the time revenue begins to be realized. The amortization of contract fulfillment cost assets associated with facilitating transactions will be recorded as cost of services in the Company’s Consolidated Statements of Operations. The amortization of contract acquisition cost assets associated with sales commissions that qualify for capitalization will be recorded as selling, general and administrative expense in the Company’s Consolidated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and December 31, 2021, the Company did not have any deferred contract costs or fees payable.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 OTHER CURRENT ASSETS AND OTHER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 consisted of the following at June 30, 2022 (unaudited) and December 31, 2021: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working capital facility fees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199,156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Marketing</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80,551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157,972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Third Party Services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135,676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57,354</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88,015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161,353</w:t>
            </w:r>
          </w:p>
        </w:tc>
      </w:tr>
      <w:tr>
        <w:trPr>
          <w:trHeight w:val="210"/>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997,113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502,721</w:t>
            </w:r>
          </w:p>
        </w:tc>
        <w:tc>
          <w:tcPr>
            <w:tcW w:w="100" w:type="dxa"/>
            <w:vAlign w:val="bottom"/>
            <w:tcBorders>
              <w:top w:val="single" w:sz="8" w:color="CCEEFF"/>
            </w:tcBorders>
          </w:tcPr>
          <w:p>
            <w:pPr>
              <w:spacing w:after="0"/>
              <w:rPr>
                <w:sz w:val="18"/>
                <w:szCs w:val="18"/>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consisted of the following at June 30, 2022 (unaudited) and December 31, 2021: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working capital facility fees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348,524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2,501</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351,024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2,501</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INTANGIBLE ASSETS, NET (OTHER THAN GOODWILL)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intangible assets primarily consist of acquired and developed software that is being amortized over their estimated useful lives as indicated below. The following is a summary of activity related to intangible assets for the six months ended June 30 ,2022 (unaudited):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Acquired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and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Developed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Patents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Useful Lives</w:t>
            </w:r>
          </w:p>
        </w:tc>
        <w:tc>
          <w:tcPr>
            <w:tcW w:w="3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 Years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 years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at December 31, 2021</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2,238,882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140,570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2,379,452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6,311</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(419,627)</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(7,994)</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(427,621)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Carrying Value at June 30,2022</w:t>
            </w:r>
          </w:p>
        </w:tc>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vMerge w:val="continue"/>
          </w:tcPr>
          <w:p>
            <w:pPr>
              <w:spacing w:after="0"/>
              <w:rPr>
                <w:sz w:val="20"/>
                <w:szCs w:val="20"/>
                <w:color w:val="auto"/>
              </w:rPr>
            </w:pPr>
          </w:p>
        </w:tc>
        <w:tc>
          <w:tcPr>
            <w:tcW w:w="3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1,819,255</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138,887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1,958,142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160" w:type="dxa"/>
            <w:vAlign w:val="bottom"/>
            <w:vMerge w:val="restart"/>
          </w:tcPr>
          <w:p>
            <w:pPr>
              <w:jc w:val="right"/>
              <w:ind w:right="157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is a summary of intangible assets as of June 30, 2022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amortization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Carrying Value at June 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Acquired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and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Developed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Patents</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21"/>
                <w:szCs w:val="21"/>
                <w:color w:val="auto"/>
              </w:rPr>
            </w:pPr>
          </w:p>
        </w:tc>
      </w:tr>
      <w:tr>
        <w:trPr>
          <w:trHeight w:val="414"/>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4,476,271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164,610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4,640,881</w:t>
            </w:r>
          </w:p>
        </w:tc>
        <w:tc>
          <w:tcPr>
            <w:tcW w:w="60" w:type="dxa"/>
            <w:vAlign w:val="bottom"/>
          </w:tcPr>
          <w:p>
            <w:pPr>
              <w:spacing w:after="0"/>
              <w:rPr>
                <w:sz w:val="24"/>
                <w:szCs w:val="24"/>
                <w:color w:val="auto"/>
              </w:rPr>
            </w:pPr>
          </w:p>
        </w:tc>
      </w:tr>
      <w:tr>
        <w:trPr>
          <w:trHeight w:val="248"/>
        </w:trPr>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(2,657,016)</w:t>
            </w:r>
          </w:p>
        </w:tc>
        <w:tc>
          <w:tcPr>
            <w:tcW w:w="1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(25,723)</w:t>
            </w: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(2,682,739)</w:t>
            </w:r>
          </w:p>
        </w:tc>
      </w:tr>
      <w:tr>
        <w:trPr>
          <w:trHeight w:val="27"/>
        </w:trPr>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1,819,255</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138,887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1,958,142</w:t>
            </w:r>
          </w:p>
        </w:tc>
        <w:tc>
          <w:tcPr>
            <w:tcW w:w="60" w:type="dxa"/>
            <w:vAlign w:val="bottom"/>
          </w:tcPr>
          <w:p>
            <w:pPr>
              <w:spacing w:after="0"/>
              <w:rPr>
                <w:sz w:val="21"/>
                <w:szCs w:val="21"/>
                <w:color w:val="auto"/>
              </w:rPr>
            </w:pPr>
          </w:p>
        </w:tc>
      </w:tr>
      <w:tr>
        <w:trPr>
          <w:trHeight w:val="21"/>
        </w:trPr>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600" w:space="720"/>
            <w:col w:w="3920"/>
          </w:cols>
          <w:pgMar w:left="320" w:top="877" w:right="339" w:bottom="1440" w:gutter="0" w:footer="0" w:header="0"/>
        </w:sect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 totaled $428,00 and $597,000, for the six months ended June 30, 2022, and 2021, respectively.</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Future expected amortization of intangible assets is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Fiscal Year Ending December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427,855</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804,722</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580,409</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63,791</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16,456</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16,456</w:t>
            </w:r>
          </w:p>
        </w:tc>
      </w:tr>
      <w:tr>
        <w:trPr>
          <w:trHeight w:val="237"/>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48,453</w:t>
            </w:r>
          </w:p>
        </w:tc>
      </w:tr>
      <w:tr>
        <w:trPr>
          <w:trHeight w:val="250"/>
        </w:trPr>
        <w:tc>
          <w:tcPr>
            <w:tcW w:w="10020" w:type="dxa"/>
            <w:vAlign w:val="bottom"/>
            <w:tcBorders>
              <w:top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1,958,142</w:t>
            </w:r>
          </w:p>
        </w:tc>
        <w:tc>
          <w:tcPr>
            <w:tcW w:w="100" w:type="dxa"/>
            <w:vAlign w:val="bottom"/>
            <w:tcBorders>
              <w:top w:val="single" w:sz="8" w:color="CCEEFF"/>
            </w:tcBorders>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impairment indicator identified for impairment of the Company’s intangible assets and goodwill as of June 30,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ACCOUNTS PAYABLE AND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consisted of the following as of June 30, 2022 (unaudited) and December 31, 2021:</w:t>
      </w:r>
    </w:p>
    <w:p>
      <w:pPr>
        <w:sectPr>
          <w:pgSz w:w="11900" w:h="16838" w:orient="portrait"/>
          <w:cols w:equalWidth="0" w:num="1">
            <w:col w:w="11240"/>
          </w:cols>
          <w:pgMar w:left="320" w:top="87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Accrued payroll and related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8"/>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623,675</w:t>
            </w:r>
          </w:p>
        </w:tc>
        <w:tc>
          <w:tcPr>
            <w:tcW w:w="220" w:type="dxa"/>
            <w:vAlign w:val="bottom"/>
          </w:tcPr>
          <w:p>
            <w:pPr>
              <w:spacing w:after="0"/>
              <w:rPr>
                <w:sz w:val="17"/>
                <w:szCs w:val="17"/>
                <w:color w:val="auto"/>
              </w:rPr>
            </w:pPr>
          </w:p>
        </w:tc>
        <w:tc>
          <w:tcPr>
            <w:tcW w:w="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548,087</w:t>
            </w:r>
          </w:p>
        </w:tc>
      </w:tr>
      <w:tr>
        <w:trPr>
          <w:trHeight w:val="216"/>
        </w:trPr>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66,653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33,533</w:t>
            </w:r>
          </w:p>
        </w:tc>
      </w:tr>
      <w:tr>
        <w:trPr>
          <w:trHeight w:val="229"/>
        </w:trPr>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782,907</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783,144</w:t>
            </w:r>
          </w:p>
        </w:tc>
      </w:tr>
      <w:tr>
        <w:trPr>
          <w:trHeight w:val="234"/>
        </w:trPr>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311,447</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413,328</w:t>
            </w:r>
          </w:p>
        </w:tc>
      </w:tr>
      <w:tr>
        <w:trPr>
          <w:trHeight w:val="27"/>
        </w:trPr>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r>
        <w:trPr>
          <w:trHeight w:val="250"/>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1,784,682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1,778,092</w:t>
            </w:r>
          </w:p>
        </w:tc>
      </w:tr>
      <w:tr>
        <w:trPr>
          <w:trHeight w:val="21"/>
        </w:trPr>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NOTE 5 – WORKING CAPITAL FACILTIY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21, 2022, the Company entered into a Facility Agreement with a current shareholder and noteholder of the Company, pursuant to which the shareholder agreed to provide to the Company a $10.0 million unsecured standby line of credit facility that will rank behind the Convertible Notes (see Note 6) and may be drawn down in several tranches, subject to certain conditions described in the Facility Agreement (the “Credit Facility”). Pursuant to the Credit Facility, the Company paid a facility commitment fee of 100,000 shares of our common stock with a fair market value of $3.03 per share upon the effective date of the Credit Facility. The value of the shares along with the $300,000 cash fee paid to the placement agent are being expensed over the life of the Credit Facility that has a term ending on March 31, 2025.</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outstanding borrowings under the Credit Facility will accrue interest at 15% per annum. Drawdowns of the Credit Facility will be in tranches of not less than $500,000 up to the maximum amount of the Credit Facility, subject to the satisfaction of customary certifications and a certification from the Company that it has no more than $5 million of cash available to it as of the date of the drawdown request. The Credit Facility contains customary representations and warranties and defined events of default. The Company will be permitted to prepay borrowings under the Credit Facility at any time, without penalty, in part or in full. Upon conversion or redemption of all amounts outstanding under the Convertible Notes and release of all security over the Company’s assets, the Company will provide a lien on the Company’s intellectual property assets to secure the Credit Facility.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borrowings under the Credit Facility as of June 30, 2022. The unamortized deferred debt expense is approximately $548,000 of which $199,000 is included in Other current assets and the balance in Other assets.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6 – CONVERTIBLE NOTES PAYABLE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21, 2022, the Company entered into a Securities Purchase Agreement (“SPA”) with certain accredited investors, including certain directors of the Company or their affiliates (the “Note Investors”), and, pursuant to the SPA, sold to the Note Investors Senior Secured Convertible Notes (the “Convertible Notes”) with an aggregate initial principal amount of approximately $9.2 million and a conversion price of $3.70. The Convertible Notes were sold with an aggregate cash origination fee of approximately $200,000, and we issued a total of approximately 28,500 shares of our common stock to the Note Investors as an additional origination fee. The Convertible Notes will accrue interest at the rate of 9.75% per annum, which will be payable in cash or, for some or all of the first five quarterly interest payments, in shares of our common stock at the Company’s option, on the last day of each calendar quarter before the maturity date and on the maturity date. The maturity date of the Convertible Notes is March 31, 2025.</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quarter ended June 30, 2022, the Company issued 116,896 shares of common stock for approximately $251,000 of interest owed from the effective date of the loan until June 30, 2022. The number of shares issued to each Note Investor was based on the VWAP of the common stock as defined in the Convertible Notes, or a higher minimum price per share for certain directors, in accordance with the terms of the Convertible Notes.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issuance of the Convertible Notes, the Company issued 142,690 common stock warrants to the broker and its representatives with an estimated grant date fair value of approximately $449,000 which has been recorded as a reduction in the carrying value of the Convertible Notes.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has a note outstanding to the Stern Trust in the amount of $662,000 that earns interest at 10% per annum, which at the election of the Stern Trust can be paid in shares of common stock at a conversion price of $6.00 (the “Stern Note”). Theodore Stern, the Trustee of the Stern Trust was formerly a director of the Company. The maturity date of the Stern Note was previously February 29, 2022 and the Stern Trust and the Company have mutually agreed to extend the due date to December 31, 2022. The Stern Trust shall have the right at is sole option to extend the maturity date for a further six months after December 31, 2022, by service of written notice upon the Borrower at any time on or before December 31,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convertible notes payable outstanding as of June 30, 2022 (unaudited):</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convertible note due December 31, 2022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662,000</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9.75% convertible notes due March 31, 2025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9,176,224</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discount expense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(249,067)</w:t>
            </w:r>
          </w:p>
        </w:tc>
        <w:tc>
          <w:tcPr>
            <w:tcW w:w="0" w:type="dxa"/>
            <w:vAlign w:val="bottom"/>
          </w:tcPr>
          <w:p>
            <w:pPr>
              <w:spacing w:after="0"/>
              <w:rPr>
                <w:sz w:val="1"/>
                <w:szCs w:val="1"/>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expense</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(1,320,146)</w:t>
            </w:r>
          </w:p>
        </w:tc>
        <w:tc>
          <w:tcPr>
            <w:tcW w:w="0" w:type="dxa"/>
            <w:vAlign w:val="bottom"/>
          </w:tcPr>
          <w:p>
            <w:pPr>
              <w:spacing w:after="0"/>
              <w:rPr>
                <w:sz w:val="1"/>
                <w:szCs w:val="1"/>
                <w:color w:val="auto"/>
              </w:rPr>
            </w:pPr>
          </w:p>
        </w:tc>
      </w:tr>
      <w:tr>
        <w:trPr>
          <w:trHeight w:val="223"/>
        </w:trPr>
        <w:tc>
          <w:tcPr>
            <w:tcW w:w="100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8,269,011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Future maturities of convertible notes payable as of June 30,2022:</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662,000</w:t>
            </w:r>
          </w:p>
        </w:tc>
        <w:tc>
          <w:tcPr>
            <w:tcW w:w="0" w:type="dxa"/>
            <w:vAlign w:val="bottom"/>
          </w:tcPr>
          <w:p>
            <w:pPr>
              <w:spacing w:after="0"/>
              <w:rPr>
                <w:sz w:val="1"/>
                <w:szCs w:val="1"/>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9,176,224</w:t>
            </w:r>
          </w:p>
        </w:tc>
        <w:tc>
          <w:tcPr>
            <w:tcW w:w="0" w:type="dxa"/>
            <w:vAlign w:val="bottom"/>
          </w:tcPr>
          <w:p>
            <w:pPr>
              <w:spacing w:after="0"/>
              <w:rPr>
                <w:sz w:val="1"/>
                <w:szCs w:val="1"/>
                <w:color w:val="auto"/>
              </w:rPr>
            </w:pPr>
          </w:p>
        </w:tc>
      </w:tr>
      <w:tr>
        <w:trPr>
          <w:trHeight w:val="223"/>
        </w:trPr>
        <w:tc>
          <w:tcPr>
            <w:tcW w:w="100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9,838,224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Payable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two Directors, an affiliate of one of such Directors and one Executive Officer invested in $1.2 million of the Convertible Notes issued. See Note 6. In connection with the payment of interest on the Convertible Notes, 10,978 shares were issued to two Directors and an affiliate of one of the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Directors and one Executive Officer invested $0.2 million in the common stock offering in the quarter ended March 31, 2022. See Note 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Executive Officers Agreements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25, 2022, Stuart Stoller indicated his intention to resign as Chief Financial Officer of the Company in connection with his planned retirement. The resignation and retirement were effective as of June 17, 2022 at which time Annie Pham was appointed as Chief Financial Officer in his place. In connection with his retirement, the Board of Director’s approved the vesting of approximately 122,222 stock options which were unvested as of June 17, 2022. Additionally, the Board of Directors approved a consulting arrangement for Mr. Stoller to provide transitional services.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25, 2022, Hang Pham and the Company entered an Offer Letter pursuant to which Ms. Pham agreed to serve as Chief Financial Officer with a planned employment date commencing June 20, 2022. Ms. Pham receives an annual salary of $275,000. The Company agreed to provide a bonus of 40% of the base salary (pro rated for 2022) based on achievement of performance milestones, calculated and payable in accordance with the corporate milestones approved by the Board for the year 2022. For subsequent fiscal years the bonus shall be subject to performance targets to be mutually agreed with the Compensation Committee of the Board. In addition, Ms. Pham received a signing bonus in the amount of $25,000, which is fully refundable to the Company if Ms. Pham leaves her employment voluntarily or is terminated for cause prior to the first anniversary of the commencement of employment. Upon commencing employment, Ms. Pham was granted an option to acquire 350,000 shares of common stock at an exercise price of $2.41 with an exercise period of ten years subject to certain performance and market vesting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2022, shares of common stock were issued as a result of the following transactions:</w:t>
      </w:r>
    </w:p>
    <w:p>
      <w:pPr>
        <w:spacing w:after="0" w:line="225" w:lineRule="exact"/>
        <w:rPr>
          <w:sz w:val="20"/>
          <w:szCs w:val="20"/>
          <w:color w:val="auto"/>
        </w:rPr>
      </w:pPr>
    </w:p>
    <w:p>
      <w:pPr>
        <w:jc w:val="both"/>
        <w:ind w:left="980" w:right="20" w:hanging="324"/>
        <w:spacing w:after="0" w:line="26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18 and March 21, 2022, the Company entered into Subscription Agreements (the “Subscription Agreements”) with an accredited investor and certain members of authID’s management team (the “PIPE Investors”), and, pursuant to the Subscription Agreements, sold to the PIPE Investors a total of 1,063,514 shares of our common stock at prices of $3.03 per share for an outside investor and $3.70 per share for the management investors (the “PIPE”). The aggregate gross proceeds from the PIPE are approximately $3.3 million.</w:t>
      </w:r>
    </w:p>
    <w:p>
      <w:pPr>
        <w:spacing w:after="0" w:line="179"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28,496 shares of our common stock to the Note Investors as an additional origination fee. Additionally, on June 30, 2022, the Company issued 116,896 shares of common stock for approximately $251,000 of interest owed from the effective date of the Convertible Notes until June 30, 2022.</w:t>
      </w:r>
    </w:p>
    <w:p>
      <w:pPr>
        <w:spacing w:after="0" w:line="175" w:lineRule="exact"/>
        <w:rPr>
          <w:rFonts w:ascii="Times New Roman" w:cs="Times New Roman" w:eastAsia="Times New Roman" w:hAnsi="Times New Roman"/>
          <w:sz w:val="18"/>
          <w:szCs w:val="18"/>
          <w:color w:val="auto"/>
        </w:rPr>
      </w:pPr>
    </w:p>
    <w:p>
      <w:pPr>
        <w:jc w:val="both"/>
        <w:ind w:left="98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21, 2022, the Company entered into a Facility Agreement with a current shareholder and noteholder of the Company, pursuant to which the shareholder agreed to provide to the Company a $10.0 million unsecured standby line of credit facility. Pursuant to the Credit Facility, the Company paid a facility commitment fee of 100,000 shares of our common stock with a fair market value of $3.03 per share upon the effective date of the Credit Facility</w:t>
      </w:r>
    </w:p>
    <w:p>
      <w:pPr>
        <w:spacing w:after="0" w:line="1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warrant and stock option holders exercised their respective warrants and stock options by means of the cashless exercise feature and were issued approximately 186,488 common shares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warrant activity for the six months ended June 30, 2022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45"/>
        </w:trPr>
        <w:tc>
          <w:tcPr>
            <w:tcW w:w="40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0" w:type="dxa"/>
            <w:vAlign w:val="bottom"/>
          </w:tcPr>
          <w:p>
            <w:pPr>
              <w:spacing w:after="0"/>
              <w:rPr>
                <w:sz w:val="1"/>
                <w:szCs w:val="1"/>
                <w:color w:val="auto"/>
              </w:rPr>
            </w:pPr>
          </w:p>
        </w:tc>
      </w:tr>
      <w:tr>
        <w:trPr>
          <w:trHeight w:val="216"/>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3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1,403,610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 years</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142,690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 years</w:t>
            </w:r>
          </w:p>
        </w:tc>
        <w:tc>
          <w:tcPr>
            <w:tcW w:w="0" w:type="dxa"/>
            <w:vAlign w:val="bottom"/>
          </w:tcPr>
          <w:p>
            <w:pPr>
              <w:spacing w:after="0"/>
              <w:rPr>
                <w:sz w:val="1"/>
                <w:szCs w:val="1"/>
                <w:color w:val="auto"/>
              </w:rPr>
            </w:pPr>
          </w:p>
        </w:tc>
      </w:tr>
      <w:tr>
        <w:trPr>
          <w:trHeight w:val="24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Exercised/cancelled</w:t>
            </w:r>
          </w:p>
        </w:tc>
        <w:tc>
          <w:tcPr>
            <w:tcW w:w="3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(241,944)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 years</w:t>
            </w:r>
          </w:p>
        </w:tc>
        <w:tc>
          <w:tcPr>
            <w:tcW w:w="0" w:type="dxa"/>
            <w:vAlign w:val="bottom"/>
          </w:tcPr>
          <w:p>
            <w:pPr>
              <w:spacing w:after="0"/>
              <w:rPr>
                <w:sz w:val="1"/>
                <w:szCs w:val="1"/>
                <w:color w:val="auto"/>
              </w:rPr>
            </w:pPr>
          </w:p>
        </w:tc>
      </w:tr>
      <w:tr>
        <w:trPr>
          <w:trHeight w:val="237"/>
        </w:trPr>
        <w:tc>
          <w:tcPr>
            <w:tcW w:w="4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3300" w:type="dxa"/>
            <w:vAlign w:val="bottom"/>
            <w:tcBorders>
              <w:top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1,304,356</w:t>
            </w: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20" w:type="dxa"/>
            <w:vAlign w:val="bottom"/>
            <w:tcBorders>
              <w:top w:val="single" w:sz="8" w:color="CCEEFF"/>
            </w:tcBorders>
          </w:tcPr>
          <w:p>
            <w:pPr>
              <w:spacing w:after="0"/>
              <w:rPr>
                <w:sz w:val="20"/>
                <w:szCs w:val="20"/>
                <w:color w:val="auto"/>
              </w:rPr>
            </w:pPr>
          </w:p>
        </w:tc>
        <w:tc>
          <w:tcPr>
            <w:tcW w:w="12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3.3 years</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330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0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the grant date fair value of options granted for the six months ended June 30, 2022, using the Black Scholes Method and a Monte Carlo simulation for those stock options granted with a market vesting condition and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1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2.14%-3.38%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Activity related to stock options for the six months ended June 30, 2022 (unaudited), is summarized as follows: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 (Yrs.)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7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8,910,994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6.7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67,488,214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000" w:type="dxa"/>
            <w:vAlign w:val="bottom"/>
            <w:gridSpan w:val="3"/>
          </w:tcPr>
          <w:p>
            <w:pPr>
              <w:ind w:left="2180"/>
              <w:spacing w:after="0"/>
              <w:rPr>
                <w:sz w:val="20"/>
                <w:szCs w:val="20"/>
                <w:color w:val="auto"/>
              </w:rPr>
            </w:pPr>
            <w:r>
              <w:rPr>
                <w:rFonts w:ascii="Times New Roman" w:cs="Times New Roman" w:eastAsia="Times New Roman" w:hAnsi="Times New Roman"/>
                <w:sz w:val="18"/>
                <w:szCs w:val="18"/>
                <w:color w:val="auto"/>
              </w:rPr>
              <w:t>1,141,541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w:t>
            </w: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(281,031)</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w:t>
            </w: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3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(73,889)</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7.22</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62"/>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June 30, 2022</w:t>
            </w:r>
          </w:p>
        </w:tc>
        <w:tc>
          <w:tcPr>
            <w:tcW w:w="1780" w:type="dxa"/>
            <w:vAlign w:val="bottom"/>
            <w:tcBorders>
              <w:top w:val="single" w:sz="8" w:color="CCEEFF"/>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9,697,615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6.1</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403,078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Exercisable as of June 30, 2022</w:t>
            </w:r>
          </w:p>
        </w:tc>
        <w:tc>
          <w:tcPr>
            <w:tcW w:w="3000" w:type="dxa"/>
            <w:vAlign w:val="bottom"/>
            <w:tcBorders>
              <w:top w:val="single" w:sz="8" w:color="CCEEFF"/>
            </w:tcBorders>
            <w:gridSpan w:val="3"/>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00" w:type="dxa"/>
            <w:vAlign w:val="bottom"/>
            <w:tcBorders>
              <w:top w:val="single" w:sz="8" w:color="CCEEFF"/>
            </w:tcBorders>
            <w:vMerge w:val="continue"/>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7"/>
              </w:rPr>
              <w:t>5,052,541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88"/>
              </w:rPr>
              <w:t>4.4</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2"/>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stock option information</w:t>
            </w:r>
          </w:p>
        </w:tc>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as of June 30, 2022 (unaudited):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Life (Yrs.)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0" w:type="dxa"/>
            <w:vAlign w:val="bottom"/>
          </w:tcPr>
          <w:p>
            <w:pPr>
              <w:spacing w:after="0"/>
              <w:rPr>
                <w:sz w:val="1"/>
                <w:szCs w:val="1"/>
                <w:color w:val="auto"/>
              </w:rPr>
            </w:pPr>
          </w:p>
        </w:tc>
      </w:tr>
      <w:tr>
        <w:trPr>
          <w:trHeight w:val="216"/>
        </w:trPr>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$.03 - $4.00</w:t>
            </w:r>
          </w:p>
        </w:tc>
        <w:tc>
          <w:tcPr>
            <w:tcW w:w="17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4,438,577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4.2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3,097,242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$4.01 - $7.00</w:t>
            </w: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151,667</w:t>
            </w:r>
          </w:p>
        </w:tc>
        <w:tc>
          <w:tcPr>
            <w:tcW w:w="220" w:type="dxa"/>
            <w:vAlign w:val="bottom"/>
          </w:tcPr>
          <w:p>
            <w:pPr>
              <w:spacing w:after="0"/>
              <w:rPr>
                <w:sz w:val="18"/>
                <w:szCs w:val="18"/>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151,667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$7.01 - $10.00</w:t>
            </w:r>
          </w:p>
        </w:tc>
        <w:tc>
          <w:tcPr>
            <w:tcW w:w="1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3,416,135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724,466</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$10.01 - $15.97</w:t>
            </w:r>
          </w:p>
        </w:tc>
        <w:tc>
          <w:tcPr>
            <w:tcW w:w="1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1,691,236</w:t>
            </w:r>
          </w:p>
        </w:tc>
        <w:tc>
          <w:tcPr>
            <w:tcW w:w="220" w:type="dxa"/>
            <w:vAlign w:val="bottom"/>
          </w:tcPr>
          <w:p>
            <w:pPr>
              <w:spacing w:after="0"/>
              <w:rPr>
                <w:sz w:val="19"/>
                <w:szCs w:val="19"/>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1,079,166</w:t>
            </w:r>
          </w:p>
        </w:tc>
        <w:tc>
          <w:tcPr>
            <w:tcW w:w="0" w:type="dxa"/>
            <w:vAlign w:val="bottom"/>
          </w:tcPr>
          <w:p>
            <w:pPr>
              <w:spacing w:after="0"/>
              <w:rPr>
                <w:sz w:val="1"/>
                <w:szCs w:val="1"/>
                <w:color w:val="auto"/>
              </w:rPr>
            </w:pPr>
          </w:p>
        </w:tc>
      </w:tr>
      <w:tr>
        <w:trPr>
          <w:trHeight w:val="27"/>
        </w:trPr>
        <w:tc>
          <w:tcPr>
            <w:tcW w:w="42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9,697,615</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5,052,541</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the Company recognized approximately $4,499,000 of stock option compensation expense of which approximately $1,396,000 relates to market condition-based awards of directors and officers. As of June 30, 2022, there was approximately $13,450,774 of unrecognized compensation costs related to stock options outstanding that is expected to be expensed through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9 – DISCONTINUED OPERATIONS AND ASSETS HELD FOR SALE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of authID considers it in the best interests of the Company to focus its business activities on providing biometric identity verification products and services by means of our proprietary IDaaS platform. Accordingly, on May 4, 2022, the Board approved a plan to exit from certain non-core activities comprising the MultiPay correspondent bank payments services in Colombia and the Cards Plus cards manufacturing and printing business in South Africa.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Cards Plus business in South Africa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plans to exit the Cards Plus business and is in discussions with a buyer to purchase the Company’s interests in Cards Plus.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sale price is $300,000 less selling costs which resulted in a charge of approximately $68,000 for the Cards Plus. In the six months ended June 30, 2022, the Company also recorded an impairment charge of approximately $144,000 for certain intangible assets of Cards Plus.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MultiPay business in Colombia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plans to exit the MultiPay business in Colombia in an orderly fashion, honoring our obligations to employees, customers and under applicable laws and regulations. We plan to maintain our customer support and operations team in Bogota, which performs essential functions to support the global operations of our Verified family of products.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incur certain costs associated with its employees and other contractual obligations. MultiPay will continue to service its customer base in the interim as it will look to minimize all such costs and in addition to realize proceeds from the potential disposition or use of its assets.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MultiPay has notified the customers and the impacted employees of the Company’s plan. MultiPay also communicated to each employee their compensation entitlements and severance packages under its retention plan and obligations under the appropriate statutes.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MultiPay is working with a major customer to implement a transition plan to provide an essential service for certain bill pay services which will probably result in the leasing and sale of certain of MultiPay’s proprietary software as well as the assumption by the customer of certain expenses.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to incur costs associated with the proposed exit of the MultiPay business which include approximately $195,000 for payment to employees and consultants including statutory obligations and certain contingent retention bonuses; and approximately $57,000 for accelerated depreciation (non-cash) for certain assets which reflects their estimated remaining useful life. In the six months ended June 30, 2022, MultiPay recorded $68,000 of additional expense for employee obligations during the transitional period. We should have a revenue offset to certain expenses as we solidify the sale of the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MultiPay has accelerated the depreciation of certain assets with the effective date of the announcement to reflect the estimated remaining useful life.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operations of Cards Plus and MultiPay for the three and six months ended June 30, 2022 on a consolidated basis are below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1"/>
                <w:szCs w:val="21"/>
                <w:color w:val="auto"/>
              </w:rPr>
            </w:pPr>
          </w:p>
        </w:tc>
        <w:tc>
          <w:tcPr>
            <w:tcW w:w="24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Discontinued Operations</w:t>
            </w:r>
          </w:p>
        </w:tc>
        <w:tc>
          <w:tcPr>
            <w:tcW w:w="1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800" w:type="dxa"/>
            <w:vAlign w:val="bottom"/>
            <w:tcBorders>
              <w:top w:val="single" w:sz="8" w:color="auto"/>
            </w:tcBorders>
          </w:tcPr>
          <w:p>
            <w:pPr>
              <w:spacing w:after="0"/>
              <w:rPr>
                <w:sz w:val="20"/>
                <w:szCs w:val="20"/>
                <w:color w:val="auto"/>
              </w:rPr>
            </w:pPr>
          </w:p>
        </w:tc>
        <w:tc>
          <w:tcPr>
            <w:tcW w:w="2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579,246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431,010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1,021,556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871,949</w:t>
            </w:r>
          </w:p>
        </w:tc>
        <w:tc>
          <w:tcPr>
            <w:tcW w:w="0" w:type="dxa"/>
            <w:vAlign w:val="bottom"/>
          </w:tcPr>
          <w:p>
            <w:pPr>
              <w:spacing w:after="0"/>
              <w:rPr>
                <w:sz w:val="1"/>
                <w:szCs w:val="1"/>
                <w:color w:val="auto"/>
              </w:rPr>
            </w:pPr>
          </w:p>
        </w:tc>
      </w:tr>
      <w:tr>
        <w:trPr>
          <w:trHeight w:val="216"/>
        </w:trPr>
        <w:tc>
          <w:tcPr>
            <w:tcW w:w="18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336,540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156,905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520,064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371,228</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372,750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315,914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658,132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635,625</w:t>
            </w:r>
          </w:p>
        </w:tc>
        <w:tc>
          <w:tcPr>
            <w:tcW w:w="0" w:type="dxa"/>
            <w:vAlign w:val="bottom"/>
          </w:tcPr>
          <w:p>
            <w:pPr>
              <w:spacing w:after="0"/>
              <w:rPr>
                <w:sz w:val="1"/>
                <w:szCs w:val="1"/>
                <w:color w:val="auto"/>
              </w:rPr>
            </w:pPr>
          </w:p>
        </w:tc>
      </w:tr>
      <w:tr>
        <w:trPr>
          <w:trHeight w:val="216"/>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Impairment loss</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67,984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211,703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11,572</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15,351</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39,774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44,984</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96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788,846</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488,170</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1,429,673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1,051,837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(209,600)</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(57,160)</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(408,117)</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(179,888)</w:t>
            </w:r>
          </w:p>
        </w:tc>
        <w:tc>
          <w:tcPr>
            <w:tcW w:w="0" w:type="dxa"/>
            <w:vAlign w:val="bottom"/>
          </w:tcPr>
          <w:p>
            <w:pPr>
              <w:spacing w:after="0"/>
              <w:rPr>
                <w:sz w:val="1"/>
                <w:szCs w:val="1"/>
                <w:color w:val="auto"/>
              </w:rPr>
            </w:pPr>
          </w:p>
        </w:tc>
      </w:tr>
      <w:tr>
        <w:trPr>
          <w:trHeight w:val="216"/>
        </w:trPr>
        <w:tc>
          <w:tcPr>
            <w:tcW w:w="18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4,334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13,262</w:t>
            </w:r>
          </w:p>
        </w:tc>
        <w:tc>
          <w:tcPr>
            <w:tcW w:w="0" w:type="dxa"/>
            <w:vAlign w:val="bottom"/>
          </w:tcPr>
          <w:p>
            <w:pPr>
              <w:spacing w:after="0"/>
              <w:rPr>
                <w:sz w:val="1"/>
                <w:szCs w:val="1"/>
                <w:color w:val="auto"/>
              </w:rPr>
            </w:pPr>
          </w:p>
        </w:tc>
      </w:tr>
      <w:tr>
        <w:trPr>
          <w:trHeight w:val="236"/>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(2,631)</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19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(205,266)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(48,066)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(400,452)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(169,263)</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(1,041)</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(6,578)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216"/>
        </w:trPr>
        <w:tc>
          <w:tcPr>
            <w:tcW w:w="18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(206,307)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(49,392)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(407,030)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(171,858)</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18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204"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1"/>
                <w:szCs w:val="21"/>
                <w:color w:val="auto"/>
              </w:rPr>
            </w:pPr>
          </w:p>
        </w:tc>
        <w:tc>
          <w:tcPr>
            <w:tcW w:w="24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6"/>
        </w:trPr>
        <w:tc>
          <w:tcPr>
            <w:tcW w:w="7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189"/>
        </w:trPr>
        <w:tc>
          <w:tcPr>
            <w:tcW w:w="59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Cards Plus</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780" w:type="dxa"/>
            <w:vAlign w:val="bottom"/>
            <w:tcBorders>
              <w:top w:val="single" w:sz="8" w:color="auto"/>
            </w:tcBorders>
          </w:tcPr>
          <w:p>
            <w:pPr>
              <w:spacing w:after="0"/>
              <w:rPr>
                <w:sz w:val="20"/>
                <w:szCs w:val="20"/>
                <w:color w:val="auto"/>
              </w:rPr>
            </w:pPr>
          </w:p>
        </w:tc>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510,142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334,679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883,300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679,435</w:t>
            </w:r>
          </w:p>
        </w:tc>
      </w:tr>
      <w:tr>
        <w:trPr>
          <w:trHeight w:val="216"/>
        </w:trPr>
        <w:tc>
          <w:tcPr>
            <w:tcW w:w="780" w:type="dxa"/>
            <w:vAlign w:val="bottom"/>
            <w:tcBorders>
              <w:top w:val="single" w:sz="8" w:color="CCEEFF"/>
            </w:tcBorders>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336,540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156,905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520,064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371,228</w:t>
            </w:r>
          </w:p>
        </w:tc>
      </w:tr>
      <w:tr>
        <w:trPr>
          <w:trHeight w:val="216"/>
        </w:trPr>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167,390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151,453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322,699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286,977</w:t>
            </w:r>
          </w:p>
        </w:tc>
      </w:tr>
      <w:tr>
        <w:trPr>
          <w:trHeight w:val="216"/>
        </w:trPr>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Impairment loss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67,984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211,703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4,667</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16,113</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25,897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35,233</w:t>
            </w:r>
          </w:p>
        </w:tc>
      </w:tr>
      <w:tr>
        <w:trPr>
          <w:trHeight w:val="210"/>
        </w:trPr>
        <w:tc>
          <w:tcPr>
            <w:tcW w:w="5980" w:type="dxa"/>
            <w:vAlign w:val="bottom"/>
            <w:tcBorders>
              <w:top w:val="single" w:sz="8" w:color="CCEEFF"/>
              <w:bottom w:val="single" w:sz="8" w:color="CCEEFF"/>
            </w:tcBorders>
            <w:gridSpan w:val="2"/>
          </w:tcPr>
          <w:p>
            <w:pPr>
              <w:ind w:left="40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576,581</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324,471</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1,080,363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693,438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(66,439)</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10,208</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(197,063)</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(14,003)</w:t>
            </w:r>
          </w:p>
        </w:tc>
      </w:tr>
      <w:tr>
        <w:trPr>
          <w:trHeight w:val="216"/>
        </w:trPr>
        <w:tc>
          <w:tcPr>
            <w:tcW w:w="780" w:type="dxa"/>
            <w:vAlign w:val="bottom"/>
            <w:tcBorders>
              <w:top w:val="single" w:sz="8" w:color="CCEEFF"/>
            </w:tcBorders>
            <w:shd w:val="clear" w:color="auto" w:fill="CCEEFF"/>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3,468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3,451</w:t>
            </w:r>
          </w:p>
        </w:tc>
      </w:tr>
      <w:tr>
        <w:trPr>
          <w:trHeight w:val="237"/>
        </w:trPr>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(2,637)</w:t>
            </w:r>
          </w:p>
        </w:tc>
      </w:tr>
      <w:tr>
        <w:trPr>
          <w:trHeight w:val="223"/>
        </w:trPr>
        <w:tc>
          <w:tcPr>
            <w:tcW w:w="5980" w:type="dxa"/>
            <w:vAlign w:val="bottom"/>
            <w:tcBorders>
              <w:top w:val="single" w:sz="8" w:color="CCEEFF"/>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income, net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(62,971)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(190,611)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(13,189)</w:t>
            </w:r>
          </w:p>
        </w:tc>
      </w:tr>
      <w:tr>
        <w:trPr>
          <w:trHeight w:val="216"/>
        </w:trPr>
        <w:tc>
          <w:tcPr>
            <w:tcW w:w="7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 w:type="dxa"/>
            <w:vAlign w:val="bottom"/>
            <w:tcBorders>
              <w:top w:val="single" w:sz="8" w:color="CCEEFF"/>
            </w:tcBorders>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0"/>
              <w:spacing w:after="0" w:line="256" w:lineRule="exact"/>
              <w:rPr>
                <w:sz w:val="20"/>
                <w:szCs w:val="20"/>
                <w:color w:val="auto"/>
              </w:rPr>
            </w:pPr>
            <w:r>
              <w:rPr>
                <w:rFonts w:ascii="Times New Roman" w:cs="Times New Roman" w:eastAsia="Times New Roman" w:hAnsi="Times New Roman"/>
                <w:sz w:val="16"/>
                <w:szCs w:val="16"/>
                <w:color w:val="auto"/>
              </w:rPr>
              <w:t>(62,971</w:t>
            </w:r>
            <w:r>
              <w:rPr>
                <w:rFonts w:ascii="Times New Roman" w:cs="Times New Roman" w:eastAsia="Times New Roman" w:hAnsi="Times New Roman"/>
                <w:sz w:val="29"/>
                <w:szCs w:val="29"/>
                <w:color w:val="auto"/>
                <w:vertAlign w:val="superscript"/>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(195,292</w:t>
            </w:r>
            <w:r>
              <w:rPr>
                <w:rFonts w:ascii="Times New Roman" w:cs="Times New Roman" w:eastAsia="Times New Roman" w:hAnsi="Times New Roman"/>
                <w:sz w:val="29"/>
                <w:szCs w:val="29"/>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(13,189</w:t>
            </w:r>
            <w:r>
              <w:rPr>
                <w:rFonts w:ascii="Times New Roman" w:cs="Times New Roman" w:eastAsia="Times New Roman" w:hAnsi="Times New Roman"/>
                <w:sz w:val="29"/>
                <w:szCs w:val="29"/>
                <w:color w:val="auto"/>
                <w:vertAlign w:val="superscript"/>
              </w:rPr>
              <w:t>)</w:t>
            </w: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1"/>
                <w:szCs w:val="21"/>
                <w:color w:val="auto"/>
              </w:rPr>
            </w:pPr>
          </w:p>
        </w:tc>
        <w:tc>
          <w:tcPr>
            <w:tcW w:w="24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6"/>
        </w:trPr>
        <w:tc>
          <w:tcPr>
            <w:tcW w:w="6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MultiPay</w:t>
            </w:r>
          </w:p>
        </w:tc>
        <w:tc>
          <w:tcPr>
            <w:tcW w:w="1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80" w:type="dxa"/>
            <w:vAlign w:val="bottom"/>
            <w:tcBorders>
              <w:top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69,104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96,331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138,256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192,514</w:t>
            </w:r>
          </w:p>
        </w:tc>
        <w:tc>
          <w:tcPr>
            <w:tcW w:w="0" w:type="dxa"/>
            <w:vAlign w:val="bottom"/>
          </w:tcPr>
          <w:p>
            <w:pPr>
              <w:spacing w:after="0"/>
              <w:rPr>
                <w:sz w:val="1"/>
                <w:szCs w:val="1"/>
                <w:color w:val="auto"/>
              </w:rPr>
            </w:pPr>
          </w:p>
        </w:tc>
      </w:tr>
      <w:tr>
        <w:trPr>
          <w:trHeight w:val="216"/>
        </w:trPr>
        <w:tc>
          <w:tcPr>
            <w:tcW w:w="6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205,360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164,461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335,433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348,648</w:t>
            </w:r>
          </w:p>
        </w:tc>
        <w:tc>
          <w:tcPr>
            <w:tcW w:w="0" w:type="dxa"/>
            <w:vAlign w:val="bottom"/>
          </w:tcPr>
          <w:p>
            <w:pPr>
              <w:spacing w:after="0"/>
              <w:rPr>
                <w:sz w:val="1"/>
                <w:szCs w:val="1"/>
                <w:color w:val="auto"/>
              </w:rPr>
            </w:pPr>
          </w:p>
        </w:tc>
      </w:tr>
      <w:tr>
        <w:trPr>
          <w:trHeight w:val="250"/>
        </w:trPr>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6,905</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13,877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9,751</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gridSpan w:val="2"/>
          </w:tcPr>
          <w:p>
            <w:pPr>
              <w:ind w:left="40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96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212,265</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163,699</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349,310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358,399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Loss from operations</w:t>
            </w: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(143,161)</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(67,368)</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(211,054)</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(165,885)</w:t>
            </w:r>
          </w:p>
        </w:tc>
        <w:tc>
          <w:tcPr>
            <w:tcW w:w="0" w:type="dxa"/>
            <w:vAlign w:val="bottom"/>
          </w:tcPr>
          <w:p>
            <w:pPr>
              <w:spacing w:after="0"/>
              <w:rPr>
                <w:sz w:val="1"/>
                <w:szCs w:val="1"/>
                <w:color w:val="auto"/>
              </w:rPr>
            </w:pPr>
          </w:p>
        </w:tc>
      </w:tr>
      <w:tr>
        <w:trPr>
          <w:trHeight w:val="216"/>
        </w:trPr>
        <w:tc>
          <w:tcPr>
            <w:tcW w:w="680" w:type="dxa"/>
            <w:vAlign w:val="bottom"/>
            <w:tcBorders>
              <w:top w:val="single" w:sz="8" w:color="CCEEFF"/>
            </w:tcBorders>
            <w:shd w:val="clear" w:color="auto" w:fill="CCEEFF"/>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1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866</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8,291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9,811</w:t>
            </w:r>
          </w:p>
        </w:tc>
        <w:tc>
          <w:tcPr>
            <w:tcW w:w="0" w:type="dxa"/>
            <w:vAlign w:val="bottom"/>
          </w:tcPr>
          <w:p>
            <w:pPr>
              <w:spacing w:after="0"/>
              <w:rPr>
                <w:sz w:val="1"/>
                <w:szCs w:val="1"/>
                <w:color w:val="auto"/>
              </w:rPr>
            </w:pPr>
          </w:p>
        </w:tc>
      </w:tr>
      <w:tr>
        <w:trPr>
          <w:trHeight w:val="216"/>
        </w:trPr>
        <w:tc>
          <w:tcPr>
            <w:tcW w:w="6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(142,295)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(59,077)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(209,841)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(156,074)</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(1,041)</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216"/>
        </w:trPr>
        <w:tc>
          <w:tcPr>
            <w:tcW w:w="6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line="256" w:lineRule="exact"/>
              <w:rPr>
                <w:sz w:val="20"/>
                <w:szCs w:val="20"/>
                <w:color w:val="auto"/>
              </w:rPr>
            </w:pPr>
            <w:r>
              <w:rPr>
                <w:rFonts w:ascii="Times New Roman" w:cs="Times New Roman" w:eastAsia="Times New Roman" w:hAnsi="Times New Roman"/>
                <w:sz w:val="16"/>
                <w:szCs w:val="16"/>
                <w:color w:val="auto"/>
              </w:rPr>
              <w:t>(143,336</w:t>
            </w:r>
            <w:r>
              <w:rPr>
                <w:rFonts w:ascii="Times New Roman" w:cs="Times New Roman" w:eastAsia="Times New Roman" w:hAnsi="Times New Roman"/>
                <w:sz w:val="29"/>
                <w:szCs w:val="29"/>
                <w:color w:val="auto"/>
                <w:vertAlign w:val="superscript"/>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(60,403</w:t>
            </w:r>
            <w:r>
              <w:rPr>
                <w:rFonts w:ascii="Times New Roman" w:cs="Times New Roman" w:eastAsia="Times New Roman" w:hAnsi="Times New Roman"/>
                <w:sz w:val="29"/>
                <w:szCs w:val="29"/>
                <w:color w:val="auto"/>
                <w:vertAlign w:val="superscript"/>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(211,738</w:t>
            </w:r>
            <w:r>
              <w:rPr>
                <w:rFonts w:ascii="Times New Roman" w:cs="Times New Roman" w:eastAsia="Times New Roman" w:hAnsi="Times New Roman"/>
                <w:sz w:val="29"/>
                <w:szCs w:val="29"/>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(158,669</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6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8" w:name="page19"/>
    <w:bookmarkEnd w:id="18"/>
    <w:p>
      <w:pPr>
        <w:spacing w:after="0" w:line="282" w:lineRule="auto"/>
        <w:rPr>
          <w:sz w:val="20"/>
          <w:szCs w:val="20"/>
          <w:color w:val="auto"/>
        </w:rPr>
      </w:pPr>
      <w:r>
        <w:rPr>
          <w:rFonts w:ascii="Times New Roman" w:cs="Times New Roman" w:eastAsia="Times New Roman" w:hAnsi="Times New Roman"/>
          <w:sz w:val="18"/>
          <w:szCs w:val="18"/>
          <w:color w:val="auto"/>
        </w:rPr>
        <w:t>As a result of meeting the discontinued operations/assets held for sale criteria for Cards Plus and the MultiPay operations, the assets and liabilities have been reclassified as assets held for sale as of the respective balance sheet date as follows (unaudited):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180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340,380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270,707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105,844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110,977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301,837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33,834</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94,919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781,895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629,752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56,891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93,132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153,004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17,090</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66,695</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312,831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855,876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942,583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259,217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235,348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274,901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47,823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Notes payable obligation, current portion</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lease obligation, current portion</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10,582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Total liabilities held for sale</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534,118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295,332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877" w:right="339" w:bottom="1440" w:gutter="0" w:footer="0" w:header="0"/>
        </w:sectPr>
      </w:pPr>
    </w:p>
    <w:p>
      <w:pPr>
        <w:jc w:val="center"/>
        <w:ind w:left="8920"/>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43" w:lineRule="exact"/>
        <w:rPr>
          <w:sz w:val="20"/>
          <w:szCs w:val="20"/>
          <w:color w:val="auto"/>
        </w:rPr>
      </w:pPr>
    </w:p>
    <w:p>
      <w:pPr>
        <w:jc w:val="center"/>
        <w:ind w:left="892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4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9" w:lineRule="exact"/>
        <w:rPr>
          <w:sz w:val="20"/>
          <w:szCs w:val="20"/>
          <w:color w:val="auto"/>
        </w:rPr>
      </w:pPr>
    </w:p>
    <w:p>
      <w:pPr>
        <w:sectPr>
          <w:pgSz w:w="11900" w:h="16838" w:orient="portrait"/>
          <w:cols w:equalWidth="0" w:num="2">
            <w:col w:w="9560" w:space="500"/>
            <w:col w:w="118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Cards Plus</w:t>
            </w:r>
          </w:p>
        </w:tc>
        <w:tc>
          <w:tcPr>
            <w:tcW w:w="43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4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325,247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182,518</w:t>
            </w:r>
          </w:p>
        </w:tc>
        <w:tc>
          <w:tcPr>
            <w:tcW w:w="0" w:type="dxa"/>
            <w:vAlign w:val="bottom"/>
          </w:tcPr>
          <w:p>
            <w:pPr>
              <w:spacing w:after="0"/>
              <w:rPr>
                <w:sz w:val="1"/>
                <w:szCs w:val="1"/>
                <w:color w:val="auto"/>
              </w:rPr>
            </w:pPr>
          </w:p>
        </w:tc>
      </w:tr>
      <w:tr>
        <w:trPr>
          <w:trHeight w:val="216"/>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36,139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88,235</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4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301,837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153,149</w:t>
            </w:r>
          </w:p>
        </w:tc>
        <w:tc>
          <w:tcPr>
            <w:tcW w:w="0" w:type="dxa"/>
            <w:vAlign w:val="bottom"/>
          </w:tcPr>
          <w:p>
            <w:pPr>
              <w:spacing w:after="0"/>
              <w:rPr>
                <w:sz w:val="1"/>
                <w:szCs w:val="1"/>
                <w:color w:val="auto"/>
              </w:rPr>
            </w:pPr>
          </w:p>
        </w:tc>
      </w:tr>
      <w:tr>
        <w:trPr>
          <w:trHeight w:val="237"/>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4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9,306</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52,678</w:t>
            </w:r>
          </w:p>
        </w:tc>
        <w:tc>
          <w:tcPr>
            <w:tcW w:w="0" w:type="dxa"/>
            <w:vAlign w:val="bottom"/>
          </w:tcPr>
          <w:p>
            <w:pPr>
              <w:spacing w:after="0"/>
              <w:rPr>
                <w:sz w:val="1"/>
                <w:szCs w:val="1"/>
                <w:color w:val="auto"/>
              </w:rPr>
            </w:pPr>
          </w:p>
        </w:tc>
      </w:tr>
      <w:tr>
        <w:trPr>
          <w:trHeight w:val="223"/>
        </w:trPr>
        <w:tc>
          <w:tcPr>
            <w:tcW w:w="43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4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4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24,619</w:t>
            </w:r>
          </w:p>
        </w:tc>
        <w:tc>
          <w:tcPr>
            <w:tcW w:w="0" w:type="dxa"/>
            <w:vAlign w:val="bottom"/>
          </w:tcPr>
          <w:p>
            <w:pPr>
              <w:spacing w:after="0"/>
              <w:rPr>
                <w:sz w:val="1"/>
                <w:szCs w:val="1"/>
                <w:color w:val="auto"/>
              </w:rPr>
            </w:pPr>
          </w:p>
        </w:tc>
      </w:tr>
      <w:tr>
        <w:trPr>
          <w:trHeight w:val="250"/>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43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153,004</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Noncurrent assets held for sale</w:t>
            </w:r>
          </w:p>
        </w:tc>
        <w:tc>
          <w:tcPr>
            <w:tcW w:w="43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177,623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4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672,529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654,203</w:t>
            </w: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121,195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122,725</w:t>
            </w:r>
          </w:p>
        </w:tc>
        <w:tc>
          <w:tcPr>
            <w:tcW w:w="0" w:type="dxa"/>
            <w:vAlign w:val="bottom"/>
          </w:tcPr>
          <w:p>
            <w:pPr>
              <w:spacing w:after="0"/>
              <w:rPr>
                <w:sz w:val="1"/>
                <w:szCs w:val="1"/>
                <w:color w:val="auto"/>
              </w:rPr>
            </w:pPr>
          </w:p>
        </w:tc>
      </w:tr>
      <w:tr>
        <w:trPr>
          <w:trHeight w:val="216"/>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274,901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47,823</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obligation, current portion</w:t>
            </w:r>
          </w:p>
        </w:tc>
        <w:tc>
          <w:tcPr>
            <w:tcW w:w="4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29"/>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 lease obligation, current portion</w:t>
            </w: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10,582</w:t>
            </w:r>
          </w:p>
        </w:tc>
        <w:tc>
          <w:tcPr>
            <w:tcW w:w="0" w:type="dxa"/>
            <w:vAlign w:val="bottom"/>
          </w:tcPr>
          <w:p>
            <w:pPr>
              <w:spacing w:after="0"/>
              <w:rPr>
                <w:sz w:val="1"/>
                <w:szCs w:val="1"/>
                <w:color w:val="auto"/>
              </w:rPr>
            </w:pPr>
          </w:p>
        </w:tc>
      </w:tr>
      <w:tr>
        <w:trPr>
          <w:trHeight w:val="27"/>
        </w:trPr>
        <w:tc>
          <w:tcPr>
            <w:tcW w:w="43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held for sale</w:t>
            </w:r>
          </w:p>
        </w:tc>
        <w:tc>
          <w:tcPr>
            <w:tcW w:w="43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gridSpan w:val="2"/>
            <w:vMerge w:val="continue"/>
            <w:shd w:val="clear" w:color="auto" w:fill="CCEEFF"/>
          </w:tcPr>
          <w:p>
            <w:pPr>
              <w:spacing w:after="0"/>
              <w:rPr>
                <w:sz w:val="21"/>
                <w:szCs w:val="21"/>
                <w:color w:val="auto"/>
              </w:rPr>
            </w:pPr>
          </w:p>
        </w:tc>
        <w:tc>
          <w:tcPr>
            <w:tcW w:w="4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396,096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182,709</w:t>
            </w:r>
          </w:p>
        </w:tc>
        <w:tc>
          <w:tcPr>
            <w:tcW w:w="0" w:type="dxa"/>
            <w:vAlign w:val="bottom"/>
          </w:tcPr>
          <w:p>
            <w:pPr>
              <w:spacing w:after="0"/>
              <w:rPr>
                <w:sz w:val="1"/>
                <w:szCs w:val="1"/>
                <w:color w:val="auto"/>
              </w:rPr>
            </w:pP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type w:val="continuous"/>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6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8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8"/>
              </w:rPr>
              <w:t>MultiPay</w:t>
            </w:r>
          </w:p>
        </w:tc>
        <w:tc>
          <w:tcPr>
            <w:tcW w:w="8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15,133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88,189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69,705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22,742</w:t>
            </w: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24,528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42,241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Current assets held for sale</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109,366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153,172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68,513</w:t>
            </w: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17,090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66,695</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183,347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288,380</w:t>
            </w: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138,022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112,623</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held for sale</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138,022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112,623</w:t>
            </w: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meeting the discontinued operations/assets held for sale criteria for Cards Plus and the MultiPay operations, the cash flow from operating activities related to discontinued operations is presented separately on the statement of cash flows as summarized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860" w:type="dxa"/>
            <w:vAlign w:val="bottom"/>
          </w:tcPr>
          <w:p>
            <w:pPr>
              <w:spacing w:after="0"/>
              <w:rPr>
                <w:sz w:val="21"/>
                <w:szCs w:val="21"/>
                <w:color w:val="auto"/>
              </w:rPr>
            </w:pPr>
          </w:p>
        </w:tc>
        <w:tc>
          <w:tcPr>
            <w:tcW w:w="2380" w:type="dxa"/>
            <w:vAlign w:val="bottom"/>
            <w:gridSpan w:val="6"/>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8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(407,030)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(171,858)</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with cash flows from operations: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39,774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45,002</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211,703</w:t>
            </w:r>
          </w:p>
        </w:tc>
        <w:tc>
          <w:tcPr>
            <w:tcW w:w="2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6,332</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(41,323)</w:t>
            </w: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 direct financing lease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(17,306)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81,931</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106,920</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(18,763)</w:t>
            </w: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(140,653)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113,870</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(11,425)</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(135,413)</w:t>
            </w:r>
          </w:p>
        </w:tc>
      </w:tr>
      <w:tr>
        <w:trPr>
          <w:trHeight w:val="23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227,078</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(65,709)</w:t>
            </w:r>
          </w:p>
        </w:tc>
      </w:tr>
      <w:tr>
        <w:trPr>
          <w:trHeight w:val="210"/>
        </w:trPr>
        <w:tc>
          <w:tcPr>
            <w:tcW w:w="88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Adjustments relating to discontinued operations</w:t>
            </w: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422,423</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(20,405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8"/>
        </w:trPr>
        <w:tc>
          <w:tcPr>
            <w:tcW w:w="8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Cashflows from discontinued operations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(192,263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 Discontinued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of plastic/ID cards, digital printing material, which are held by Cards Plus Pty Ltd., are at the lower of cost (using the average method) or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Plastic/ID cards and digital printing material are used to provide plastic loyalty ID and other types of cards.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at June 30, 2022 and December 31, 2021, consist of cards inventory. As of June 30, 2022 and December 31, 2021, respectively, the Company recorded an inventory valuation allowance of approximately $23,000 and $20,000, respectively to reflect net realizable value of the cards inventory.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adjustments to reduce the cost of inventories to their net realizable value are recognized in earnings in the current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Cards Plus recognizes revenue for the design and production of cards at the point in time when products are shipped, or services have been performed due to the short-term nature of the contracts. As of June 30, 2022 and December 31, 2021, Cards Plus had approximately $275,000 and $48,000, respectively, of contract liability from payments received in advance that will be earned in future periods.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MultiPay recognizes revenue for variable fees generated for payment processing solutions that are earned on a usage fee over time based on monthly transaction volumes or on a monthly flat fee rate. Additionally, MultiPay also sells certain equipment from time to time for which revenue is recognized upon delivery to the customer.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87" w:gutter="0" w:footer="0" w:header="0"/>
        </w:sectPr>
      </w:pPr>
    </w:p>
    <w:bookmarkStart w:id="20" w:name="page21"/>
    <w:bookmarkEnd w:id="20"/>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Revenue related to direct financing leases is outside the scope of Topic 606 and is recognized over the term of the lease using the effective interest method.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Payable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Cards Plus had an installment loan payable at a rate of 10.8% that was repaid in full the first quarter of 2022. The outstanding loan balance was $1,579 as of December 31,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Obligation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Cards Plus entered into a lease in March 2017 for the rental of its printer for its secured plastic and credential card products business under an arrangement that is classified as a finance lease. The leased equipment was amortized on a straight-line basis over its lease term including the last payment (61 payments) and ownership transferred to the Company. The lease was fully paid off as of June 30,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loss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Cards Plus recorded an impairment loss of approximately $143,000 associated with its intangible assets. We also recorded an additional $68,000 reserve as we estimate net realizable value of the net assets held for sale will be lower than their net book value.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2021, MultiPay entered into a one-year lease for approximately $2,900 per month in Bogota, Colombia. MultiPay provided notice that it will not be renewing the current lease.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Cards Plus leases space for its operation in South Africa. The lease term was through June 30, 2022, and the facility is being rented on a month-to-month basis. The approximate monthly rent is $8,000.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a party to various legal or administrative proceedings arising in the ordinary course of our business. While any litigation contains an element of uncertainty, we have no reason to believe the outcome of such proceedings will have a material adverse effect on the financial condition or results of operations of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rented office space in Long Beach, New York at a monthly cost of $2,500. The agreement was month to month and was terminated on July 31, 2022. The agreement was between the Company and Bridgeworks LLC, an entity principally owned by Mr. Beck, a former CEO and Board Member along with his family.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2022, the Company signed a new lease agreement and moved its headquarters to Denver, Colorado. The new office monthly lease cost approximates $1,500 per month.</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lease expense was approximately $80,000 inclusive of short-term leases of which $13,000 was for continuing operations and $67,000 was for discontinued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authID Inc. (together with its subsidiaries, the “Company”, “authID”, “we” or “our”) is a leading provider of secure, mobile, biometric identity verification software products branded “Verified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delivered by an easy to integrate Identity as a Service (IDaaS) platform. Our mission is ultimately to eliminate all passwords and to be the preferred global platform for biometric identity authentication. Our vision is to enable every organization to “Recognise Your Customer” instantly, without friction or loss of privacy, powered by the most sophisticated biometric and artificial intelligence technologies.</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explosive growth in online and mobile commerce, telemedicine, remote working and digital activities of all descriptions is self-evident to everyone who lived through the Covid 19 pandemic since 2020. Identity theft, phishing attacks, spear-phishing, password vulnerabilities, account takeovers, benefits fraud - it seems like these words have entered our daily lexicon overnight. These are significant impediments to the operations and growth of any business or organization, and dealing with the risks and consequences of these criminal activities has created significant friction in both time, cost and lost opportunity. Consider all the outdated methods that organizations have implemented in order to prevent fraud. The requests to receive and enter one-time passwords, that can be easily hijacked. The vulnerable security questions you get asked – whether on-line or when reaching out to a call center – what was your first pet’s name? who was your best friend in high school? These steps all add up to friction, making it difficult for consumers to login, transact and execute daily tasks, with little added protection from fraud. Surely there is a better way to address these challenges? authID believes there is.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authID provides secure, facial biometric, identity verification, and strong customer authentication. We maintain a global, cloud-based IDaaS platform for our enterprise customers to enable their users to easily verify and authenticate their identity through a mobile device or desktop (with camera) of their choosing (without requiring dedicated hardware, or authentication apps). We can help our customers establish a proven identity, creating a root of trust that ensures the highest level of assurance for our passwordless login and step-up verification products. Our system enables participants to consent to transactions using their biometric information with a digitally signed authentication response, embedding the underlying transaction data and each user’s identity attributes within every electronic transaction message processed through our platform.</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Digital transformation across all market segments requires trusted identity. Our identity platform offers innovative solutions that are flexible, fast and easy to integrate and offer seamless user experiences. authID’s products help advance digital transformation efforts without the fear of identity fraud, while delivering frictionless user experiences. We believe that it is also essential that electronic transactions have an audit trail, proving that the identity of the individual was duly authenticated. Our platform provides biometric and multi-factor identity software, which are intended to establish, authenticate and verify identity across a wide range of use cases and electronic transactions.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authID’s products focus on the broad requirement for enabling frictionless commerce by allowing an entity to instantly “Recognise their Customer”. Organizations of all descriptions require cost-effective and secure means of growing their business while mitigating identity fraud. We aim to offer our enterprise customers products that can be integrated easily into each of their business and organizational operations, in order to facilitate their adoption and enhance the end user customer experience.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believes that some of the advantages of our IDaaS Platform approach are the ability to leverage the platform to support a variety of vertical markets and the adaptability of the platform to the requirements of new markets and new products requiring cost-effective, secure, and configurable mobile solutions. Our target markets include cybersecurity, workforce, banking, fintech and other disrupters of traditional commerce, small and medium sized businesses, and system integrators working with government and Fortune 1000 enterprises. At its core, the Company’s offering, combining its proprietary and acquired biometric and artificial intelligence technologies (or AI), is intended to facilitate frictionless commerce, whether in the physical or digital world. The Company intends to increase its investment in developing, patenting and acquiring the various elements necessary to enhance the platform, which are intended to allow us to achieve our goals. One of the principal intended areas of investment is to enhance and expand our use of artificial intelligence in proprietary software, that we believe will increase our value to enterprise customers and stockholders alike.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18"/>
          <w:szCs w:val="18"/>
          <w:color w:val="auto"/>
        </w:rPr>
        <w:t>authID is dedicated to developing advanced methods of protecting consumer privacy and deploying ethical and socially responsible AI. authID is developing a culture that proactively encourages and rewards our employees for considering the ethical implications of our products. We believe that a proactive commitment to ethical AI presents a strong business opportunity for authID and will enable us to bring more accurate products to market more quickly and with less risk to better serve our global user base. Our methods to achieve ethical AI include engaging the users of our products with informed consent, prioritizing the security of our user’s personal information, considering and avoiding potential bias in our algorithms, and monitoring of algorithm performance in our applications.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owns an entity in South Africa, Cards Plus and in Colombia, MultiPay. On May 4, 2022, the Board approved a plan to exit from certain non-core activities comprising the MultiPay correspondent bank, payments services in Colombia and the Card Plus cards manufacturing and printing business in South Africa. See Discontinued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incorporated in the State of Delaware on September 21, 2011 and changed our name from Ipsidy Inc. to authID Inc. on July 18, 2022.</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trading symbol “AUID”. Our corporate headquarters have been relocated to 1325 S. Colorado, Blvd., Building A Suite 322, Denver, CO 80222 and our main phone number remains as is (516) 274-8700. We maintain a website at www.authID.ai. The information contained on, or that can be accessed through, our websites is not incorporated by reference into this prospectus and is intended for informational purposes only.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 Continuing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discussion includes information about Adjusted EBITDA – Continuing Operations that is not prepared in accordance with GAAP. Adjusted EBITDA-Continuing Operations is not based on any standardized methodology prescribed by GAAP and is not necessarily comparable to similar measures presented by other companies. A reconciliation of this non-GAAP measure is included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 Continuing Operations is a non-GAAP financial measure that represents GAAP loss from continuing operations adjusted to exclude</w:t>
      </w:r>
    </w:p>
    <w:p>
      <w:pPr>
        <w:spacing w:after="0" w:line="27" w:lineRule="exact"/>
        <w:rPr>
          <w:sz w:val="20"/>
          <w:szCs w:val="20"/>
          <w:color w:val="auto"/>
        </w:rPr>
      </w:pPr>
    </w:p>
    <w:p>
      <w:pPr>
        <w:ind w:right="20" w:firstLine="8"/>
        <w:spacing w:after="0" w:line="260" w:lineRule="auto"/>
        <w:tabs>
          <w:tab w:leader="none" w:pos="26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(2) interest income, (3) income tax expense, (4) depreciation and amortization, (5) stock-based compensation expense and (6) certain other items management believes affect the comparability of operating results.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that Adjusted EBITDA – Continuing Operations, when viewed with our results under GAAP and the accompanying reconciliations, provides useful information about our period-over-period results. Adjusted EBITDA – Continuing Operations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 Continuing Operations as a measure to review and assess the operating performance of our company and our management, and it will be a focus as we invest in and grow the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spacing w:after="0" w:line="282" w:lineRule="auto"/>
        <w:rPr>
          <w:sz w:val="20"/>
          <w:szCs w:val="20"/>
          <w:color w:val="auto"/>
        </w:rPr>
      </w:pPr>
      <w:r>
        <w:rPr>
          <w:rFonts w:ascii="Times New Roman" w:cs="Times New Roman" w:eastAsia="Times New Roman" w:hAnsi="Times New Roman"/>
          <w:sz w:val="18"/>
          <w:szCs w:val="18"/>
          <w:color w:val="auto"/>
        </w:rPr>
        <w:t>Adjusted EBITDA – Continuing Operations has limitations as an analytical tool, and you should not consider it in isolation from, or as a substitute for, analysis of our results as reported under GAAP. Some of these limitations are:</w:t>
      </w:r>
    </w:p>
    <w:p>
      <w:pPr>
        <w:spacing w:after="0" w:line="162" w:lineRule="exact"/>
        <w:rPr>
          <w:sz w:val="20"/>
          <w:szCs w:val="20"/>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 Continuing Operations does not reflect our cash expenditures or future requirements for capital expenditures or contractual commitments;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 Continuing Operations does not reflect changes in, or cash requirements for, our working capital needs;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 Continuing Operations does not reflect any cash requirements for such replacements;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 Continuing Operations does not include the impact of certain charges or gains resulting from matters we consider not to be indicative of our ongoing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these limitations, adjusted EBITDA – Continuing Operations should not be considered as a measure of discretionary cash available to us to invest in the growth of our business. We compensate for these limitations by relying primarily on our GAAP results and using Adjusted EBITDA Continuing Operations only as a supplement to our GAAP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Loss from Continuing Operations to Adjusted EBITDA Continuing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21"/>
                <w:szCs w:val="21"/>
                <w:color w:val="auto"/>
              </w:rPr>
            </w:pPr>
          </w:p>
        </w:tc>
        <w:tc>
          <w:tcPr>
            <w:tcW w:w="240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194"/>
        </w:trPr>
        <w:tc>
          <w:tcPr>
            <w:tcW w:w="59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gridSpan w:val="2"/>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(6,366,520)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(3,008,218)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(11,466,525)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(5,375,751)</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back:</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459,262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253,919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493,904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551,351</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(480,156)</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(3,240)</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(480,156)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cost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244,448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299,239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460,833</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579,435</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7,316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6,947</w:t>
            </w:r>
          </w:p>
        </w:tc>
        <w:tc>
          <w:tcPr>
            <w:tcW w:w="80" w:type="dxa"/>
            <w:vAlign w:val="bottom"/>
            <w:shd w:val="clear" w:color="auto" w:fill="CCEEFF"/>
          </w:tcPr>
          <w:p>
            <w:pPr>
              <w:spacing w:after="0"/>
              <w:rPr>
                <w:sz w:val="18"/>
                <w:szCs w:val="18"/>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2,632,118</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1,634,546</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4,499,107</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2,261,126</w:t>
            </w:r>
          </w:p>
        </w:tc>
        <w:tc>
          <w:tcPr>
            <w:tcW w:w="8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continuing operations (Non-GAAP)</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(3,023,376)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(1,299,642)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(5,857,821)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(2,457,048)</w:t>
            </w:r>
          </w:p>
        </w:tc>
      </w:tr>
      <w:tr>
        <w:trPr>
          <w:trHeight w:val="34"/>
        </w:trPr>
        <w:tc>
          <w:tcPr>
            <w:tcW w:w="59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loss continuing operations for the quarter and six months ended June 30, 2022, increased by approximately $1.7 million and $3.4 million due to the Company’s investment in people, technology, and marketing.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2022 and June 30, 2021 – Continuing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revenues from Verified software license were approximately $51,000 and $87,000 compared to approximately $18,000 and $33,000 in the three and six months ended June 30, 2021. Verified software license revenue increased as we acquired new customers.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Legacy authentication services revenues were $15,000 and $145,000, respectively during the three months and six months ended June 30, 2022 compared to approximately $128,000 and $262,000, respectively for the three months and six months ended June 30, 2021. Revenue from Legacy authentication services dropped significantly due to the loss of a large customer that decommissioned an older product offering as of April 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2022 compared to the three and six months ended June 30, 2021, general and administrative expense increased by approximately $2.1 million and $4.9 million principally due to higher non-cash stock compensation charges ($0.7 million and $2.3 million), higher compensation, marketing, and professional fee costs as the Company makes investment in people, marketing and its product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three-month and six-month periods ended June 30, 2022 compared to June 30, 2021, research and development expenses increased by approximately $0.6 million and $0.8 million as the Company increased staffing and third party resources as it focuses on key products initiatives.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2022 compared to June 30, 2021, depreciation and amortization expense was approximately $0.1 and $0.1 million less as the Company reduced the value of certain legacy business asset values.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during the three-month period ended June 30, 2022 compared to June 30, 2021 principally due to the issuance of $9.2 million of convertible notes in mid-March 2022. Interest expense decreased during the six months ended quarter ended June 30, 2022 as a majority of the 2020 convertible notes were outstanding for all of the period in 2021, and were converted into common shares at the end of June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of authID considers it in the best interests of the Company to focus its business activities on providing biometric identity verification products and services by means of our proprietary IDaaS platform. Accordingly, on May 4, 2022, the Board approved a plan to exit from certain non-core activities comprising the MultiPay correspondent bank, payments services in Colombia and the Card Plus cards manufacturing and printing business in South Africa.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Cards Plus business in South Africa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plans to exit the Cards Plus business and is in discussions with a buyer to purchase the Company’s interests in Cards Plus.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sale price is $300,000 less selling costs. In the six months ended June 30, 2022, the Cards Plus recorded an impairment charge of approximately $144,000 for certain intangible assets of Cards Plus.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MultiPay business in Colombia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plans to exit the MultiPay business in Colombia in an orderly fashion, honoring our obligations to employees, customers and under applicable laws and regulations. We plan to maintain our customer support and operations team in Bogota, which performs essential functions to support the global operations of our Verified family of products.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incur certain costs associated with its employees and other contractual obligations. MultiPay will continue to service its customer base in the interim as it will look to minimize all such costs and in addition to realize proceeds from the potential disposition or use of it assets.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as of June 30, 2022, has notified the customers and the impacted employees of the Company’s plan. The Company also communicated to each employee their compensation entitlements and severance packages under the MultiPay retention plan and obligations under the appropriate statutes.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the Company is working with a major customer to implement a transition plan to provide an essential service for certain bill pay services which will probably result in the leasing and sale of certain of MultiPay’s proprietary software as well as the assumption by the Customer of certain expenses.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six months ended June 30, 2022, MultiPay recorded $68,000 of additional expense for employee obligations during the transitional period. We should have a revenue offset to certain expenses as we solidify the sale of the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and six months ended June 30,2022, Cards Plus revenue was approximately $510,000 and $883,000, respectively. MultiPay revenue in those periods was approximately $69,000 and $138,000, respectively. Cards Plus had losses of $63,000 and $195,000, for the three and six months ended June 30, 2022, respectively. MultiPay had losses of approximately $143,000 and $212,000, respectively in the same periods.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of Cards Plus and the MultiPay have been classified as discontinued operations as of June 30, 2022, as all required classification criteria under appropriate accounting guidance were met as of June 30,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approximately $10.0 million of cash on hand and approximately $8.8 million of working capital as of June 30 ,2022, as the fund raise in March 2022 provided cash of approximately $11.4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has a $10.0 million unsecured working capital facility which has no borrowings outstanding as of June 30,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operating activities was approximately $6.5 million and $2.4 million in the six months ended June 30, 2022 and June 30, 2021,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financing activities in the six months ended June 30, 2022, was as follows:</w:t>
      </w:r>
    </w:p>
    <w:p>
      <w:pPr>
        <w:spacing w:after="0" w:line="225" w:lineRule="exact"/>
        <w:rPr>
          <w:sz w:val="20"/>
          <w:szCs w:val="20"/>
          <w:color w:val="auto"/>
        </w:rPr>
      </w:pPr>
    </w:p>
    <w:p>
      <w:pPr>
        <w:jc w:val="both"/>
        <w:ind w:left="980" w:hanging="324"/>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an SPA with the Note Investors, and, pursuant to the SPA, sold to the Note Investors the Convertible Notes with an aggregate initial principal amount of approximately $9.2 million and a conversion price of $3.70 per share. The Convertible Notes were sold with an aggregate cash origination fee of approximately $200,000, and issued a total of approximately 28,500 shares of our common stock to the Note Investors as an additional origination fee. Net proceeds from issuance of convertible notes are approximately $8 million.</w:t>
      </w:r>
    </w:p>
    <w:p>
      <w:pPr>
        <w:spacing w:after="0" w:line="179"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Subscription Agreements with the PIPE Investors, and, pursuant to the Subscription Agreements, sold to the PIPE Investors a total of 1,063,514 shares of our common stock at prices of $3.03 per share for an outside investor and $3.70 per share for the management investors. The aggregate gross proceeds from the PIPE are approximately $3.3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Company entered into a Credit Facility with an accredited investor, who is both a current shareholder of the Company and a Note Investor, pursuant to which the accredited investor agreed to provide a $10.0 million unsecured standby line of credit facility that will rank behind the Convertible Notes and may be drawn down in several tranches, subject to certain conditions described in the Credit Facility. Pursuant to the Credit Facility, the Company paid the lender a facility commitment fee of 100,000 shares of our common stock upon the effective date of the Credit Facility.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need additional capital in the future but because of the above financing activities, we believe we have sufficient funds and credit facilities to operate our business through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 19</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Covid-19 emerged globally in December 2019, and it has been declared a pandemic. Covid-19 is still impacting customers, business, results and financial condition throughout the world. The Company’s day-to-day operations have been impacted differently depending on geographic location and services that are being performed.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Recently we have seen our business opportunities develop more slowly as business partners and potential customers include Covid-19 considerations and working remotely can cause a delay in decision making and finalization of negotiations and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Ukraine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ongoing war in Ukraine may impact the Company and its operations in a number of different ways, which are yet to be fully assessed and are therefore causing uncertainty. The Company works with third party sub-contractors for outsourced services, including software engineering and development, some of whom are based in Eastern Europe, including Russia and Ukraine. The Company also works with outsourced engineers and developers and third-party providers in other parts of the world, including the United States, India, South Africa and South America. While the continuing impact of this conflict and the response of the United States and other countries to it by means of trade and economic sanctions, or other actions is still unknown, any disruption of our ability to work with such contractors caused by this conflict could require the Company to seek alternative sub-contractors at short notice, which may give rise to additional costs and delays in delivering software and product upgrades.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The uncertainty impacting and potential interruption in energy and other supply chains resulting from military hostilities in Europe and the response of the United States and other countries to it by means of trade and economic sanctions, or other actions, may give rise to increases in costs of goods and services generally and may impact the market for our products as prospective customers reconsider additional capital expenditure, or other investment plans until the situation becomes clearer. On the other hand, the threat of increased cyber-attacks from Russia or other countries may prompt enterprises to adopt additional security measures such as those offered by the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so long as the hostilities continue and perhaps even thereafter as the situation in Europe unfolds, we may see increased volatility in financial markets which may make it more difficult for the Company to raise additional capital at the time when it needs to do so, or for financing to be available on acceptable terms. All or any of these risks separately, or in combination, could have a material adverse effect on our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 off-balance sheet arrangements that are reasonably likely to have a current or future effect on our financial condition, changes in financial condition, revenues or expenses, results of operations, liquidity, capital expenditures or capital resources that is deemed by our management to be material to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Policies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recent material accounting policies that may be the most critical to understanding of the financial results and conditions are discussed in Note 1 of the unaudited financial statements.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the FASB issued a new standard (ASU 2021-06) to reduce the complexity of accounting for convertible debt and other equity-linked instruments. For certain convertible debt instruments with a cash conversion feature, the changes are a trade-off between simplifications in the accounting model (no separation of an “equity” component to impute a market interest rate, and simpler analysis of embedded equity features) and a potentially adverse impact to diluted EPS by requiring the use of the if-converted method. The new standard will also impact other financial instruments commonly issued by both public and private companies. For example, the separation model for beneficial conversion features is eliminated simplifying the analysis for issuers of convertible debt and convertible preferred stock. Also, certain specific requirements to achieve equity classification and/ or qualify for the derivative scope exception for contracts indexed to an entity’s own equity are removed, enabling more freestanding instruments and embedded features to avoid mark-to-market accounting. The new standard is effective for companies that are SEC filers (except for Smaller Reporting Companies) for fiscal years beginning after December 15, 2021 and interim periods within that year, and two years later for other companies. Companies can early adopt the standard at the start of a fiscal year beginning after December 15, 2021. The standard can either be adopted on a modified retrospective or a full retrospective basis. The Company is currently reviewing the newly issued standard and does not believe it will materially impact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include disclosure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our Chief Executive Officer and Chief Financial Officer performed an evaluation of the effectiveness of our disclosure controls and procedures as defined in Rules 13a-15(e) and 15d-15(e) of the Exchange Act. Based on the evaluation, the Chief Executive Officer and Chief Financial Officer concluded that, as of June 30, 2022, the Company’s disclosure controls and procedures are effective to ensure that the information required to be disclosed by the Company in the report that it files or submits under the Exchange Act is recorded, processed, summarized, and reported within the time periods specified in SEC rules and forms.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Rules 13a-15(f) and 15d-15(f) under the Exchange Act) that occurred during the six months ended June 30, 2022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a party to various legal or administrative proceedings arising in the ordinary course of business. While any litigation contains an element of uncertainty, we have no reason to believe the outcome of such proceedings will have a material adverse effect on the financial condition or results of operations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Risk factors describing the major risks to our business can be found under Item 1A, “Risk Factors”, in our Annual Report on Form 10-K for the year ended December 31, 2021. There has been no material change in our risk factors from those previously discussed in the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21, 2022, the Company entered into a Securities Purchase Agreement (“SPA”) with certain accredited investors, including certain directors of the Company or their affiliates (the “Note Investors”), and, pursuant to the SPA, sold to the Note Investors Senior Secured Convertible Notes (the “Convertible Notes”) with an aggregate initial principal amount of approximately $9.2 million and a conversion price of $3.70 per share. The Convertible Notes were sold with an aggregate cash origination fee of approximately $200,000, and we issued a total of approximately 28,500 shares of our common stock to the Note Investors as an additional origination fee. The Convertible Notes will accrue interest at the rate of 9.75% per annum, which will be payable in cash or, for some or all of the first five interest payments, in shares of our common stock at the Company’s option, on the last day of each calendar quarter before the maturity date and on the maturity date. The maturity date of the Convertible Notes is March 31, 2025.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18 and March 21, 2022, the Company entered into Subscription Agreements (the “Subscription Agreements”) with an accredited investor and certain members of authID’s management team (the “PIPE Investors”), and, pursuant to the Subscription Agreements, sold to the PIPE Investors a total of 1,063,514 shares of our common stock at prices of $3.03 per share for an outside investor and $3.70 per share for the management investors (the “PIPE”). The aggregate gross proceeds from the PIPE are approximately $3.3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Company entered into a Credit Facility with an accredited investor, who is both a current shareholder of the Company and a Note Investor, pursuant to which the accredited investor agreed to provide a $10.0 million unsecured standby line of credit facility that will rank behind the Convertible Notes and may be drawn down in several tranches, subject to certain conditions described in the Credit Facility. Pursuant to the Credit Facility, the Company agreed to pay the Lender a facility commitment fee of 100,000 shares of our common stock upon the effective date of the Facility Agreement.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2022, the Company issued approximately 186,488 shares of common stock pursuant to cashless exercises of common stock purchase warrants and options.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proceeds of the sale of the Convertible Notes and the PIPE were used to pay the expenses of those offerings and to provide working capital for the Company. The shares issued in connection with Convertible Notes, the PIPE and the Credit Facility were subsequently registered under a resale registration statement on Form S-3.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securities described herein been offered and sold pursuant to exemptions from the registration requirements of the Securities Act afforded by Section 4(a)(2) thereof and Rule 506 of Regulation D promulgated thereunder, for the sale of securities not involving a public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to our operations.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21, 2022, the Company entered into a Credit Facility with Stephen J. Garchik, who is both a current shareholder of the Company and holds Senior Secured Convertible Notes (“Garchik”), pursuant to which Garchik agreed to provide to the Company a $10.0 million unsecured standby line of credit facility that will rank behind the Senior Secured Convertible Notes and may be drawn down in several tranches, subject to certain conditions described in the Facility Agreement. Upon request by Garchik and until the full amount due under the Credit Facility is repaid in full, the Company will provide for the nomination of one designee specified in writing by Garchik for appointment to our board of directors and for subsequent election to our board of directors and to recommend such nominee for election to our board of directors. The Company will be entitled to reject any nominee upon reasonable grounds, or the nominee may not be elected by the stockholders, in which case Garchik may nominate another person to be a director.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18, 2022, Joseph Trelin, as Garchik’s designee under the Credit Facility, was appointed as a member of the Board of Directors of the Company. Except as set forth above, there is no understanding or arrangement between Mr. Trelin and any other person pursuant to which Mr. Trelin was selected as a director of the Company. Mr. Trelin does not have any family relationship with any director, executive officer or person nominated or chosen by us to become a director or an executive officer. Mr. Trelin has not had direct or indirect material interest in any transaction or proposed transaction in which the Company was or is a proposed participant exceeding $120,000.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18, 2022, Mr. Trelin entered into a letter agreement with the Company pursuant to which he was appointed as a director of the Company in consideration of (i) an initial equity award having a Black Scholes value on the date of grant of $270,000, subject to annual vesting of one-third of the common shares over three years on the date of each Annual Meeting commencing with the 2022 Annual Meeting and (b) commencing following the Company’s 2023 Annual Meeting, assuming Mr. Trelin is re-elected to office, an annual equity award having a Black Scholes value on the date of grant of $90,000, subject to vesting over twelve months.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25, 2022, Stuart Stoller indicated his intention to resign as Chief Financial Officer of the Company in connection with his planned retirement. The resignation and retirement were effective as of June 17, 2022.</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25, 2022, Hang Pham and the Company entered an Offer Letter pursuant to which Ms. Pham agreed to serve as Chief Financial Officer with a planned employment date commencing June 20, 2022. Ms. Pham will receive an annual salary of $275,000. The Company agreed to provide a bonus of 40% of the base salary (pro rated for 2022) based on achievement of performance milestones, calculated and payable in accordance with the corporate milestones approved by the Board for the year 2022. For subsequent fiscal years the bonus shall be subject to performance targets to be mutually agreed with the Compensation Committee of the Board. In addition, Ms. Pham received a signing bonus in the amount of $25,000, which is fully refundable to the Company if Ms. Pham leaves her employment voluntarily or is terminated for cause prior to the first anniversary of the commencement of employment. The employment of Ms. Pham will be at will and may be terminated at any time, with or without formal cause. The Company also entered an Executive Retention Agreement with Ms. Pham, pursuant to which the Company agreed to provide specified severance and bonus amounts and to accelerate the vesting on her equity awards upon termination upon a change of control or an involuntary termination, as each term is defined in the agreements. In the event of a termination upon a change of control or an involuntary termination, Ms. Pham is entitled to receive an amount equal to 100% of her base salary and the target bonus then in effect for the executive officer for the year in which such termination occurs. At the election of the executive officer, the Company will also continue to provide health related employee insurance coverage for up to twelve months, at the Company’s expense. Upon commencing employment, Ms. Pham was granted an option to acquire 350,000 shares of common stock at an exercise price of $2.41, an exercise period of ten years and is subject to certain performance vesting requirements.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45"/>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26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760" w:type="dxa"/>
            <w:vAlign w:val="bottom"/>
            <w:tcBorders>
              <w:top w:val="single" w:sz="8" w:color="auto"/>
              <w:bottom w:val="single" w:sz="8" w:color="CCEEFF"/>
            </w:tcBorders>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580" w:type="dxa"/>
            <w:vAlign w:val="bottom"/>
            <w:tcBorders>
              <w:top w:val="single" w:sz="8" w:color="auto"/>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Amended &amp; Restated Certificate of Incorporation</w:t>
              </w:r>
            </w:hyperlink>
          </w:p>
        </w:tc>
        <w:tc>
          <w:tcPr>
            <w:tcW w:w="6520" w:type="dxa"/>
            <w:vAlign w:val="bottom"/>
            <w:tcBorders>
              <w:top w:val="single" w:sz="8" w:color="auto"/>
              <w:bottom w:val="single" w:sz="8" w:color="CCEEFF"/>
            </w:tcBorders>
            <w:gridSpan w:val="24"/>
            <w:shd w:val="clear" w:color="auto" w:fill="CCEEFF"/>
          </w:tcPr>
          <w:p>
            <w:pPr>
              <w:spacing w:after="0"/>
              <w:rPr>
                <w:sz w:val="17"/>
                <w:szCs w:val="17"/>
                <w:color w:val="auto"/>
              </w:rPr>
            </w:pPr>
          </w:p>
        </w:tc>
      </w:tr>
      <w:tr>
        <w:trPr>
          <w:trHeight w:val="176"/>
        </w:trPr>
        <w:tc>
          <w:tcPr>
            <w:tcW w:w="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7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5"/>
                <w:szCs w:val="15"/>
                <w:color w:val="auto"/>
              </w:rPr>
            </w:pPr>
          </w:p>
        </w:tc>
        <w:tc>
          <w:tcPr>
            <w:tcW w:w="10100" w:type="dxa"/>
            <w:vAlign w:val="bottom"/>
            <w:gridSpan w:val="37"/>
          </w:tcPr>
          <w:p>
            <w:pPr>
              <w:spacing w:after="0" w:line="17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Amended &amp; Restated Bylaws of authID Inc. as of July 18, 2022</w:t>
              </w:r>
            </w:hyperlink>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2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76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5"/>
                <w:szCs w:val="15"/>
                <w:color w:val="auto"/>
              </w:rPr>
            </w:pPr>
          </w:p>
        </w:tc>
        <w:tc>
          <w:tcPr>
            <w:tcW w:w="10100" w:type="dxa"/>
            <w:vAlign w:val="bottom"/>
            <w:gridSpan w:val="37"/>
            <w:shd w:val="clear" w:color="auto" w:fill="CCEEFF"/>
          </w:tcPr>
          <w:p>
            <w:pPr>
              <w:spacing w:after="0" w:line="17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Certificate of Amendment dated June 1, 2021</w:t>
              </w:r>
            </w:hyperlink>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7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5"/>
                <w:szCs w:val="15"/>
                <w:color w:val="auto"/>
              </w:rPr>
            </w:pPr>
          </w:p>
        </w:tc>
        <w:tc>
          <w:tcPr>
            <w:tcW w:w="10100" w:type="dxa"/>
            <w:vAlign w:val="bottom"/>
            <w:gridSpan w:val="37"/>
          </w:tcPr>
          <w:p>
            <w:pPr>
              <w:spacing w:after="0" w:line="17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Certificate of Amendment to its Amended and Restated Certificate of Incorporation as of July 18, 2022</w:t>
              </w:r>
            </w:hyperlink>
          </w:p>
        </w:tc>
      </w:tr>
      <w:tr>
        <w:trPr>
          <w:trHeight w:val="21"/>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2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76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5"/>
                <w:szCs w:val="15"/>
                <w:color w:val="auto"/>
              </w:rPr>
            </w:pPr>
          </w:p>
        </w:tc>
        <w:tc>
          <w:tcPr>
            <w:tcW w:w="10100" w:type="dxa"/>
            <w:vAlign w:val="bottom"/>
            <w:gridSpan w:val="37"/>
            <w:shd w:val="clear" w:color="auto" w:fill="CCEEFF"/>
          </w:tcPr>
          <w:p>
            <w:pPr>
              <w:spacing w:after="0" w:line="17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Form of Stock Option</w:t>
              </w:r>
            </w:hyperlink>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7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5"/>
                <w:szCs w:val="15"/>
                <w:color w:val="auto"/>
              </w:rPr>
            </w:pPr>
          </w:p>
        </w:tc>
        <w:tc>
          <w:tcPr>
            <w:tcW w:w="10100" w:type="dxa"/>
            <w:vAlign w:val="bottom"/>
            <w:gridSpan w:val="37"/>
          </w:tcPr>
          <w:p>
            <w:pPr>
              <w:spacing w:after="0" w:line="17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Form of 8.0% Convertible Note</w:t>
              </w:r>
            </w:hyperlink>
          </w:p>
        </w:tc>
      </w:tr>
      <w:tr>
        <w:trPr>
          <w:trHeight w:val="21"/>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6"/>
        </w:trPr>
        <w:tc>
          <w:tcPr>
            <w:tcW w:w="2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76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5"/>
                <w:szCs w:val="15"/>
                <w:color w:val="auto"/>
              </w:rPr>
            </w:pPr>
          </w:p>
        </w:tc>
        <w:tc>
          <w:tcPr>
            <w:tcW w:w="10100" w:type="dxa"/>
            <w:vAlign w:val="bottom"/>
            <w:gridSpan w:val="37"/>
            <w:shd w:val="clear" w:color="auto" w:fill="CCEEFF"/>
          </w:tcPr>
          <w:p>
            <w:pPr>
              <w:spacing w:after="0" w:line="17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Form of 15.0% Convertible Note</w:t>
              </w:r>
            </w:hyperlink>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7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5"/>
                <w:szCs w:val="15"/>
                <w:color w:val="auto"/>
              </w:rPr>
            </w:pPr>
          </w:p>
        </w:tc>
        <w:tc>
          <w:tcPr>
            <w:tcW w:w="10100" w:type="dxa"/>
            <w:vAlign w:val="bottom"/>
            <w:gridSpan w:val="37"/>
          </w:tcPr>
          <w:p>
            <w:pPr>
              <w:spacing w:after="0" w:line="17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Amended and Restated Promissory Note issued to The Theodore Stern Revocable Trust</w:t>
              </w:r>
            </w:hyperlink>
          </w:p>
        </w:tc>
      </w:tr>
      <w:tr>
        <w:trPr>
          <w:trHeight w:val="21"/>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2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760" w:type="dxa"/>
            <w:vAlign w:val="bottom"/>
            <w:tcBorders>
              <w:bottom w:val="single" w:sz="8" w:color="CCEEFF"/>
            </w:tcBorders>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Paycheck Protection Program Term Note dated May 6, 2020</w:t>
              </w:r>
            </w:hyperlink>
          </w:p>
        </w:tc>
        <w:tc>
          <w:tcPr>
            <w:tcW w:w="5740" w:type="dxa"/>
            <w:vAlign w:val="bottom"/>
            <w:tcBorders>
              <w:bottom w:val="single" w:sz="8" w:color="CCEEFF"/>
            </w:tcBorders>
            <w:gridSpan w:val="23"/>
            <w:shd w:val="clear" w:color="auto" w:fill="CCEEFF"/>
          </w:tcPr>
          <w:p>
            <w:pPr>
              <w:spacing w:after="0"/>
              <w:rPr>
                <w:sz w:val="17"/>
                <w:szCs w:val="17"/>
                <w:color w:val="auto"/>
              </w:rPr>
            </w:pPr>
          </w:p>
        </w:tc>
      </w:tr>
      <w:tr>
        <w:trPr>
          <w:trHeight w:val="175"/>
        </w:trPr>
        <w:tc>
          <w:tcPr>
            <w:tcW w:w="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7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5"/>
                <w:szCs w:val="15"/>
                <w:color w:val="auto"/>
              </w:rPr>
            </w:pPr>
          </w:p>
        </w:tc>
        <w:tc>
          <w:tcPr>
            <w:tcW w:w="10100" w:type="dxa"/>
            <w:vAlign w:val="bottom"/>
            <w:gridSpan w:val="37"/>
          </w:tcPr>
          <w:p>
            <w:pPr>
              <w:spacing w:after="0" w:line="17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Paycheck Protection Program Term Note dated February 1, 2021</w:t>
              </w:r>
            </w:hyperlink>
          </w:p>
        </w:tc>
      </w:tr>
      <w:tr>
        <w:trPr>
          <w:trHeight w:val="21"/>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2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760" w:type="dxa"/>
            <w:vAlign w:val="bottom"/>
            <w:tcBorders>
              <w:bottom w:val="single" w:sz="8" w:color="CCEEFF"/>
            </w:tcBorders>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17"/>
                <w:szCs w:val="17"/>
                <w:color w:val="auto"/>
              </w:rPr>
            </w:pPr>
          </w:p>
        </w:tc>
        <w:tc>
          <w:tcPr>
            <w:tcW w:w="296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8"/>
              </w:rPr>
            </w:pPr>
            <w:hyperlink r:id="rId50">
              <w:r>
                <w:rPr>
                  <w:rFonts w:ascii="Times New Roman" w:cs="Times New Roman" w:eastAsia="Times New Roman" w:hAnsi="Times New Roman"/>
                  <w:sz w:val="18"/>
                  <w:szCs w:val="18"/>
                  <w:color w:val="0000EE"/>
                  <w:w w:val="98"/>
                </w:rPr>
                <w:t>Description of the Registrant’s Securities</w:t>
              </w:r>
            </w:hyperlink>
          </w:p>
        </w:tc>
        <w:tc>
          <w:tcPr>
            <w:tcW w:w="7140" w:type="dxa"/>
            <w:vAlign w:val="bottom"/>
            <w:tcBorders>
              <w:bottom w:val="single" w:sz="8" w:color="CCEEFF"/>
            </w:tcBorders>
            <w:gridSpan w:val="26"/>
            <w:shd w:val="clear" w:color="auto" w:fill="CCEEFF"/>
          </w:tcPr>
          <w:p>
            <w:pPr>
              <w:spacing w:after="0"/>
              <w:rPr>
                <w:sz w:val="17"/>
                <w:szCs w:val="17"/>
                <w:color w:val="auto"/>
              </w:rPr>
            </w:pPr>
          </w:p>
        </w:tc>
      </w:tr>
      <w:tr>
        <w:trPr>
          <w:trHeight w:val="175"/>
        </w:trPr>
        <w:tc>
          <w:tcPr>
            <w:tcW w:w="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6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5"/>
                <w:szCs w:val="15"/>
                <w:color w:val="auto"/>
              </w:rPr>
            </w:pPr>
          </w:p>
        </w:tc>
        <w:tc>
          <w:tcPr>
            <w:tcW w:w="10100" w:type="dxa"/>
            <w:vAlign w:val="bottom"/>
            <w:gridSpan w:val="37"/>
          </w:tcPr>
          <w:p>
            <w:pPr>
              <w:spacing w:after="0" w:line="17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Form of Director Agreement</w:t>
              </w:r>
            </w:hyperlink>
          </w:p>
        </w:tc>
      </w:tr>
      <w:tr>
        <w:trPr>
          <w:trHeight w:val="21"/>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3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6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5"/>
                <w:szCs w:val="15"/>
                <w:color w:val="auto"/>
              </w:rPr>
            </w:pPr>
          </w:p>
        </w:tc>
        <w:tc>
          <w:tcPr>
            <w:tcW w:w="10100" w:type="dxa"/>
            <w:vAlign w:val="bottom"/>
            <w:gridSpan w:val="37"/>
            <w:shd w:val="clear" w:color="auto" w:fill="CCEEFF"/>
          </w:tcPr>
          <w:p>
            <w:pPr>
              <w:spacing w:after="0" w:line="17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Form of Indemnification Agreement</w:t>
              </w:r>
            </w:hyperlink>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6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5"/>
                <w:szCs w:val="15"/>
                <w:color w:val="auto"/>
              </w:rPr>
            </w:pPr>
          </w:p>
        </w:tc>
        <w:tc>
          <w:tcPr>
            <w:tcW w:w="10100" w:type="dxa"/>
            <w:vAlign w:val="bottom"/>
            <w:gridSpan w:val="37"/>
          </w:tcPr>
          <w:p>
            <w:pPr>
              <w:spacing w:after="0" w:line="17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Executive Retention Agreement entered between the Company and Stuart P. Stoller dated January 31, 2017</w:t>
              </w:r>
            </w:hyperlink>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3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6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7"/>
                <w:szCs w:val="17"/>
                <w:color w:val="auto"/>
              </w:rPr>
            </w:pPr>
          </w:p>
        </w:tc>
        <w:tc>
          <w:tcPr>
            <w:tcW w:w="10100" w:type="dxa"/>
            <w:vAlign w:val="bottom"/>
            <w:gridSpan w:val="37"/>
            <w:shd w:val="clear" w:color="auto" w:fill="CCEEFF"/>
          </w:tcPr>
          <w:p>
            <w:pPr>
              <w:spacing w:after="0" w:line="17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Executive Retention Agreement entered between the Company and Thomas Szoke dated January 31, 2017</w:t>
              </w:r>
            </w:hyperlink>
          </w:p>
        </w:tc>
      </w:tr>
      <w:tr>
        <w:trPr>
          <w:trHeight w:val="175"/>
        </w:trPr>
        <w:tc>
          <w:tcPr>
            <w:tcW w:w="3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680" w:type="dxa"/>
            <w:vAlign w:val="bottom"/>
            <w:tcBorders>
              <w:top w:val="single" w:sz="8" w:color="CCEEFF"/>
            </w:tcBorders>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tcBorders>
          </w:tcPr>
          <w:p>
            <w:pPr>
              <w:spacing w:after="0"/>
              <w:rPr>
                <w:sz w:val="15"/>
                <w:szCs w:val="15"/>
                <w:color w:val="auto"/>
              </w:rPr>
            </w:pPr>
          </w:p>
        </w:tc>
        <w:tc>
          <w:tcPr>
            <w:tcW w:w="7660" w:type="dxa"/>
            <w:vAlign w:val="bottom"/>
            <w:tcBorders>
              <w:top w:val="single" w:sz="8" w:color="0000EE"/>
            </w:tcBorders>
            <w:gridSpan w:val="27"/>
          </w:tcPr>
          <w:p>
            <w:pPr>
              <w:spacing w:after="0" w:line="17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2017 Incentive Stock Plan</w:t>
              </w:r>
            </w:hyperlink>
          </w:p>
        </w:tc>
        <w:tc>
          <w:tcPr>
            <w:tcW w:w="2440" w:type="dxa"/>
            <w:vAlign w:val="bottom"/>
            <w:tcBorders>
              <w:top w:val="single" w:sz="8" w:color="CCEEFF"/>
            </w:tcBorders>
            <w:gridSpan w:val="10"/>
          </w:tcPr>
          <w:p>
            <w:pPr>
              <w:spacing w:after="0"/>
              <w:rPr>
                <w:sz w:val="15"/>
                <w:szCs w:val="15"/>
                <w:color w:val="auto"/>
              </w:rPr>
            </w:pPr>
          </w:p>
        </w:tc>
      </w:tr>
      <w:tr>
        <w:trPr>
          <w:trHeight w:val="21"/>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3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6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7"/>
                <w:szCs w:val="17"/>
                <w:color w:val="auto"/>
              </w:rPr>
            </w:pPr>
          </w:p>
        </w:tc>
        <w:tc>
          <w:tcPr>
            <w:tcW w:w="10100" w:type="dxa"/>
            <w:vAlign w:val="bottom"/>
            <w:gridSpan w:val="37"/>
            <w:shd w:val="clear" w:color="auto" w:fill="CCEEFF"/>
          </w:tcPr>
          <w:p>
            <w:pPr>
              <w:spacing w:after="0" w:line="17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Executive Retention Agreement entered between the Company and Thomas L. Thimot dated June 14, 2021</w:t>
              </w:r>
            </w:hyperlink>
          </w:p>
        </w:tc>
      </w:tr>
      <w:tr>
        <w:trPr>
          <w:trHeight w:val="175"/>
        </w:trPr>
        <w:tc>
          <w:tcPr>
            <w:tcW w:w="3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680" w:type="dxa"/>
            <w:vAlign w:val="bottom"/>
            <w:tcBorders>
              <w:top w:val="single" w:sz="8" w:color="CCEEFF"/>
            </w:tcBorders>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tcPr>
          <w:p>
            <w:pPr>
              <w:spacing w:after="0"/>
              <w:rPr>
                <w:sz w:val="15"/>
                <w:szCs w:val="15"/>
                <w:color w:val="auto"/>
              </w:rPr>
            </w:pPr>
          </w:p>
        </w:tc>
        <w:tc>
          <w:tcPr>
            <w:tcW w:w="7720" w:type="dxa"/>
            <w:vAlign w:val="bottom"/>
            <w:tcBorders>
              <w:top w:val="single" w:sz="8" w:color="0000EE"/>
            </w:tcBorders>
            <w:gridSpan w:val="29"/>
          </w:tcPr>
          <w:p>
            <w:pPr>
              <w:spacing w:after="0" w:line="17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Executive Retention Agreement entered between the Company and Cecil N. Smith III dated June 14, 2021</w:t>
              </w:r>
            </w:hyperlink>
          </w:p>
        </w:tc>
        <w:tc>
          <w:tcPr>
            <w:tcW w:w="2380" w:type="dxa"/>
            <w:vAlign w:val="bottom"/>
            <w:tcBorders>
              <w:top w:val="single" w:sz="8" w:color="CCEEFF"/>
            </w:tcBorders>
            <w:gridSpan w:val="8"/>
          </w:tcPr>
          <w:p>
            <w:pPr>
              <w:spacing w:after="0"/>
              <w:rPr>
                <w:sz w:val="15"/>
                <w:szCs w:val="15"/>
                <w:color w:val="auto"/>
              </w:rPr>
            </w:pPr>
          </w:p>
        </w:tc>
      </w:tr>
      <w:tr>
        <w:trPr>
          <w:trHeight w:val="21"/>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680" w:type="dxa"/>
            <w:vAlign w:val="bottom"/>
            <w:tcBorders>
              <w:bottom w:val="single" w:sz="8" w:color="CCEEFF"/>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612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Letter Agreement between the Company and Thomas L. Thimot dated June 14, 2021</w:t>
              </w:r>
            </w:hyperlink>
          </w:p>
        </w:tc>
        <w:tc>
          <w:tcPr>
            <w:tcW w:w="3980" w:type="dxa"/>
            <w:vAlign w:val="bottom"/>
            <w:tcBorders>
              <w:bottom w:val="single" w:sz="8" w:color="CCEEFF"/>
            </w:tcBorders>
            <w:gridSpan w:val="17"/>
            <w:shd w:val="clear" w:color="auto" w:fill="CCEEFF"/>
          </w:tcPr>
          <w:p>
            <w:pPr>
              <w:spacing w:after="0"/>
              <w:rPr>
                <w:sz w:val="17"/>
                <w:szCs w:val="17"/>
                <w:color w:val="auto"/>
              </w:rPr>
            </w:pPr>
          </w:p>
        </w:tc>
      </w:tr>
      <w:tr>
        <w:trPr>
          <w:trHeight w:val="175"/>
        </w:trPr>
        <w:tc>
          <w:tcPr>
            <w:tcW w:w="4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5"/>
                <w:szCs w:val="15"/>
                <w:color w:val="auto"/>
              </w:rPr>
            </w:pPr>
          </w:p>
        </w:tc>
        <w:tc>
          <w:tcPr>
            <w:tcW w:w="10100" w:type="dxa"/>
            <w:vAlign w:val="bottom"/>
            <w:gridSpan w:val="37"/>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Letter Agreement between the Company and Cecil N. Smith III dated June 14, 2021</w:t>
              </w:r>
            </w:hyperlink>
          </w:p>
        </w:tc>
      </w:tr>
      <w:tr>
        <w:trPr>
          <w:trHeight w:val="21"/>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 (13)</w:t>
            </w:r>
          </w:p>
        </w:tc>
        <w:tc>
          <w:tcPr>
            <w:tcW w:w="120" w:type="dxa"/>
            <w:vAlign w:val="bottom"/>
            <w:tcBorders>
              <w:bottom w:val="single" w:sz="8" w:color="CCEEFF"/>
            </w:tcBorders>
            <w:shd w:val="clear" w:color="auto" w:fill="CCEEFF"/>
          </w:tcPr>
          <w:p>
            <w:pPr>
              <w:spacing w:after="0"/>
              <w:rPr>
                <w:sz w:val="17"/>
                <w:szCs w:val="17"/>
                <w:color w:val="auto"/>
              </w:rPr>
            </w:pPr>
          </w:p>
        </w:tc>
        <w:tc>
          <w:tcPr>
            <w:tcW w:w="670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Letter Agreement between the Company and Phillip L. Kumnick dated as November 5, 2021</w:t>
              </w:r>
            </w:hyperlink>
          </w:p>
        </w:tc>
        <w:tc>
          <w:tcPr>
            <w:tcW w:w="3400" w:type="dxa"/>
            <w:vAlign w:val="bottom"/>
            <w:tcBorders>
              <w:bottom w:val="single" w:sz="8" w:color="CCEEFF"/>
            </w:tcBorders>
            <w:gridSpan w:val="14"/>
            <w:shd w:val="clear" w:color="auto" w:fill="CCEEFF"/>
          </w:tcPr>
          <w:p>
            <w:pPr>
              <w:spacing w:after="0"/>
              <w:rPr>
                <w:sz w:val="17"/>
                <w:szCs w:val="17"/>
                <w:color w:val="auto"/>
              </w:rPr>
            </w:pPr>
          </w:p>
        </w:tc>
      </w:tr>
      <w:tr>
        <w:trPr>
          <w:trHeight w:val="175"/>
        </w:trPr>
        <w:tc>
          <w:tcPr>
            <w:tcW w:w="4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5"/>
                <w:szCs w:val="15"/>
                <w:color w:val="auto"/>
              </w:rPr>
            </w:pPr>
          </w:p>
        </w:tc>
        <w:tc>
          <w:tcPr>
            <w:tcW w:w="10100" w:type="dxa"/>
            <w:vAlign w:val="bottom"/>
            <w:gridSpan w:val="37"/>
          </w:tcPr>
          <w:p>
            <w:pPr>
              <w:spacing w:after="0" w:line="17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Letter Agreement between the Company and Philip R. Broenniman dated as November 5, 2021</w:t>
              </w:r>
            </w:hyperlink>
          </w:p>
        </w:tc>
      </w:tr>
      <w:tr>
        <w:trPr>
          <w:trHeight w:val="21"/>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4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5"/>
                <w:szCs w:val="15"/>
                <w:color w:val="auto"/>
              </w:rPr>
            </w:pPr>
          </w:p>
        </w:tc>
        <w:tc>
          <w:tcPr>
            <w:tcW w:w="10100" w:type="dxa"/>
            <w:vAlign w:val="bottom"/>
            <w:gridSpan w:val="37"/>
            <w:shd w:val="clear" w:color="auto" w:fill="CCEEFF"/>
          </w:tcPr>
          <w:p>
            <w:pPr>
              <w:spacing w:after="0" w:line="17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AuthID Inc. 2021 Equity Incentive Plan</w:t>
              </w:r>
            </w:hyperlink>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5"/>
                <w:szCs w:val="15"/>
                <w:color w:val="auto"/>
              </w:rPr>
            </w:pPr>
          </w:p>
        </w:tc>
        <w:tc>
          <w:tcPr>
            <w:tcW w:w="10100" w:type="dxa"/>
            <w:vAlign w:val="bottom"/>
            <w:gridSpan w:val="37"/>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Letter Agreement between AuthID Inc. and Thomas Szoke dated November 19, 2021</w:t>
              </w:r>
            </w:hyperlink>
          </w:p>
        </w:tc>
      </w:tr>
      <w:tr>
        <w:trPr>
          <w:trHeight w:val="21"/>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58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17"/>
                <w:szCs w:val="17"/>
                <w:color w:val="auto"/>
              </w:rPr>
            </w:pPr>
          </w:p>
        </w:tc>
        <w:tc>
          <w:tcPr>
            <w:tcW w:w="8780" w:type="dxa"/>
            <w:vAlign w:val="bottom"/>
            <w:tcBorders>
              <w:bottom w:val="single" w:sz="8" w:color="0000EE"/>
            </w:tcBorders>
            <w:gridSpan w:val="35"/>
            <w:shd w:val="clear" w:color="auto" w:fill="CCEEFF"/>
          </w:tcPr>
          <w:p>
            <w:pPr>
              <w:spacing w:after="0" w:line="17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Form of Securities Purchase Agreement entered into between the Company and the Note Investors dated March 21, 2022.</w:t>
              </w:r>
            </w:hyperlink>
          </w:p>
        </w:tc>
        <w:tc>
          <w:tcPr>
            <w:tcW w:w="1320" w:type="dxa"/>
            <w:vAlign w:val="bottom"/>
            <w:tcBorders>
              <w:bottom w:val="single" w:sz="8" w:color="CCEEFF"/>
            </w:tcBorders>
            <w:gridSpan w:val="2"/>
            <w:shd w:val="clear" w:color="auto" w:fill="CCEEFF"/>
          </w:tcPr>
          <w:p>
            <w:pPr>
              <w:spacing w:after="0"/>
              <w:rPr>
                <w:sz w:val="17"/>
                <w:szCs w:val="17"/>
                <w:color w:val="auto"/>
              </w:rPr>
            </w:pPr>
          </w:p>
        </w:tc>
      </w:tr>
      <w:tr>
        <w:trPr>
          <w:trHeight w:val="175"/>
        </w:trPr>
        <w:tc>
          <w:tcPr>
            <w:tcW w:w="4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5"/>
                <w:szCs w:val="15"/>
                <w:color w:val="auto"/>
              </w:rPr>
            </w:pPr>
          </w:p>
        </w:tc>
        <w:tc>
          <w:tcPr>
            <w:tcW w:w="10100" w:type="dxa"/>
            <w:vAlign w:val="bottom"/>
            <w:gridSpan w:val="37"/>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Form of Senior Secured Convertible Note issued by the Company to the Note Investors dated March 21, 2022.</w:t>
              </w:r>
            </w:hyperlink>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58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17"/>
                <w:szCs w:val="17"/>
                <w:color w:val="auto"/>
              </w:rPr>
            </w:pPr>
          </w:p>
        </w:tc>
        <w:tc>
          <w:tcPr>
            <w:tcW w:w="9660" w:type="dxa"/>
            <w:vAlign w:val="bottom"/>
            <w:tcBorders>
              <w:bottom w:val="single" w:sz="8" w:color="0000EE"/>
            </w:tcBorders>
            <w:gridSpan w:val="36"/>
            <w:shd w:val="clear" w:color="auto" w:fill="CCEEFF"/>
          </w:tcPr>
          <w:p>
            <w:pPr>
              <w:spacing w:after="0" w:line="17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Security and Pledge Agreement entered into between the Company and Stephen J. Garchik as Collateral Agent dated March 21, 2022.</w:t>
              </w:r>
            </w:hyperlink>
          </w:p>
        </w:tc>
        <w:tc>
          <w:tcPr>
            <w:tcW w:w="440" w:type="dxa"/>
            <w:vAlign w:val="bottom"/>
            <w:tcBorders>
              <w:bottom w:val="single" w:sz="8" w:color="CCEEFF"/>
            </w:tcBorders>
            <w:shd w:val="clear" w:color="auto" w:fill="CCEEFF"/>
          </w:tcPr>
          <w:p>
            <w:pPr>
              <w:spacing w:after="0"/>
              <w:rPr>
                <w:sz w:val="17"/>
                <w:szCs w:val="17"/>
                <w:color w:val="auto"/>
              </w:rPr>
            </w:pPr>
          </w:p>
        </w:tc>
      </w:tr>
      <w:tr>
        <w:trPr>
          <w:trHeight w:val="175"/>
        </w:trPr>
        <w:tc>
          <w:tcPr>
            <w:tcW w:w="4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5"/>
                <w:szCs w:val="15"/>
                <w:color w:val="auto"/>
              </w:rPr>
            </w:pPr>
          </w:p>
        </w:tc>
        <w:tc>
          <w:tcPr>
            <w:tcW w:w="10100" w:type="dxa"/>
            <w:vAlign w:val="bottom"/>
            <w:gridSpan w:val="37"/>
          </w:tcPr>
          <w:p>
            <w:pPr>
              <w:spacing w:after="0" w:line="17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Form of Registration Rights Agreement entered into between the Company and the Note Investors dated March 21, 2022.</w:t>
              </w:r>
            </w:hyperlink>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58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17"/>
                <w:szCs w:val="17"/>
                <w:color w:val="auto"/>
              </w:rPr>
            </w:pPr>
          </w:p>
        </w:tc>
        <w:tc>
          <w:tcPr>
            <w:tcW w:w="734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Facility Agreement entered into between the Company and Stephen J. Garchik dated March 21, 2022.</w:t>
              </w:r>
            </w:hyperlink>
          </w:p>
        </w:tc>
        <w:tc>
          <w:tcPr>
            <w:tcW w:w="2760" w:type="dxa"/>
            <w:vAlign w:val="bottom"/>
            <w:tcBorders>
              <w:bottom w:val="single" w:sz="8" w:color="CCEEFF"/>
            </w:tcBorders>
            <w:gridSpan w:val="12"/>
            <w:shd w:val="clear" w:color="auto" w:fill="CCEEFF"/>
          </w:tcPr>
          <w:p>
            <w:pPr>
              <w:spacing w:after="0"/>
              <w:rPr>
                <w:sz w:val="17"/>
                <w:szCs w:val="17"/>
                <w:color w:val="auto"/>
              </w:rPr>
            </w:pPr>
          </w:p>
        </w:tc>
      </w:tr>
      <w:tr>
        <w:trPr>
          <w:trHeight w:val="175"/>
        </w:trPr>
        <w:tc>
          <w:tcPr>
            <w:tcW w:w="4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5"/>
                <w:szCs w:val="15"/>
                <w:color w:val="auto"/>
              </w:rPr>
            </w:pPr>
          </w:p>
        </w:tc>
        <w:tc>
          <w:tcPr>
            <w:tcW w:w="10100" w:type="dxa"/>
            <w:vAlign w:val="bottom"/>
            <w:gridSpan w:val="37"/>
          </w:tcPr>
          <w:p>
            <w:pPr>
              <w:spacing w:after="0" w:line="17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Form of Subscription Agreement entered into between the Company and the PIPE Investors dated March 21, 2022.</w:t>
              </w:r>
            </w:hyperlink>
          </w:p>
        </w:tc>
      </w:tr>
      <w:tr>
        <w:trPr>
          <w:trHeight w:val="21"/>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7"/>
                <w:szCs w:val="17"/>
                <w:color w:val="auto"/>
              </w:rPr>
            </w:pPr>
          </w:p>
        </w:tc>
        <w:tc>
          <w:tcPr>
            <w:tcW w:w="10100" w:type="dxa"/>
            <w:vAlign w:val="bottom"/>
            <w:gridSpan w:val="37"/>
            <w:shd w:val="clear" w:color="auto" w:fill="CCEEFF"/>
          </w:tcPr>
          <w:p>
            <w:pPr>
              <w:spacing w:after="0" w:line="17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Letter Agreement between Joseph Trelin and AuthID Inc. dated April 18, 2022</w:t>
              </w:r>
            </w:hyperlink>
          </w:p>
        </w:tc>
      </w:tr>
      <w:tr>
        <w:trPr>
          <w:trHeight w:val="175"/>
        </w:trPr>
        <w:tc>
          <w:tcPr>
            <w:tcW w:w="44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58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tcBorders>
          </w:tcPr>
          <w:p>
            <w:pPr>
              <w:spacing w:after="0"/>
              <w:rPr>
                <w:sz w:val="15"/>
                <w:szCs w:val="15"/>
                <w:color w:val="auto"/>
              </w:rPr>
            </w:pPr>
          </w:p>
        </w:tc>
        <w:tc>
          <w:tcPr>
            <w:tcW w:w="5680" w:type="dxa"/>
            <w:vAlign w:val="bottom"/>
            <w:tcBorders>
              <w:top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Letter Agreement between Annie Pham and AuthID Inc. dated April 25, 2022</w:t>
              </w:r>
            </w:hyperlink>
          </w:p>
        </w:tc>
        <w:tc>
          <w:tcPr>
            <w:tcW w:w="4420" w:type="dxa"/>
            <w:vAlign w:val="bottom"/>
            <w:tcBorders>
              <w:top w:val="single" w:sz="8" w:color="CCEEFF"/>
            </w:tcBorders>
            <w:gridSpan w:val="19"/>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680" w:type="dxa"/>
            <w:vAlign w:val="bottom"/>
            <w:tcBorders>
              <w:bottom w:val="single" w:sz="8" w:color="CCEEFF"/>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Code of Ethics</w:t>
              </w:r>
            </w:hyperlink>
          </w:p>
        </w:tc>
        <w:tc>
          <w:tcPr>
            <w:tcW w:w="9020" w:type="dxa"/>
            <w:vAlign w:val="bottom"/>
            <w:tcBorders>
              <w:bottom w:val="single" w:sz="8" w:color="CCEEFF"/>
            </w:tcBorders>
            <w:gridSpan w:val="36"/>
            <w:shd w:val="clear" w:color="auto" w:fill="CCEEFF"/>
          </w:tcPr>
          <w:p>
            <w:pPr>
              <w:spacing w:after="0"/>
              <w:rPr>
                <w:sz w:val="17"/>
                <w:szCs w:val="17"/>
                <w:color w:val="auto"/>
              </w:rPr>
            </w:pPr>
          </w:p>
        </w:tc>
      </w:tr>
      <w:tr>
        <w:trPr>
          <w:trHeight w:val="175"/>
        </w:trPr>
        <w:tc>
          <w:tcPr>
            <w:tcW w:w="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6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5"/>
                <w:szCs w:val="15"/>
                <w:color w:val="auto"/>
              </w:rPr>
            </w:pPr>
          </w:p>
        </w:tc>
        <w:tc>
          <w:tcPr>
            <w:tcW w:w="10100" w:type="dxa"/>
            <w:vAlign w:val="bottom"/>
            <w:gridSpan w:val="37"/>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List of Subsidiaries</w:t>
              </w:r>
            </w:hyperlink>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Rule 13a-14(a)/15d-14(a) of the Securities Exchange Act</w:t>
            </w:r>
          </w:p>
        </w:tc>
      </w:tr>
      <w:tr>
        <w:trPr>
          <w:trHeight w:val="176"/>
        </w:trPr>
        <w:tc>
          <w:tcPr>
            <w:tcW w:w="44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5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7880" w:type="dxa"/>
            <w:vAlign w:val="bottom"/>
            <w:tcBorders>
              <w:top w:val="single" w:sz="8" w:color="0000EE"/>
            </w:tcBorders>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13a-14(a)/15d-14(a) of the Securities Exchange Act</w:t>
            </w:r>
          </w:p>
        </w:tc>
        <w:tc>
          <w:tcPr>
            <w:tcW w:w="2220" w:type="dxa"/>
            <w:vAlign w:val="bottom"/>
            <w:tcBorders>
              <w:top w:val="single" w:sz="8" w:color="CCEEFF"/>
            </w:tcBorders>
            <w:gridSpan w:val="6"/>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44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18 U.S.C. §1350, as adopted pursuant to Section 906 of the</w:t>
            </w:r>
          </w:p>
        </w:tc>
      </w:tr>
      <w:tr>
        <w:trPr>
          <w:trHeight w:val="216"/>
        </w:trPr>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8040" w:type="dxa"/>
            <w:vAlign w:val="bottom"/>
            <w:tcBorders>
              <w:bottom w:val="single" w:sz="8" w:color="CCEEFF"/>
            </w:tcBorders>
            <w:gridSpan w:val="32"/>
            <w:shd w:val="clear" w:color="auto" w:fill="CCEEFF"/>
          </w:tcPr>
          <w:p>
            <w:pPr>
              <w:spacing w:after="0"/>
              <w:rPr>
                <w:sz w:val="18"/>
                <w:szCs w:val="18"/>
                <w:color w:val="auto"/>
              </w:rPr>
            </w:pPr>
          </w:p>
        </w:tc>
      </w:tr>
      <w:tr>
        <w:trPr>
          <w:trHeight w:val="216"/>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Inline XBRL Instance Document *</w:t>
            </w:r>
          </w:p>
        </w:tc>
      </w:tr>
      <w:tr>
        <w:trPr>
          <w:trHeight w:val="216"/>
        </w:trPr>
        <w:tc>
          <w:tcPr>
            <w:tcW w:w="1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 *</w:t>
            </w:r>
          </w:p>
        </w:tc>
      </w:tr>
      <w:tr>
        <w:trPr>
          <w:trHeight w:val="216"/>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 *</w:t>
            </w:r>
          </w:p>
        </w:tc>
      </w:tr>
      <w:tr>
        <w:trPr>
          <w:trHeight w:val="216"/>
        </w:trPr>
        <w:tc>
          <w:tcPr>
            <w:tcW w:w="1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 *</w:t>
            </w:r>
          </w:p>
        </w:tc>
      </w:tr>
      <w:tr>
        <w:trPr>
          <w:trHeight w:val="216"/>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 *</w:t>
            </w:r>
          </w:p>
        </w:tc>
      </w:tr>
      <w:tr>
        <w:trPr>
          <w:trHeight w:val="216"/>
        </w:trPr>
        <w:tc>
          <w:tcPr>
            <w:tcW w:w="1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 *</w:t>
            </w:r>
          </w:p>
        </w:tc>
      </w:tr>
    </w:tbl>
    <w:p>
      <w:pPr>
        <w:ind w:right="3520" w:firstLine="8"/>
        <w:spacing w:after="0" w:line="417" w:lineRule="auto"/>
        <w:tabs>
          <w:tab w:leader="none" w:pos="11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ind w:left="452" w:hanging="452"/>
        <w:spacing w:after="0"/>
        <w:tabs>
          <w:tab w:leader="none" w:pos="4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March 23, 2021.</w:t>
      </w:r>
    </w:p>
    <w:p>
      <w:pPr>
        <w:spacing w:after="0" w:line="27"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January 22, 2021.</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June 15, 2021.</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December 16, 2019.</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February 18, 2020.</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May 13, 2020.</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Quarterly Report filed with the Securities Exchange Commission on May 6, 2021.</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February 6, 2017.</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Quarterly Report filed with the Securities Exchange Commission on May 4, 2018.</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10-K Annual Report filed with the Securities Exchange Commission on July 12, 2017.</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February 1, 2017.</w:t>
      </w:r>
    </w:p>
    <w:p>
      <w:pPr>
        <w:spacing w:after="0" w:line="9" w:lineRule="exact"/>
        <w:rPr>
          <w:rFonts w:ascii="Times New Roman" w:cs="Times New Roman" w:eastAsia="Times New Roman" w:hAnsi="Times New Roman"/>
          <w:sz w:val="18"/>
          <w:szCs w:val="18"/>
          <w:color w:val="auto"/>
        </w:rPr>
      </w:pPr>
    </w:p>
    <w:p>
      <w:pPr>
        <w:ind w:left="452" w:hanging="452"/>
        <w:spacing w:after="0" w:line="250" w:lineRule="auto"/>
        <w:tabs>
          <w:tab w:leader="none" w:pos="4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S-1/A Amendment No. 1 to the S-1 Registration Statement filed with the Securities Exchange Commission on July 16, 2021.</w:t>
      </w:r>
    </w:p>
    <w:p>
      <w:pPr>
        <w:ind w:left="452" w:hanging="452"/>
        <w:spacing w:after="0"/>
        <w:tabs>
          <w:tab w:leader="none" w:pos="4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Quarterly Report filed with the Securities Exchange Commission on November 8, 2021.</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S-8 Registration Statement filed with the Securities Exchange Commission on February 1, 2022.</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March 21, 2022.</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10-K Annual Report filed with the Securities Exchange Commission on March 22, 2022.</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April 18, 2022.</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and Exchange Commission on April 27, 2022.</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July 19, 2022.</w:t>
      </w:r>
    </w:p>
    <w:p>
      <w:pPr>
        <w:spacing w:after="0" w:line="200" w:lineRule="exact"/>
        <w:rPr>
          <w:sz w:val="20"/>
          <w:szCs w:val="20"/>
          <w:color w:val="auto"/>
        </w:rPr>
      </w:pPr>
    </w:p>
    <w:p>
      <w:pPr>
        <w:spacing w:after="0" w:line="2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877"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authID,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Thomas L.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Thomas L. Thimot</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Hang Thi Bich Pham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9, 2022</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Thimot, Chief Executive Officer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authID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7"/>
          <w:szCs w:val="17"/>
          <w:color w:val="auto"/>
        </w:rPr>
        <w:t>/s/ Thomas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Thomas Thimot</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AND ACCOUNTING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Hang Thi Bich Pham Chief Financial Officer,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authID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7"/>
          <w:szCs w:val="17"/>
          <w:color w:val="auto"/>
        </w:rPr>
        <w:t>/s/ Hang Thi Bich Pham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Hang Thi Bich Pham</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authID Inc. (the “Company”) on Form 10-Q for the quarter ended June 30, 2022 as filed with the Securities and Exchange Commission (the “Report”), I, Thomas Thimot, Chief Executive Officer of the Company, and, Hang Thi Bich Pham, Chief Financial Officer of the Company, certify, pursuant to 18 U.S.C. SS. 1350, as adopted pursuant to SS.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August 9, 2022</w:t>
      </w:r>
      <w:r>
        <w:rPr>
          <w:sz w:val="20"/>
          <w:szCs w:val="20"/>
          <w:color w:val="auto"/>
        </w:rPr>
        <w:tab/>
      </w:r>
      <w:r>
        <w:rPr>
          <w:rFonts w:ascii="Times New Roman" w:cs="Times New Roman" w:eastAsia="Times New Roman" w:hAnsi="Times New Roman"/>
          <w:sz w:val="17"/>
          <w:szCs w:val="17"/>
          <w:color w:val="auto"/>
        </w:rPr>
        <w:t>/s/ Thomas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Thomas Thimot</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August 9, 2022</w:t>
      </w:r>
      <w:r>
        <w:rPr>
          <w:sz w:val="20"/>
          <w:szCs w:val="20"/>
          <w:color w:val="auto"/>
        </w:rPr>
        <w:tab/>
      </w:r>
      <w:r>
        <w:rPr>
          <w:rFonts w:ascii="Times New Roman" w:cs="Times New Roman" w:eastAsia="Times New Roman" w:hAnsi="Times New Roman"/>
          <w:sz w:val="17"/>
          <w:szCs w:val="17"/>
          <w:color w:val="auto"/>
        </w:rPr>
        <w:t>/s/ Hang Thi Bich Pham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Hang Thi Bich Pham, Chief Financial Officer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04"/>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74" Type="http://schemas.openxmlformats.org/officeDocument/2006/relationships/image" Target="media/image33.png"/><Relationship Id="rId75" Type="http://schemas.openxmlformats.org/officeDocument/2006/relationships/image" Target="media/image34.png"/><Relationship Id="rId76" Type="http://schemas.openxmlformats.org/officeDocument/2006/relationships/image" Target="media/image35.png"/><Relationship Id="rId77" Type="http://schemas.openxmlformats.org/officeDocument/2006/relationships/image" Target="media/image36.png"/><Relationship Id="rId78" Type="http://schemas.openxmlformats.org/officeDocument/2006/relationships/image" Target="media/image37.png"/><Relationship Id="rId79" Type="http://schemas.openxmlformats.org/officeDocument/2006/relationships/image" Target="media/image38.png"/><Relationship Id="rId80" Type="http://schemas.openxmlformats.org/officeDocument/2006/relationships/image" Target="media/image39.png"/><Relationship Id="rId81" Type="http://schemas.openxmlformats.org/officeDocument/2006/relationships/image" Target="media/image40.png"/><Relationship Id="rId82" Type="http://schemas.openxmlformats.org/officeDocument/2006/relationships/image" Target="media/image41.png"/><Relationship Id="rId40" Type="http://schemas.openxmlformats.org/officeDocument/2006/relationships/hyperlink" Target="http://www.sec.gov/Archives/edgar/data/1534154/000121390021017290/ea138222ex3-1_ipsidyinc.htm" TargetMode="External"/><Relationship Id="rId41" Type="http://schemas.openxmlformats.org/officeDocument/2006/relationships/hyperlink" Target="http://www.sec.gov/Archives/edgar/data/1534154/000121390022040296/ea162935ex3-2_authid.htm" TargetMode="External"/><Relationship Id="rId42" Type="http://schemas.openxmlformats.org/officeDocument/2006/relationships/hyperlink" Target="http://www.sec.gov/Archives/edgar/data/1534154/000121390021032569/ea142763ex3-1_ipsidyinc.htm" TargetMode="External"/><Relationship Id="rId43" Type="http://schemas.openxmlformats.org/officeDocument/2006/relationships/hyperlink" Target="http://www.sec.gov/Archives/edgar/data/1534154/000121390022040296/ea162935ex3-1_authid.htm" TargetMode="External"/><Relationship Id="rId44" Type="http://schemas.openxmlformats.org/officeDocument/2006/relationships/hyperlink" Target="http://www.sec.gov/Archives/edgar/data/1534154/000121390021032569/ea142763ex4-1_ipsidyinc.htm" TargetMode="External"/><Relationship Id="rId45" Type="http://schemas.openxmlformats.org/officeDocument/2006/relationships/hyperlink" Target="http://www.sec.gov/Archives/edgar/data/1534154/000121390019026249/f8k121019ex4-3_ipsidy.htm" TargetMode="External"/><Relationship Id="rId46" Type="http://schemas.openxmlformats.org/officeDocument/2006/relationships/hyperlink" Target="http://www.sec.gov/Archives/edgar/data/1534154/000121390020004127/f8k021420ex4-1_ipsidyinc.htm" TargetMode="External"/><Relationship Id="rId47" Type="http://schemas.openxmlformats.org/officeDocument/2006/relationships/hyperlink" Target="http://www.sec.gov/Archives/edgar/data/1534154/000121390020004127/f8k021420ex4-2_ipsidyinc.htm" TargetMode="External"/><Relationship Id="rId48" Type="http://schemas.openxmlformats.org/officeDocument/2006/relationships/hyperlink" Target="http://www.sec.gov/Archives/edgar/data/1534154/000121390020011887/ea121728ex4-1_ipsidyinc.htm" TargetMode="External"/><Relationship Id="rId49" Type="http://schemas.openxmlformats.org/officeDocument/2006/relationships/hyperlink" Target="http://www.sec.gov/Archives/edgar/data/1534154/000121390021024897/f10q0321ex4-15_ipsidyinc.htm" TargetMode="External"/><Relationship Id="rId50" Type="http://schemas.openxmlformats.org/officeDocument/2006/relationships/hyperlink" Target="http://www.sec.gov/Archives/edgar/data/1534154/000121390022014214/f10k2021ex4-7_ipsidyinc.htm" TargetMode="External"/><Relationship Id="rId51" Type="http://schemas.openxmlformats.org/officeDocument/2006/relationships/hyperlink" Target="http://www.sec.gov/Archives/edgar/data/1534154/000121390021032569/ea142763ex10-6_ipsidyinc.htm" TargetMode="External"/><Relationship Id="rId52" Type="http://schemas.openxmlformats.org/officeDocument/2006/relationships/hyperlink" Target="http://www.sec.gov/Archives/edgar/data/1534154/000121390021032569/ea142763ex10-5_ipsidyinc.htm" TargetMode="External"/><Relationship Id="rId53" Type="http://schemas.openxmlformats.org/officeDocument/2006/relationships/hyperlink" Target="http://www.sec.gov/Archives/edgar/data/1534154/000161577417000313/s105211_ex10-3.htm" TargetMode="External"/><Relationship Id="rId54" Type="http://schemas.openxmlformats.org/officeDocument/2006/relationships/hyperlink" Target="http://www.sec.gov/Archives/edgar/data/1534154/000161577417000380/s105242_ex10-2.htm" TargetMode="External"/><Relationship Id="rId55" Type="http://schemas.openxmlformats.org/officeDocument/2006/relationships/hyperlink" Target="https://www.sec.gov/Archives/edgar/data/1534154/000161577418003344/s109839_ex10-27.htm" TargetMode="External"/><Relationship Id="rId56" Type="http://schemas.openxmlformats.org/officeDocument/2006/relationships/hyperlink" Target="http://www.sec.gov/Archives/edgar/data/1534154/000121390021032569/ea142763ex10-1_ipsidyinc.htm" TargetMode="External"/><Relationship Id="rId57" Type="http://schemas.openxmlformats.org/officeDocument/2006/relationships/hyperlink" Target="http://www.sec.gov/Archives/edgar/data/1534154/000121390021032569/ea142763ex10-2_ipsidyinc.htm" TargetMode="External"/><Relationship Id="rId58" Type="http://schemas.openxmlformats.org/officeDocument/2006/relationships/hyperlink" Target="http://www.sec.gov/Archives/edgar/data/1534154/000121390021032569/ea142763ex10-3_ipsidyinc.htm" TargetMode="External"/><Relationship Id="rId59" Type="http://schemas.openxmlformats.org/officeDocument/2006/relationships/hyperlink" Target="http://www.sec.gov/Archives/edgar/data/1534154/000121390021032569/ea142763ex10-4_ipsidyinc.htm" TargetMode="External"/><Relationship Id="rId60" Type="http://schemas.openxmlformats.org/officeDocument/2006/relationships/hyperlink" Target="http://www.sec.gov/Archives/edgar/data/1534154/000121390021057337/f10q0921ex10-11_ipsidyinc.htm" TargetMode="External"/><Relationship Id="rId61" Type="http://schemas.openxmlformats.org/officeDocument/2006/relationships/hyperlink" Target="http://www.sec.gov/Archives/edgar/data/1534154/000121390021057337/f10q0921ex10-12_ipsidyinc.htm" TargetMode="External"/><Relationship Id="rId62" Type="http://schemas.openxmlformats.org/officeDocument/2006/relationships/hyperlink" Target="http://www.sec.gov/Archives/edgar/data/1534154/000121390022004803/ea154748ex4-1_ipsidyinc.htm" TargetMode="External"/><Relationship Id="rId63" Type="http://schemas.openxmlformats.org/officeDocument/2006/relationships/hyperlink" Target="http://www.sec.gov/Archives/edgar/data/1534154/000121390022014214/f10k2021ex10-14_ipsidyinc.htm" TargetMode="External"/><Relationship Id="rId64" Type="http://schemas.openxmlformats.org/officeDocument/2006/relationships/hyperlink" Target="http://www.sec.gov/Archives/edgar/data/1534154/000121390022013739/ea157152ex10-1_ipsidyinc.htm" TargetMode="External"/><Relationship Id="rId65" Type="http://schemas.openxmlformats.org/officeDocument/2006/relationships/hyperlink" Target="http://www.sec.gov/Archives/edgar/data/1534154/000121390022013739/ea157152ex10-2_ipsidyinc.htm" TargetMode="External"/><Relationship Id="rId66" Type="http://schemas.openxmlformats.org/officeDocument/2006/relationships/hyperlink" Target="http://www.sec.gov/Archives/edgar/data/1534154/000121390022013739/ea157152ex10-3_ipsidyinc.htm" TargetMode="External"/><Relationship Id="rId67" Type="http://schemas.openxmlformats.org/officeDocument/2006/relationships/hyperlink" Target="http://www.sec.gov/Archives/edgar/data/1534154/000121390022013739/ea157152ex10-5_ipsidyinc.htm" TargetMode="External"/><Relationship Id="rId68" Type="http://schemas.openxmlformats.org/officeDocument/2006/relationships/hyperlink" Target="http://www.sec.gov/Archives/edgar/data/1534154/000121390022013739/ea157152ex10-6_ipsidyinc.htm" TargetMode="External"/><Relationship Id="rId69" Type="http://schemas.openxmlformats.org/officeDocument/2006/relationships/hyperlink" Target="http://www.sec.gov/Archives/edgar/data/1534154/000121390022013739/ea157152ex10-7_ipsidyinc.htm" TargetMode="External"/><Relationship Id="rId70" Type="http://schemas.openxmlformats.org/officeDocument/2006/relationships/hyperlink" Target="http://www.sec.gov/Archives/edgar/data/1534154/000121390022020476/ea158591ex10-1_ipsidyinc.htm" TargetMode="External"/><Relationship Id="rId71" Type="http://schemas.openxmlformats.org/officeDocument/2006/relationships/hyperlink" Target="http://www.sec.gov/Archives/edgar/data/1534154/000121390022021805/ea158885ex10-1_ipsidyinc.htm" TargetMode="External"/><Relationship Id="rId72" Type="http://schemas.openxmlformats.org/officeDocument/2006/relationships/hyperlink" Target="http://www.sec.gov/Archives/edgar/data/1534154/000161577417003593/s106516_ex14-1.htm" TargetMode="External"/><Relationship Id="rId73" Type="http://schemas.openxmlformats.org/officeDocument/2006/relationships/hyperlink" Target="http://www.sec.gov/Archives/edgar/data/1534154/000161577417003593/s106516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2022-08-09T18:51:57Z</dcterms:created>
  <dcterms:modified xsi:type="dcterms:W3CDTF">2022-08-09T18:51:57Z</dcterms:modified>
</cp:coreProperties>
</file>