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0239560-10q_authid.htm"/>
      <w:bookmarkStart w:id="1" w:name="ksea023956010q_authid"/>
      <w:bookmarkEnd w:id="0"/>
      <w:bookmarkEnd w:id="1"/>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10-Q</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QUARTERLY REPORT UNDER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quarterly period ended March 31,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to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001-40747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2266950" cy="1762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66950" cy="17621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210" w:type="dxa"/>
        <w:jc w:val="left"/>
        <w:tblInd w:w="0" w:type="dxa"/>
        <w:tblLayout w:type="fixed"/>
        <w:tblCellMar>
          <w:top w:w="0" w:type="dxa"/>
          <w:left w:w="0" w:type="dxa"/>
          <w:bottom w:w="28" w:type="dxa"/>
          <w:right w:w="0" w:type="dxa"/>
        </w:tblCellMar>
      </w:tblPr>
      <w:tblGrid>
        <w:gridCol w:w="2525"/>
        <w:gridCol w:w="90"/>
        <w:gridCol w:w="1595"/>
      </w:tblGrid>
      <w:tr>
        <w:trPr/>
        <w:tc>
          <w:tcPr>
            <w:tcW w:w="252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90" w:type="dxa"/>
            <w:tcBorders/>
            <w:tcMar>
              <w:bottom w:w="0" w:type="dxa"/>
            </w:tcMar>
            <w:vAlign w:val="center"/>
          </w:tcPr>
          <w:p>
            <w:pPr>
              <w:pStyle w:val="TableContents"/>
              <w:bidi w:val="0"/>
              <w:spacing w:before="0" w:after="283"/>
              <w:jc w:val="center"/>
              <w:rPr/>
            </w:pPr>
            <w:r>
              <w:rPr/>
              <w:t> </w:t>
            </w:r>
          </w:p>
        </w:tc>
        <w:tc>
          <w:tcPr>
            <w:tcW w:w="159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46-2069547</w:t>
            </w:r>
          </w:p>
        </w:tc>
      </w:tr>
      <w:tr>
        <w:trPr/>
        <w:tc>
          <w:tcPr>
            <w:tcW w:w="252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9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1580 North Logan Street, Suite 660, Unit 51767,</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 80203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516-274-8700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8805" w:type="dxa"/>
        <w:jc w:val="left"/>
        <w:tblInd w:w="0" w:type="dxa"/>
        <w:tblLayout w:type="fixed"/>
        <w:tblCellMar>
          <w:top w:w="0" w:type="dxa"/>
          <w:left w:w="0" w:type="dxa"/>
          <w:bottom w:w="28" w:type="dxa"/>
          <w:right w:w="0" w:type="dxa"/>
        </w:tblCellMar>
      </w:tblPr>
      <w:tblGrid>
        <w:gridCol w:w="3605"/>
        <w:gridCol w:w="90"/>
        <w:gridCol w:w="1370"/>
        <w:gridCol w:w="90"/>
        <w:gridCol w:w="3650"/>
      </w:tblGrid>
      <w:tr>
        <w:trPr/>
        <w:tc>
          <w:tcPr>
            <w:tcW w:w="360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37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w:t>
            </w:r>
          </w:p>
        </w:tc>
        <w:tc>
          <w:tcPr>
            <w:tcW w:w="90" w:type="dxa"/>
            <w:tcBorders/>
            <w:tcMar>
              <w:bottom w:w="0" w:type="dxa"/>
            </w:tcMar>
            <w:vAlign w:val="center"/>
          </w:tcPr>
          <w:p>
            <w:pPr>
              <w:pStyle w:val="TableContents"/>
              <w:bidi w:val="0"/>
              <w:spacing w:before="0" w:after="283"/>
              <w:jc w:val="center"/>
              <w:rPr/>
            </w:pPr>
            <w:r>
              <w:rPr/>
              <w:t> </w:t>
            </w:r>
          </w:p>
        </w:tc>
        <w:tc>
          <w:tcPr>
            <w:tcW w:w="365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6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par value $0.0001 per share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3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AUID</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36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rPr>
      </w:pPr>
      <w:r>
        <w:rPr>
          <w:caps w:val="false"/>
          <w:smallCaps w:val="false"/>
        </w:rPr>
        <w:t> </w:t>
      </w:r>
    </w:p>
    <w:tbl>
      <w:tblPr>
        <w:tblW w:w="4865" w:type="dxa"/>
        <w:jc w:val="left"/>
        <w:tblInd w:w="0" w:type="dxa"/>
        <w:tblLayout w:type="fixed"/>
        <w:tblCellMar>
          <w:top w:w="0" w:type="dxa"/>
          <w:left w:w="0" w:type="dxa"/>
          <w:bottom w:w="0" w:type="dxa"/>
          <w:right w:w="0" w:type="dxa"/>
        </w:tblCellMar>
      </w:tblPr>
      <w:tblGrid>
        <w:gridCol w:w="1955"/>
        <w:gridCol w:w="260"/>
        <w:gridCol w:w="2345"/>
        <w:gridCol w:w="305"/>
      </w:tblGrid>
      <w:tr>
        <w:trPr/>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Large Accelerated filer </w:t>
            </w:r>
          </w:p>
        </w:tc>
        <w:tc>
          <w:tcPr>
            <w:tcW w:w="26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305" w:type="dxa"/>
            <w:tcBorders/>
            <w:vAlign w:val="center"/>
          </w:tcPr>
          <w:p>
            <w:pPr>
              <w:pStyle w:val="TableContents"/>
              <w:bidi w:val="0"/>
              <w:spacing w:before="0" w:after="283"/>
              <w:jc w:val="left"/>
              <w:rPr/>
            </w:pPr>
            <w:r>
              <w:rPr/>
              <w:t>☐</w:t>
            </w:r>
          </w:p>
        </w:tc>
      </w:tr>
      <w:tr>
        <w:trPr/>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Non-accelerated filer </w:t>
            </w:r>
          </w:p>
        </w:tc>
        <w:tc>
          <w:tcPr>
            <w:tcW w:w="26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305" w:type="dxa"/>
            <w:tcBorders/>
            <w:vAlign w:val="center"/>
          </w:tcPr>
          <w:p>
            <w:pPr>
              <w:pStyle w:val="TableContents"/>
              <w:bidi w:val="0"/>
              <w:spacing w:before="0" w:after="283"/>
              <w:jc w:val="left"/>
              <w:rPr/>
            </w:pPr>
            <w:r>
              <w:rPr/>
              <w:t>☒</w:t>
            </w:r>
          </w:p>
        </w:tc>
      </w:tr>
      <w:tr>
        <w:trPr/>
        <w:tc>
          <w:tcPr>
            <w:tcW w:w="19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Emerging growth Company </w:t>
            </w:r>
          </w:p>
        </w:tc>
        <w:tc>
          <w:tcPr>
            <w:tcW w:w="30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shares outstanding of each of the issuer’s classes of common stock as of the latest practicable date.</w:t>
      </w:r>
    </w:p>
    <w:p>
      <w:pPr>
        <w:pStyle w:val="TextBody"/>
        <w:bidi w:val="0"/>
        <w:spacing w:before="0" w:after="0"/>
        <w:ind w:left="0" w:right="0" w:hanging="0"/>
        <w:jc w:val="center"/>
        <w:rPr>
          <w:caps w:val="false"/>
          <w:smallCaps w:val="false"/>
        </w:rPr>
      </w:pPr>
      <w:r>
        <w:rPr>
          <w:caps w:val="false"/>
          <w:smallCaps w:val="false"/>
        </w:rPr>
        <w:t> </w:t>
      </w:r>
    </w:p>
    <w:tbl>
      <w:tblPr>
        <w:tblW w:w="5620" w:type="dxa"/>
        <w:jc w:val="left"/>
        <w:tblInd w:w="0" w:type="dxa"/>
        <w:tblLayout w:type="fixed"/>
        <w:tblCellMar>
          <w:top w:w="0" w:type="dxa"/>
          <w:left w:w="0" w:type="dxa"/>
          <w:bottom w:w="28" w:type="dxa"/>
          <w:right w:w="0" w:type="dxa"/>
        </w:tblCellMar>
      </w:tblPr>
      <w:tblGrid>
        <w:gridCol w:w="3155"/>
        <w:gridCol w:w="90"/>
        <w:gridCol w:w="2375"/>
      </w:tblGrid>
      <w:tr>
        <w:trPr/>
        <w:tc>
          <w:tcPr>
            <w:tcW w:w="315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Class</w:t>
            </w:r>
          </w:p>
        </w:tc>
        <w:tc>
          <w:tcPr>
            <w:tcW w:w="90" w:type="dxa"/>
            <w:tcBorders/>
            <w:tcMar>
              <w:bottom w:w="0" w:type="dxa"/>
            </w:tcMar>
            <w:vAlign w:val="center"/>
          </w:tcPr>
          <w:p>
            <w:pPr>
              <w:pStyle w:val="TableContents"/>
              <w:bidi w:val="0"/>
              <w:spacing w:before="0" w:after="283"/>
              <w:jc w:val="center"/>
              <w:rPr/>
            </w:pPr>
            <w:r>
              <w:rPr/>
              <w:t> </w:t>
            </w:r>
          </w:p>
        </w:tc>
        <w:tc>
          <w:tcPr>
            <w:tcW w:w="237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Outstanding at May 8, 2025</w:t>
            </w:r>
          </w:p>
        </w:tc>
      </w:tr>
      <w:tr>
        <w:trPr/>
        <w:tc>
          <w:tcPr>
            <w:tcW w:w="31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par value $0.0001</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237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13,443,740 shares</w:t>
            </w:r>
          </w:p>
        </w:tc>
      </w:tr>
      <w:tr>
        <w:trPr/>
        <w:tc>
          <w:tcPr>
            <w:tcW w:w="31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Documents incorporated by reference:</w:t>
            </w:r>
          </w:p>
        </w:tc>
        <w:tc>
          <w:tcPr>
            <w:tcW w:w="90" w:type="dxa"/>
            <w:tcBorders/>
            <w:tcMar>
              <w:bottom w:w="0" w:type="dxa"/>
            </w:tcMar>
            <w:vAlign w:val="center"/>
          </w:tcPr>
          <w:p>
            <w:pPr>
              <w:pStyle w:val="TableContents"/>
              <w:bidi w:val="0"/>
              <w:spacing w:before="0" w:after="283"/>
              <w:jc w:val="center"/>
              <w:rPr/>
            </w:pPr>
            <w:r>
              <w:rPr/>
              <w:t> </w:t>
            </w:r>
          </w:p>
        </w:tc>
        <w:tc>
          <w:tcPr>
            <w:tcW w:w="23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335"/>
        <w:gridCol w:w="90"/>
        <w:gridCol w:w="780"/>
      </w:tblGrid>
      <w:tr>
        <w:trPr/>
        <w:tc>
          <w:tcPr>
            <w:tcW w:w="933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center"/>
              <w:rPr/>
            </w:pPr>
            <w:r>
              <w:rPr/>
              <w:t> </w:t>
            </w:r>
          </w:p>
        </w:tc>
        <w:tc>
          <w:tcPr>
            <w:tcW w:w="780"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Page No.</w:t>
            </w:r>
          </w:p>
        </w:tc>
      </w:tr>
      <w:tr>
        <w:trPr/>
        <w:tc>
          <w:tcPr>
            <w:tcW w:w="9335" w:type="dxa"/>
            <w:tcBorders/>
            <w:shd w:fill="CCEEFF" w:val="clear"/>
            <w:vAlign w:val="center"/>
          </w:tcPr>
          <w:p>
            <w:pPr>
              <w:pStyle w:val="TableContents"/>
              <w:bidi w:val="0"/>
              <w:spacing w:before="0" w:after="283"/>
              <w:jc w:val="center"/>
              <w:rPr/>
            </w:pPr>
            <w:hyperlink w:anchor="a_001">
              <w:r>
                <w:rPr>
                  <w:rStyle w:val="InternetLink"/>
                  <w:rFonts w:ascii="Times New Roman;Times;Serif" w:hAnsi="Times New Roman;Times;Serif"/>
                  <w:b/>
                  <w:sz w:val="20"/>
                </w:rPr>
                <w:t>PART I – FINANCIAL INFORMATION</w:t>
              </w:r>
            </w:hyperlink>
          </w:p>
        </w:tc>
        <w:tc>
          <w:tcPr>
            <w:tcW w:w="90" w:type="dxa"/>
            <w:tcBorders/>
            <w:shd w:fill="CCEEFF" w:val="clear"/>
            <w:vAlign w:val="center"/>
          </w:tcPr>
          <w:p>
            <w:pPr>
              <w:pStyle w:val="TableContents"/>
              <w:bidi w:val="0"/>
              <w:spacing w:before="0" w:after="283"/>
              <w:jc w:val="center"/>
              <w:rPr/>
            </w:pPr>
            <w:r>
              <w:rPr/>
              <w:t> </w:t>
            </w:r>
          </w:p>
        </w:tc>
        <w:tc>
          <w:tcPr>
            <w:tcW w:w="780" w:type="dxa"/>
            <w:tcBorders/>
            <w:shd w:fill="CCEEFF" w:val="clear"/>
            <w:vAlign w:val="center"/>
          </w:tcPr>
          <w:p>
            <w:pPr>
              <w:pStyle w:val="TableContents"/>
              <w:bidi w:val="0"/>
              <w:spacing w:before="0" w:after="283"/>
              <w:ind w:left="0" w:right="0" w:hanging="180"/>
              <w:jc w:val="center"/>
              <w:rPr/>
            </w:pPr>
            <w:r>
              <w:rPr/>
              <w:t> </w:t>
            </w:r>
          </w:p>
        </w:tc>
      </w:tr>
      <w:tr>
        <w:trPr/>
        <w:tc>
          <w:tcPr>
            <w:tcW w:w="9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780" w:type="dxa"/>
            <w:tcBorders/>
            <w:vAlign w:val="center"/>
          </w:tcPr>
          <w:p>
            <w:pPr>
              <w:pStyle w:val="TableContents"/>
              <w:bidi w:val="0"/>
              <w:spacing w:before="0" w:after="283"/>
              <w:ind w:left="0" w:right="0" w:hanging="180"/>
              <w:jc w:val="center"/>
              <w:rPr/>
            </w:pPr>
            <w:r>
              <w:rPr/>
              <w:t> </w:t>
            </w:r>
          </w:p>
        </w:tc>
      </w:tr>
      <w:tr>
        <w:trPr/>
        <w:tc>
          <w:tcPr>
            <w:tcW w:w="9335"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Item 1. Financial Statements</w:t>
              </w:r>
            </w:hyperlink>
          </w:p>
        </w:tc>
        <w:tc>
          <w:tcPr>
            <w:tcW w:w="90" w:type="dxa"/>
            <w:tcBorders/>
            <w:shd w:fill="CCEEFF" w:val="clear"/>
            <w:vAlign w:val="center"/>
          </w:tcPr>
          <w:p>
            <w:pPr>
              <w:pStyle w:val="TableContents"/>
              <w:bidi w:val="0"/>
              <w:spacing w:before="0" w:after="283"/>
              <w:jc w:val="center"/>
              <w:rPr/>
            </w:pPr>
            <w:r>
              <w:rPr/>
              <w:t> </w:t>
            </w:r>
          </w:p>
        </w:tc>
        <w:tc>
          <w:tcPr>
            <w:tcW w:w="78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w:t>
            </w:r>
          </w:p>
        </w:tc>
      </w:tr>
      <w:tr>
        <w:trPr/>
        <w:tc>
          <w:tcPr>
            <w:tcW w:w="9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780" w:type="dxa"/>
            <w:tcBorders/>
            <w:vAlign w:val="center"/>
          </w:tcPr>
          <w:p>
            <w:pPr>
              <w:pStyle w:val="TableContents"/>
              <w:bidi w:val="0"/>
              <w:spacing w:before="0" w:after="283"/>
              <w:ind w:left="0" w:right="0" w:hanging="180"/>
              <w:jc w:val="center"/>
              <w:rPr/>
            </w:pPr>
            <w:r>
              <w:rPr/>
              <w:t> </w:t>
            </w:r>
          </w:p>
        </w:tc>
      </w:tr>
      <w:tr>
        <w:trPr/>
        <w:tc>
          <w:tcPr>
            <w:tcW w:w="933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Condensed Consolidated Balance Sheets as of March 31, 2025 (unaudited) and December 31, 2024</w:t>
              </w:r>
            </w:hyperlink>
          </w:p>
        </w:tc>
        <w:tc>
          <w:tcPr>
            <w:tcW w:w="90" w:type="dxa"/>
            <w:tcBorders/>
            <w:shd w:fill="CCEEFF" w:val="clear"/>
            <w:vAlign w:val="center"/>
          </w:tcPr>
          <w:p>
            <w:pPr>
              <w:pStyle w:val="TableContents"/>
              <w:bidi w:val="0"/>
              <w:spacing w:before="0" w:after="283"/>
              <w:jc w:val="center"/>
              <w:rPr/>
            </w:pPr>
            <w:r>
              <w:rPr/>
              <w:t> </w:t>
            </w:r>
          </w:p>
        </w:tc>
        <w:tc>
          <w:tcPr>
            <w:tcW w:w="78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w:t>
            </w:r>
          </w:p>
        </w:tc>
      </w:tr>
      <w:tr>
        <w:trPr/>
        <w:tc>
          <w:tcPr>
            <w:tcW w:w="9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780" w:type="dxa"/>
            <w:tcBorders/>
            <w:vAlign w:val="center"/>
          </w:tcPr>
          <w:p>
            <w:pPr>
              <w:pStyle w:val="TableContents"/>
              <w:bidi w:val="0"/>
              <w:spacing w:before="0" w:after="283"/>
              <w:ind w:left="0" w:right="0" w:hanging="180"/>
              <w:jc w:val="center"/>
              <w:rPr/>
            </w:pPr>
            <w:r>
              <w:rPr/>
              <w:t> </w:t>
            </w:r>
          </w:p>
        </w:tc>
      </w:tr>
      <w:tr>
        <w:trPr/>
        <w:tc>
          <w:tcPr>
            <w:tcW w:w="9335"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Condensed Consolidated Statements of Operations for the Three Months Ended March 31, 2025 and 2024 (unaudited)</w:t>
              </w:r>
            </w:hyperlink>
          </w:p>
        </w:tc>
        <w:tc>
          <w:tcPr>
            <w:tcW w:w="90" w:type="dxa"/>
            <w:tcBorders/>
            <w:shd w:fill="CCEEFF" w:val="clear"/>
            <w:vAlign w:val="center"/>
          </w:tcPr>
          <w:p>
            <w:pPr>
              <w:pStyle w:val="TableContents"/>
              <w:bidi w:val="0"/>
              <w:spacing w:before="0" w:after="283"/>
              <w:jc w:val="center"/>
              <w:rPr/>
            </w:pPr>
            <w:r>
              <w:rPr/>
              <w:t> </w:t>
            </w:r>
          </w:p>
        </w:tc>
        <w:tc>
          <w:tcPr>
            <w:tcW w:w="78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w:t>
            </w:r>
          </w:p>
        </w:tc>
      </w:tr>
      <w:tr>
        <w:trPr/>
        <w:tc>
          <w:tcPr>
            <w:tcW w:w="9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780" w:type="dxa"/>
            <w:tcBorders/>
            <w:vAlign w:val="center"/>
          </w:tcPr>
          <w:p>
            <w:pPr>
              <w:pStyle w:val="TableContents"/>
              <w:bidi w:val="0"/>
              <w:spacing w:before="0" w:after="283"/>
              <w:ind w:left="0" w:right="0" w:hanging="180"/>
              <w:jc w:val="center"/>
              <w:rPr/>
            </w:pPr>
            <w:r>
              <w:rPr/>
              <w:t> </w:t>
            </w:r>
          </w:p>
        </w:tc>
      </w:tr>
      <w:tr>
        <w:trPr/>
        <w:tc>
          <w:tcPr>
            <w:tcW w:w="933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Condensed Consolidated Statements of Comprehensive Loss for the Three Months Ended March 31, 2025 and 2024 (unaudited)</w:t>
              </w:r>
            </w:hyperlink>
          </w:p>
        </w:tc>
        <w:tc>
          <w:tcPr>
            <w:tcW w:w="90" w:type="dxa"/>
            <w:tcBorders/>
            <w:shd w:fill="CCEEFF" w:val="clear"/>
            <w:vAlign w:val="center"/>
          </w:tcPr>
          <w:p>
            <w:pPr>
              <w:pStyle w:val="TableContents"/>
              <w:bidi w:val="0"/>
              <w:spacing w:before="0" w:after="283"/>
              <w:jc w:val="center"/>
              <w:rPr/>
            </w:pPr>
            <w:r>
              <w:rPr/>
              <w:t> </w:t>
            </w:r>
          </w:p>
        </w:tc>
        <w:tc>
          <w:tcPr>
            <w:tcW w:w="78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3</w:t>
            </w:r>
          </w:p>
        </w:tc>
      </w:tr>
      <w:tr>
        <w:trPr/>
        <w:tc>
          <w:tcPr>
            <w:tcW w:w="9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780" w:type="dxa"/>
            <w:tcBorders/>
            <w:vAlign w:val="center"/>
          </w:tcPr>
          <w:p>
            <w:pPr>
              <w:pStyle w:val="TableContents"/>
              <w:bidi w:val="0"/>
              <w:spacing w:before="0" w:after="283"/>
              <w:ind w:left="0" w:right="0" w:hanging="180"/>
              <w:jc w:val="center"/>
              <w:rPr/>
            </w:pPr>
            <w:r>
              <w:rPr/>
              <w:t> </w:t>
            </w:r>
          </w:p>
        </w:tc>
      </w:tr>
      <w:tr>
        <w:trPr/>
        <w:tc>
          <w:tcPr>
            <w:tcW w:w="9335"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Condensed Consolidated Statements of Stockholders’ Equity for the Three Months Ended March 31, 2025 and 2024 (unaudited)</w:t>
              </w:r>
            </w:hyperlink>
          </w:p>
        </w:tc>
        <w:tc>
          <w:tcPr>
            <w:tcW w:w="90" w:type="dxa"/>
            <w:tcBorders/>
            <w:shd w:fill="CCEEFF" w:val="clear"/>
            <w:vAlign w:val="center"/>
          </w:tcPr>
          <w:p>
            <w:pPr>
              <w:pStyle w:val="TableContents"/>
              <w:bidi w:val="0"/>
              <w:spacing w:before="0" w:after="283"/>
              <w:jc w:val="center"/>
              <w:rPr/>
            </w:pPr>
            <w:r>
              <w:rPr/>
              <w:t> </w:t>
            </w:r>
          </w:p>
        </w:tc>
        <w:tc>
          <w:tcPr>
            <w:tcW w:w="78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4</w:t>
            </w:r>
          </w:p>
        </w:tc>
      </w:tr>
      <w:tr>
        <w:trPr/>
        <w:tc>
          <w:tcPr>
            <w:tcW w:w="9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780" w:type="dxa"/>
            <w:tcBorders/>
            <w:vAlign w:val="center"/>
          </w:tcPr>
          <w:p>
            <w:pPr>
              <w:pStyle w:val="TableContents"/>
              <w:bidi w:val="0"/>
              <w:spacing w:before="0" w:after="283"/>
              <w:ind w:left="0" w:right="0" w:hanging="180"/>
              <w:jc w:val="center"/>
              <w:rPr/>
            </w:pPr>
            <w:r>
              <w:rPr/>
              <w:t> </w:t>
            </w:r>
          </w:p>
        </w:tc>
      </w:tr>
      <w:tr>
        <w:trPr/>
        <w:tc>
          <w:tcPr>
            <w:tcW w:w="933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Condensed Consolidated Statements of Cash Flows for the Three Months Ended March 31, 2025 and 2024 (unaudited)</w:t>
              </w:r>
            </w:hyperlink>
          </w:p>
        </w:tc>
        <w:tc>
          <w:tcPr>
            <w:tcW w:w="90" w:type="dxa"/>
            <w:tcBorders/>
            <w:shd w:fill="CCEEFF" w:val="clear"/>
            <w:vAlign w:val="center"/>
          </w:tcPr>
          <w:p>
            <w:pPr>
              <w:pStyle w:val="TableContents"/>
              <w:bidi w:val="0"/>
              <w:spacing w:before="0" w:after="283"/>
              <w:jc w:val="center"/>
              <w:rPr/>
            </w:pPr>
            <w:r>
              <w:rPr/>
              <w:t> </w:t>
            </w:r>
          </w:p>
        </w:tc>
        <w:tc>
          <w:tcPr>
            <w:tcW w:w="78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5</w:t>
            </w:r>
          </w:p>
        </w:tc>
      </w:tr>
      <w:tr>
        <w:trPr/>
        <w:tc>
          <w:tcPr>
            <w:tcW w:w="9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780" w:type="dxa"/>
            <w:tcBorders/>
            <w:vAlign w:val="center"/>
          </w:tcPr>
          <w:p>
            <w:pPr>
              <w:pStyle w:val="TableContents"/>
              <w:bidi w:val="0"/>
              <w:spacing w:before="0" w:after="283"/>
              <w:ind w:left="0" w:right="0" w:hanging="180"/>
              <w:jc w:val="center"/>
              <w:rPr/>
            </w:pPr>
            <w:r>
              <w:rPr/>
              <w:t> </w:t>
            </w:r>
          </w:p>
        </w:tc>
      </w:tr>
      <w:tr>
        <w:trPr/>
        <w:tc>
          <w:tcPr>
            <w:tcW w:w="9335"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Notes to Unaudited Condensed Consolidated Financial Statements</w:t>
              </w:r>
            </w:hyperlink>
          </w:p>
        </w:tc>
        <w:tc>
          <w:tcPr>
            <w:tcW w:w="90" w:type="dxa"/>
            <w:tcBorders/>
            <w:shd w:fill="CCEEFF" w:val="clear"/>
            <w:vAlign w:val="center"/>
          </w:tcPr>
          <w:p>
            <w:pPr>
              <w:pStyle w:val="TableContents"/>
              <w:bidi w:val="0"/>
              <w:spacing w:before="0" w:after="283"/>
              <w:jc w:val="center"/>
              <w:rPr/>
            </w:pPr>
            <w:r>
              <w:rPr/>
              <w:t> </w:t>
            </w:r>
          </w:p>
        </w:tc>
        <w:tc>
          <w:tcPr>
            <w:tcW w:w="78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6–12</w:t>
            </w:r>
          </w:p>
        </w:tc>
      </w:tr>
      <w:tr>
        <w:trPr/>
        <w:tc>
          <w:tcPr>
            <w:tcW w:w="9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780" w:type="dxa"/>
            <w:tcBorders/>
            <w:vAlign w:val="center"/>
          </w:tcPr>
          <w:p>
            <w:pPr>
              <w:pStyle w:val="TableContents"/>
              <w:bidi w:val="0"/>
              <w:spacing w:before="0" w:after="283"/>
              <w:ind w:left="0" w:right="0" w:hanging="180"/>
              <w:jc w:val="center"/>
              <w:rPr/>
            </w:pPr>
            <w:r>
              <w:rPr/>
              <w:t> </w:t>
            </w:r>
          </w:p>
        </w:tc>
      </w:tr>
      <w:tr>
        <w:trPr/>
        <w:tc>
          <w:tcPr>
            <w:tcW w:w="933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Item 2. Management’s Discussion and Analysis of Financial Condition and Results of Operations</w:t>
              </w:r>
            </w:hyperlink>
          </w:p>
        </w:tc>
        <w:tc>
          <w:tcPr>
            <w:tcW w:w="90" w:type="dxa"/>
            <w:tcBorders/>
            <w:shd w:fill="CCEEFF" w:val="clear"/>
            <w:vAlign w:val="center"/>
          </w:tcPr>
          <w:p>
            <w:pPr>
              <w:pStyle w:val="TableContents"/>
              <w:bidi w:val="0"/>
              <w:spacing w:before="0" w:after="283"/>
              <w:jc w:val="center"/>
              <w:rPr/>
            </w:pPr>
            <w:r>
              <w:rPr/>
              <w:t> </w:t>
            </w:r>
          </w:p>
        </w:tc>
        <w:tc>
          <w:tcPr>
            <w:tcW w:w="78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13–19</w:t>
            </w:r>
          </w:p>
        </w:tc>
      </w:tr>
      <w:tr>
        <w:trPr/>
        <w:tc>
          <w:tcPr>
            <w:tcW w:w="9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780" w:type="dxa"/>
            <w:tcBorders/>
            <w:vAlign w:val="center"/>
          </w:tcPr>
          <w:p>
            <w:pPr>
              <w:pStyle w:val="TableContents"/>
              <w:bidi w:val="0"/>
              <w:spacing w:before="0" w:after="283"/>
              <w:ind w:left="0" w:right="0" w:hanging="180"/>
              <w:jc w:val="center"/>
              <w:rPr/>
            </w:pPr>
            <w:r>
              <w:rPr/>
              <w:t> </w:t>
            </w:r>
          </w:p>
        </w:tc>
      </w:tr>
      <w:tr>
        <w:trPr/>
        <w:tc>
          <w:tcPr>
            <w:tcW w:w="9335"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Item 3. Quantitative and Qualitative Disclosures About Market Risk</w:t>
              </w:r>
            </w:hyperlink>
          </w:p>
        </w:tc>
        <w:tc>
          <w:tcPr>
            <w:tcW w:w="90" w:type="dxa"/>
            <w:tcBorders/>
            <w:shd w:fill="CCEEFF" w:val="clear"/>
            <w:vAlign w:val="center"/>
          </w:tcPr>
          <w:p>
            <w:pPr>
              <w:pStyle w:val="TableContents"/>
              <w:bidi w:val="0"/>
              <w:spacing w:before="0" w:after="283"/>
              <w:jc w:val="center"/>
              <w:rPr/>
            </w:pPr>
            <w:r>
              <w:rPr/>
              <w:t> </w:t>
            </w:r>
          </w:p>
        </w:tc>
        <w:tc>
          <w:tcPr>
            <w:tcW w:w="78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19</w:t>
            </w:r>
          </w:p>
        </w:tc>
      </w:tr>
      <w:tr>
        <w:trPr/>
        <w:tc>
          <w:tcPr>
            <w:tcW w:w="9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780" w:type="dxa"/>
            <w:tcBorders/>
            <w:vAlign w:val="center"/>
          </w:tcPr>
          <w:p>
            <w:pPr>
              <w:pStyle w:val="TableContents"/>
              <w:bidi w:val="0"/>
              <w:spacing w:before="0" w:after="283"/>
              <w:ind w:left="0" w:right="0" w:hanging="180"/>
              <w:jc w:val="center"/>
              <w:rPr/>
            </w:pPr>
            <w:r>
              <w:rPr/>
              <w:t> </w:t>
            </w:r>
          </w:p>
        </w:tc>
      </w:tr>
      <w:tr>
        <w:trPr/>
        <w:tc>
          <w:tcPr>
            <w:tcW w:w="933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Item 4. Controls and Procedures</w:t>
              </w:r>
            </w:hyperlink>
          </w:p>
        </w:tc>
        <w:tc>
          <w:tcPr>
            <w:tcW w:w="90" w:type="dxa"/>
            <w:tcBorders/>
            <w:shd w:fill="CCEEFF" w:val="clear"/>
            <w:vAlign w:val="center"/>
          </w:tcPr>
          <w:p>
            <w:pPr>
              <w:pStyle w:val="TableContents"/>
              <w:bidi w:val="0"/>
              <w:spacing w:before="0" w:after="283"/>
              <w:jc w:val="center"/>
              <w:rPr/>
            </w:pPr>
            <w:r>
              <w:rPr/>
              <w:t> </w:t>
            </w:r>
          </w:p>
        </w:tc>
        <w:tc>
          <w:tcPr>
            <w:tcW w:w="78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19</w:t>
            </w:r>
          </w:p>
        </w:tc>
      </w:tr>
      <w:tr>
        <w:trPr/>
        <w:tc>
          <w:tcPr>
            <w:tcW w:w="9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780" w:type="dxa"/>
            <w:tcBorders/>
            <w:vAlign w:val="center"/>
          </w:tcPr>
          <w:p>
            <w:pPr>
              <w:pStyle w:val="TableContents"/>
              <w:bidi w:val="0"/>
              <w:spacing w:before="0" w:after="283"/>
              <w:ind w:left="0" w:right="0" w:hanging="180"/>
              <w:jc w:val="center"/>
              <w:rPr/>
            </w:pPr>
            <w:r>
              <w:rPr/>
              <w:t> </w:t>
            </w:r>
          </w:p>
        </w:tc>
      </w:tr>
      <w:tr>
        <w:trPr/>
        <w:tc>
          <w:tcPr>
            <w:tcW w:w="9335" w:type="dxa"/>
            <w:tcBorders/>
            <w:shd w:fill="CCEEFF" w:val="clear"/>
            <w:vAlign w:val="center"/>
          </w:tcPr>
          <w:p>
            <w:pPr>
              <w:pStyle w:val="TableContents"/>
              <w:bidi w:val="0"/>
              <w:spacing w:before="0" w:after="283"/>
              <w:jc w:val="center"/>
              <w:rPr/>
            </w:pPr>
            <w:hyperlink w:anchor="a_012">
              <w:r>
                <w:rPr>
                  <w:rStyle w:val="InternetLink"/>
                  <w:rFonts w:ascii="Times New Roman;Times;Serif" w:hAnsi="Times New Roman;Times;Serif"/>
                  <w:b/>
                  <w:sz w:val="20"/>
                </w:rPr>
                <w:t>PART II – OTHER INFORMATION</w:t>
              </w:r>
            </w:hyperlink>
          </w:p>
        </w:tc>
        <w:tc>
          <w:tcPr>
            <w:tcW w:w="90" w:type="dxa"/>
            <w:tcBorders/>
            <w:shd w:fill="CCEEFF" w:val="clear"/>
            <w:vAlign w:val="center"/>
          </w:tcPr>
          <w:p>
            <w:pPr>
              <w:pStyle w:val="TableContents"/>
              <w:bidi w:val="0"/>
              <w:spacing w:before="0" w:after="283"/>
              <w:jc w:val="center"/>
              <w:rPr/>
            </w:pPr>
            <w:r>
              <w:rPr/>
              <w:t> </w:t>
            </w:r>
          </w:p>
        </w:tc>
        <w:tc>
          <w:tcPr>
            <w:tcW w:w="780" w:type="dxa"/>
            <w:tcBorders/>
            <w:shd w:fill="CCEEFF" w:val="clear"/>
            <w:vAlign w:val="center"/>
          </w:tcPr>
          <w:p>
            <w:pPr>
              <w:pStyle w:val="TableContents"/>
              <w:bidi w:val="0"/>
              <w:spacing w:before="0" w:after="283"/>
              <w:ind w:left="0" w:right="0" w:hanging="180"/>
              <w:jc w:val="center"/>
              <w:rPr/>
            </w:pPr>
            <w:r>
              <w:rPr/>
              <w:t> </w:t>
            </w:r>
          </w:p>
        </w:tc>
      </w:tr>
      <w:tr>
        <w:trPr/>
        <w:tc>
          <w:tcPr>
            <w:tcW w:w="9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780" w:type="dxa"/>
            <w:tcBorders/>
            <w:vAlign w:val="center"/>
          </w:tcPr>
          <w:p>
            <w:pPr>
              <w:pStyle w:val="TableContents"/>
              <w:bidi w:val="0"/>
              <w:spacing w:before="0" w:after="283"/>
              <w:ind w:left="0" w:right="0" w:hanging="180"/>
              <w:jc w:val="center"/>
              <w:rPr/>
            </w:pPr>
            <w:r>
              <w:rPr/>
              <w:t> </w:t>
            </w:r>
          </w:p>
        </w:tc>
      </w:tr>
      <w:tr>
        <w:trPr/>
        <w:tc>
          <w:tcPr>
            <w:tcW w:w="933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Item 1. Legal Proceedings</w:t>
              </w:r>
            </w:hyperlink>
          </w:p>
        </w:tc>
        <w:tc>
          <w:tcPr>
            <w:tcW w:w="90" w:type="dxa"/>
            <w:tcBorders/>
            <w:shd w:fill="CCEEFF" w:val="clear"/>
            <w:vAlign w:val="center"/>
          </w:tcPr>
          <w:p>
            <w:pPr>
              <w:pStyle w:val="TableContents"/>
              <w:bidi w:val="0"/>
              <w:spacing w:before="0" w:after="283"/>
              <w:jc w:val="center"/>
              <w:rPr/>
            </w:pPr>
            <w:r>
              <w:rPr/>
              <w:t> </w:t>
            </w:r>
          </w:p>
        </w:tc>
        <w:tc>
          <w:tcPr>
            <w:tcW w:w="78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20</w:t>
            </w:r>
          </w:p>
        </w:tc>
      </w:tr>
      <w:tr>
        <w:trPr/>
        <w:tc>
          <w:tcPr>
            <w:tcW w:w="9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780" w:type="dxa"/>
            <w:tcBorders/>
            <w:vAlign w:val="center"/>
          </w:tcPr>
          <w:p>
            <w:pPr>
              <w:pStyle w:val="TableContents"/>
              <w:bidi w:val="0"/>
              <w:spacing w:before="0" w:after="283"/>
              <w:ind w:left="0" w:right="0" w:hanging="180"/>
              <w:jc w:val="center"/>
              <w:rPr/>
            </w:pPr>
            <w:r>
              <w:rPr/>
              <w:t> </w:t>
            </w:r>
          </w:p>
        </w:tc>
      </w:tr>
      <w:tr>
        <w:trPr/>
        <w:tc>
          <w:tcPr>
            <w:tcW w:w="9335"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Item 1A. Risk Factors</w:t>
              </w:r>
            </w:hyperlink>
          </w:p>
        </w:tc>
        <w:tc>
          <w:tcPr>
            <w:tcW w:w="90" w:type="dxa"/>
            <w:tcBorders/>
            <w:shd w:fill="CCEEFF" w:val="clear"/>
            <w:vAlign w:val="center"/>
          </w:tcPr>
          <w:p>
            <w:pPr>
              <w:pStyle w:val="TableContents"/>
              <w:bidi w:val="0"/>
              <w:spacing w:before="0" w:after="283"/>
              <w:jc w:val="center"/>
              <w:rPr/>
            </w:pPr>
            <w:r>
              <w:rPr/>
              <w:t> </w:t>
            </w:r>
          </w:p>
        </w:tc>
        <w:tc>
          <w:tcPr>
            <w:tcW w:w="78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20</w:t>
            </w:r>
          </w:p>
        </w:tc>
      </w:tr>
      <w:tr>
        <w:trPr/>
        <w:tc>
          <w:tcPr>
            <w:tcW w:w="9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780" w:type="dxa"/>
            <w:tcBorders/>
            <w:vAlign w:val="center"/>
          </w:tcPr>
          <w:p>
            <w:pPr>
              <w:pStyle w:val="TableContents"/>
              <w:bidi w:val="0"/>
              <w:spacing w:before="0" w:after="283"/>
              <w:ind w:left="0" w:right="0" w:hanging="180"/>
              <w:jc w:val="center"/>
              <w:rPr/>
            </w:pPr>
            <w:r>
              <w:rPr/>
              <w:t> </w:t>
            </w:r>
          </w:p>
        </w:tc>
      </w:tr>
      <w:tr>
        <w:trPr/>
        <w:tc>
          <w:tcPr>
            <w:tcW w:w="933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Item 2. Unregistered Sales of Equity Securities and Use of Proceeds</w:t>
              </w:r>
            </w:hyperlink>
          </w:p>
        </w:tc>
        <w:tc>
          <w:tcPr>
            <w:tcW w:w="90" w:type="dxa"/>
            <w:tcBorders/>
            <w:shd w:fill="CCEEFF" w:val="clear"/>
            <w:vAlign w:val="center"/>
          </w:tcPr>
          <w:p>
            <w:pPr>
              <w:pStyle w:val="TableContents"/>
              <w:bidi w:val="0"/>
              <w:spacing w:before="0" w:after="283"/>
              <w:jc w:val="center"/>
              <w:rPr/>
            </w:pPr>
            <w:r>
              <w:rPr/>
              <w:t> </w:t>
            </w:r>
          </w:p>
        </w:tc>
        <w:tc>
          <w:tcPr>
            <w:tcW w:w="78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20</w:t>
            </w:r>
          </w:p>
        </w:tc>
      </w:tr>
      <w:tr>
        <w:trPr/>
        <w:tc>
          <w:tcPr>
            <w:tcW w:w="9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780" w:type="dxa"/>
            <w:tcBorders/>
            <w:vAlign w:val="center"/>
          </w:tcPr>
          <w:p>
            <w:pPr>
              <w:pStyle w:val="TableContents"/>
              <w:bidi w:val="0"/>
              <w:spacing w:before="0" w:after="283"/>
              <w:ind w:left="0" w:right="0" w:hanging="180"/>
              <w:jc w:val="center"/>
              <w:rPr/>
            </w:pPr>
            <w:r>
              <w:rPr/>
              <w:t> </w:t>
            </w:r>
          </w:p>
        </w:tc>
      </w:tr>
      <w:tr>
        <w:trPr/>
        <w:tc>
          <w:tcPr>
            <w:tcW w:w="9335"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Item 3. Defaults Upon Senior Securities</w:t>
              </w:r>
            </w:hyperlink>
          </w:p>
        </w:tc>
        <w:tc>
          <w:tcPr>
            <w:tcW w:w="90" w:type="dxa"/>
            <w:tcBorders/>
            <w:shd w:fill="CCEEFF" w:val="clear"/>
            <w:vAlign w:val="center"/>
          </w:tcPr>
          <w:p>
            <w:pPr>
              <w:pStyle w:val="TableContents"/>
              <w:bidi w:val="0"/>
              <w:spacing w:before="0" w:after="283"/>
              <w:jc w:val="center"/>
              <w:rPr/>
            </w:pPr>
            <w:r>
              <w:rPr/>
              <w:t> </w:t>
            </w:r>
          </w:p>
        </w:tc>
        <w:tc>
          <w:tcPr>
            <w:tcW w:w="78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20</w:t>
            </w:r>
          </w:p>
        </w:tc>
      </w:tr>
      <w:tr>
        <w:trPr/>
        <w:tc>
          <w:tcPr>
            <w:tcW w:w="9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780" w:type="dxa"/>
            <w:tcBorders/>
            <w:vAlign w:val="center"/>
          </w:tcPr>
          <w:p>
            <w:pPr>
              <w:pStyle w:val="TableContents"/>
              <w:bidi w:val="0"/>
              <w:spacing w:before="0" w:after="283"/>
              <w:ind w:left="0" w:right="0" w:hanging="180"/>
              <w:jc w:val="center"/>
              <w:rPr/>
            </w:pPr>
            <w:r>
              <w:rPr/>
              <w:t> </w:t>
            </w:r>
          </w:p>
        </w:tc>
      </w:tr>
      <w:tr>
        <w:trPr/>
        <w:tc>
          <w:tcPr>
            <w:tcW w:w="933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Item 4. Mine Safety Disclosures</w:t>
              </w:r>
            </w:hyperlink>
          </w:p>
        </w:tc>
        <w:tc>
          <w:tcPr>
            <w:tcW w:w="90" w:type="dxa"/>
            <w:tcBorders/>
            <w:shd w:fill="CCEEFF" w:val="clear"/>
            <w:vAlign w:val="center"/>
          </w:tcPr>
          <w:p>
            <w:pPr>
              <w:pStyle w:val="TableContents"/>
              <w:bidi w:val="0"/>
              <w:spacing w:before="0" w:after="283"/>
              <w:jc w:val="center"/>
              <w:rPr/>
            </w:pPr>
            <w:r>
              <w:rPr/>
              <w:t> </w:t>
            </w:r>
          </w:p>
        </w:tc>
        <w:tc>
          <w:tcPr>
            <w:tcW w:w="78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20</w:t>
            </w:r>
          </w:p>
        </w:tc>
      </w:tr>
      <w:tr>
        <w:trPr/>
        <w:tc>
          <w:tcPr>
            <w:tcW w:w="9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780" w:type="dxa"/>
            <w:tcBorders/>
            <w:vAlign w:val="center"/>
          </w:tcPr>
          <w:p>
            <w:pPr>
              <w:pStyle w:val="TableContents"/>
              <w:bidi w:val="0"/>
              <w:spacing w:before="0" w:after="283"/>
              <w:ind w:left="0" w:right="0" w:hanging="180"/>
              <w:jc w:val="center"/>
              <w:rPr/>
            </w:pPr>
            <w:r>
              <w:rPr/>
              <w:t> </w:t>
            </w:r>
          </w:p>
        </w:tc>
      </w:tr>
      <w:tr>
        <w:trPr/>
        <w:tc>
          <w:tcPr>
            <w:tcW w:w="9335"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Item 5. Other Information</w:t>
              </w:r>
            </w:hyperlink>
          </w:p>
        </w:tc>
        <w:tc>
          <w:tcPr>
            <w:tcW w:w="90" w:type="dxa"/>
            <w:tcBorders/>
            <w:shd w:fill="CCEEFF" w:val="clear"/>
            <w:vAlign w:val="center"/>
          </w:tcPr>
          <w:p>
            <w:pPr>
              <w:pStyle w:val="TableContents"/>
              <w:bidi w:val="0"/>
              <w:spacing w:before="0" w:after="283"/>
              <w:jc w:val="center"/>
              <w:rPr/>
            </w:pPr>
            <w:r>
              <w:rPr/>
              <w:t> </w:t>
            </w:r>
          </w:p>
        </w:tc>
        <w:tc>
          <w:tcPr>
            <w:tcW w:w="78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20</w:t>
            </w:r>
          </w:p>
        </w:tc>
      </w:tr>
      <w:tr>
        <w:trPr/>
        <w:tc>
          <w:tcPr>
            <w:tcW w:w="9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780" w:type="dxa"/>
            <w:tcBorders/>
            <w:vAlign w:val="center"/>
          </w:tcPr>
          <w:p>
            <w:pPr>
              <w:pStyle w:val="TableContents"/>
              <w:bidi w:val="0"/>
              <w:spacing w:before="0" w:after="283"/>
              <w:ind w:left="0" w:right="0" w:hanging="180"/>
              <w:jc w:val="center"/>
              <w:rPr/>
            </w:pPr>
            <w:r>
              <w:rPr/>
              <w:t> </w:t>
            </w:r>
          </w:p>
        </w:tc>
      </w:tr>
      <w:tr>
        <w:trPr/>
        <w:tc>
          <w:tcPr>
            <w:tcW w:w="9335"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Item 6. Exhibits</w:t>
              </w:r>
            </w:hyperlink>
          </w:p>
        </w:tc>
        <w:tc>
          <w:tcPr>
            <w:tcW w:w="90" w:type="dxa"/>
            <w:tcBorders/>
            <w:shd w:fill="CCEEFF" w:val="clear"/>
            <w:vAlign w:val="center"/>
          </w:tcPr>
          <w:p>
            <w:pPr>
              <w:pStyle w:val="TableContents"/>
              <w:bidi w:val="0"/>
              <w:spacing w:before="0" w:after="283"/>
              <w:jc w:val="center"/>
              <w:rPr/>
            </w:pPr>
            <w:r>
              <w:rPr/>
              <w:t> </w:t>
            </w:r>
          </w:p>
        </w:tc>
        <w:tc>
          <w:tcPr>
            <w:tcW w:w="7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“aim,” “will,” “would,” “could,” and similar expressions or phrases identify forward-looking statements. We have based these forward-looking statements largely on our current expectations and future events and financial trends that we believe may affect our financial condition, results of operation, business strategy and financial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thoroughly this report and the documents that we refer to herein with the understanding that our actual future results may be materially different from and/or worse than what we expect. We qualify all of our forward-looking statements by these cautionary statements including those made in this report, in Part I. Item 1A. Risk Factors also appear in our Annual Report on Form 10-K for the year ended December 31, 2024 and our other filings with the Securities and Exchange Commission. Some examples of risk factors which may affect our business are as follows:</w:t>
      </w:r>
    </w:p>
    <w:p>
      <w:pPr>
        <w:pStyle w:val="TextBody"/>
        <w:bidi w:val="0"/>
        <w:spacing w:before="0" w:after="0"/>
        <w:ind w:left="0" w:right="0" w:firstLine="720"/>
        <w:jc w:val="both"/>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105"/>
        <w:gridCol w:w="200"/>
        <w:gridCol w:w="59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lack of significant revenues, positive cash flow and history of losses,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acceptance of our products and competition;</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attract and retain customers for existing and new products;</w:t>
            </w:r>
          </w:p>
        </w:tc>
      </w:tr>
    </w:tbl>
    <w:p>
      <w:pPr>
        <w:pStyle w:val="TextBody"/>
        <w:bidi w:val="0"/>
        <w:spacing w:before="0" w:after="0"/>
        <w:ind w:left="0" w:right="0" w:hanging="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105"/>
        <w:gridCol w:w="200"/>
        <w:gridCol w:w="78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effectively maintain and update our technology and product and service portfolio;</w:t>
            </w:r>
          </w:p>
        </w:tc>
      </w:tr>
    </w:tbl>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105"/>
        <w:gridCol w:w="200"/>
        <w:gridCol w:w="42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reliance on third party software and developers;</w:t>
            </w:r>
          </w:p>
        </w:tc>
      </w:tr>
    </w:tbl>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105"/>
        <w:gridCol w:w="200"/>
        <w:gridCol w:w="49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breaches of network or IT security and presentation attacks;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hire and retain key personnel and additional talent;</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raise capital under acceptable terms;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listing of our common stock on the Nasdaq Capital Market;</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adequately protect our intellectual property, or the loss of some of our intellectual property rights through costly litigation or administrative proceedings;</w:t>
            </w:r>
          </w:p>
        </w:tc>
      </w:tr>
    </w:tbl>
    <w:p>
      <w:pPr>
        <w:pStyle w:val="TextBody"/>
        <w:bidi w:val="0"/>
        <w:spacing w:before="0" w:after="0"/>
        <w:ind w:left="0" w:right="0" w:hanging="0"/>
        <w:jc w:val="left"/>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105"/>
        <w:gridCol w:w="200"/>
        <w:gridCol w:w="56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operate in non-US markets;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the wars in Ukraine and the Middle East;</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 price and market volatility and the risk of securities litigation;</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legislation and government regulation; and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conditions, inflation and access to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sections of this report include additional factors which could adversely impact our business and financial performance.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Except for our ongoing obligations to disclose material information under the Federal securities laws, we undertake no obligation to release publicly any revisions to any forward-looking statements, to report events or to report the occurrence of unanticipated events. These forward-looking statements speak only as of the date of this report, and you should not rely on these statements without also considering the risks and uncertainties associated with these statements and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PERTINENT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specifically set forth to the contrary, when used in this report the terms “authID” the “Company,” “we,” “our,” “us,” and similar terms refer to authID Inc., a Delaware corporation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which appears on our website www.authID.ai is not part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authID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65"/>
        <w:gridCol w:w="90"/>
        <w:gridCol w:w="170"/>
        <w:gridCol w:w="1325"/>
        <w:gridCol w:w="125"/>
        <w:gridCol w:w="90"/>
        <w:gridCol w:w="170"/>
        <w:gridCol w:w="1325"/>
        <w:gridCol w:w="145"/>
      </w:tblGrid>
      <w:tr>
        <w:trPr/>
        <w:tc>
          <w:tcPr>
            <w:tcW w:w="67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b/>
              </w:rPr>
            </w:pPr>
            <w:r>
              <w:rPr>
                <w:b/>
              </w:rPr>
              <w:t>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b/>
              </w:rPr>
            </w:pPr>
            <w:r>
              <w:rPr>
                <w:b/>
              </w:rPr>
              <w:t>December 31,</w:t>
            </w:r>
          </w:p>
        </w:tc>
        <w:tc>
          <w:tcPr>
            <w:tcW w:w="145" w:type="dxa"/>
            <w:tcBorders/>
            <w:vAlign w:val="center"/>
          </w:tcPr>
          <w:p>
            <w:pPr>
              <w:pStyle w:val="TableContents"/>
              <w:bidi w:val="0"/>
              <w:spacing w:before="0" w:after="283"/>
              <w:jc w:val="left"/>
              <w:rPr/>
            </w:pPr>
            <w:r>
              <w:rPr/>
              <w:t> </w:t>
            </w:r>
          </w:p>
        </w:tc>
      </w:tr>
      <w:tr>
        <w:trPr/>
        <w:tc>
          <w:tcPr>
            <w:tcW w:w="67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5" w:type="dxa"/>
            <w:tcBorders/>
            <w:vAlign w:val="center"/>
          </w:tcPr>
          <w:p>
            <w:pPr>
              <w:pStyle w:val="TableContents"/>
              <w:bidi w:val="0"/>
              <w:spacing w:before="0" w:after="283"/>
              <w:jc w:val="left"/>
              <w:rPr/>
            </w:pPr>
            <w:r>
              <w:rPr/>
              <w:t> </w:t>
            </w:r>
          </w:p>
        </w:tc>
      </w:tr>
      <w:tr>
        <w:trPr/>
        <w:tc>
          <w:tcPr>
            <w:tcW w:w="67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b/>
              </w:rPr>
            </w:pPr>
            <w:r>
              <w:rPr>
                <w:b/>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right"/>
              <w:rPr/>
            </w:pPr>
            <w:r>
              <w:rPr/>
              <w:t> </w:t>
            </w:r>
          </w:p>
        </w:tc>
        <w:tc>
          <w:tcPr>
            <w:tcW w:w="145" w:type="dxa"/>
            <w:tcBorders/>
            <w:vAlign w:val="center"/>
          </w:tcPr>
          <w:p>
            <w:pPr>
              <w:pStyle w:val="TableContents"/>
              <w:bidi w:val="0"/>
              <w:spacing w:before="0" w:after="283"/>
              <w:jc w:val="left"/>
              <w:rPr/>
            </w:pPr>
            <w:r>
              <w:rPr/>
              <w:t> </w:t>
            </w:r>
          </w:p>
        </w:tc>
      </w:tr>
      <w:tr>
        <w:trPr/>
        <w:tc>
          <w:tcPr>
            <w:tcW w:w="6765" w:type="dxa"/>
            <w:tcBorders/>
            <w:vAlign w:val="center"/>
          </w:tcPr>
          <w:p>
            <w:pPr>
              <w:pStyle w:val="TableContents"/>
              <w:bidi w:val="0"/>
              <w:spacing w:before="0" w:after="283"/>
              <w:jc w:val="center"/>
              <w:rPr/>
            </w:pPr>
            <w:r>
              <w:rPr/>
              <w:t>ASSETS</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right"/>
              <w:rPr/>
            </w:pPr>
            <w:r>
              <w:rPr/>
              <w:t> </w:t>
            </w:r>
          </w:p>
        </w:tc>
        <w:tc>
          <w:tcPr>
            <w:tcW w:w="145" w:type="dxa"/>
            <w:tcBorders/>
            <w:vAlign w:val="center"/>
          </w:tcPr>
          <w:p>
            <w:pPr>
              <w:pStyle w:val="TableContents"/>
              <w:bidi w:val="0"/>
              <w:spacing w:before="0" w:after="283"/>
              <w:jc w:val="left"/>
              <w:rPr/>
            </w:pPr>
            <w:r>
              <w:rPr/>
              <w:t> </w:t>
            </w:r>
          </w:p>
        </w:tc>
      </w:tr>
      <w:tr>
        <w:trPr/>
        <w:tc>
          <w:tcPr>
            <w:tcW w:w="6765"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right"/>
              <w:rPr/>
            </w:pPr>
            <w:r>
              <w:rPr/>
              <w:t> </w:t>
            </w:r>
          </w:p>
        </w:tc>
        <w:tc>
          <w:tcPr>
            <w:tcW w:w="145" w:type="dxa"/>
            <w:tcBorders/>
            <w:vAlign w:val="center"/>
          </w:tcPr>
          <w:p>
            <w:pPr>
              <w:pStyle w:val="TableContents"/>
              <w:bidi w:val="0"/>
              <w:spacing w:before="0" w:after="283"/>
              <w:ind w:left="0" w:right="0" w:hanging="180"/>
              <w:jc w:val="left"/>
              <w:rPr/>
            </w:pPr>
            <w:r>
              <w:rPr/>
              <w:t> </w:t>
            </w:r>
          </w:p>
        </w:tc>
      </w:tr>
      <w:tr>
        <w:trPr/>
        <w:tc>
          <w:tcPr>
            <w:tcW w:w="6765"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2,866,347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8,471,561</w:t>
            </w:r>
          </w:p>
        </w:tc>
        <w:tc>
          <w:tcPr>
            <w:tcW w:w="145" w:type="dxa"/>
            <w:tcBorders/>
            <w:shd w:fill="CCEEFF" w:val="clear"/>
            <w:vAlign w:val="center"/>
          </w:tcPr>
          <w:p>
            <w:pPr>
              <w:pStyle w:val="TableContents"/>
              <w:bidi w:val="0"/>
              <w:spacing w:before="0" w:after="283"/>
              <w:ind w:left="0" w:right="0" w:hanging="180"/>
              <w:jc w:val="left"/>
              <w:rPr/>
            </w:pPr>
            <w:r>
              <w:rPr/>
              <w:t> </w:t>
            </w:r>
          </w:p>
        </w:tc>
      </w:tr>
      <w:tr>
        <w:trPr/>
        <w:tc>
          <w:tcPr>
            <w:tcW w:w="6765" w:type="dxa"/>
            <w:tcBorders/>
            <w:vAlign w:val="center"/>
          </w:tcPr>
          <w:p>
            <w:pPr>
              <w:pStyle w:val="TableContents"/>
              <w:bidi w:val="0"/>
              <w:spacing w:before="0" w:after="283"/>
              <w:jc w:val="left"/>
              <w:rPr/>
            </w:pPr>
            <w:r>
              <w:rPr/>
              <w:t>Accounts receivable,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1,028,564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97,897</w:t>
            </w:r>
          </w:p>
        </w:tc>
        <w:tc>
          <w:tcPr>
            <w:tcW w:w="145" w:type="dxa"/>
            <w:tcBorders/>
            <w:vAlign w:val="center"/>
          </w:tcPr>
          <w:p>
            <w:pPr>
              <w:pStyle w:val="TableContents"/>
              <w:bidi w:val="0"/>
              <w:spacing w:before="0" w:after="283"/>
              <w:ind w:left="0" w:right="0" w:hanging="180"/>
              <w:jc w:val="left"/>
              <w:rPr/>
            </w:pPr>
            <w:r>
              <w:rPr/>
              <w:t> </w:t>
            </w:r>
          </w:p>
        </w:tc>
      </w:tr>
      <w:tr>
        <w:trPr/>
        <w:tc>
          <w:tcPr>
            <w:tcW w:w="6765" w:type="dxa"/>
            <w:tcBorders/>
            <w:shd w:fill="CCEEFF" w:val="clear"/>
            <w:vAlign w:val="center"/>
          </w:tcPr>
          <w:p>
            <w:pPr>
              <w:pStyle w:val="TableContents"/>
              <w:bidi w:val="0"/>
              <w:spacing w:before="0" w:after="283"/>
              <w:jc w:val="left"/>
              <w:rPr/>
            </w:pPr>
            <w:r>
              <w:rPr/>
              <w:t>Contract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487,551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426,859</w:t>
            </w:r>
          </w:p>
        </w:tc>
        <w:tc>
          <w:tcPr>
            <w:tcW w:w="145" w:type="dxa"/>
            <w:tcBorders/>
            <w:shd w:fill="CCEEFF" w:val="clear"/>
            <w:vAlign w:val="center"/>
          </w:tcPr>
          <w:p>
            <w:pPr>
              <w:pStyle w:val="TableContents"/>
              <w:bidi w:val="0"/>
              <w:spacing w:before="0" w:after="283"/>
              <w:ind w:left="0" w:right="0" w:hanging="180"/>
              <w:jc w:val="left"/>
              <w:rPr/>
            </w:pPr>
            <w:r>
              <w:rPr/>
              <w:t> </w:t>
            </w:r>
          </w:p>
        </w:tc>
      </w:tr>
      <w:tr>
        <w:trPr/>
        <w:tc>
          <w:tcPr>
            <w:tcW w:w="6765" w:type="dxa"/>
            <w:tcBorders/>
            <w:vAlign w:val="center"/>
          </w:tcPr>
          <w:p>
            <w:pPr>
              <w:pStyle w:val="TableContents"/>
              <w:bidi w:val="0"/>
              <w:spacing w:before="0" w:after="283"/>
              <w:jc w:val="left"/>
              <w:rPr/>
            </w:pPr>
            <w:r>
              <w:rPr/>
              <w:t>Deferred contract costs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595,359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617,918</w:t>
            </w:r>
          </w:p>
        </w:tc>
        <w:tc>
          <w:tcPr>
            <w:tcW w:w="145" w:type="dxa"/>
            <w:tcBorders/>
            <w:vAlign w:val="center"/>
          </w:tcPr>
          <w:p>
            <w:pPr>
              <w:pStyle w:val="TableContents"/>
              <w:bidi w:val="0"/>
              <w:spacing w:before="0" w:after="283"/>
              <w:ind w:left="0" w:right="0" w:hanging="180"/>
              <w:jc w:val="left"/>
              <w:rPr/>
            </w:pPr>
            <w:r>
              <w:rPr/>
              <w:t> </w:t>
            </w:r>
          </w:p>
        </w:tc>
      </w:tr>
      <w:tr>
        <w:trPr/>
        <w:tc>
          <w:tcPr>
            <w:tcW w:w="6765" w:type="dxa"/>
            <w:tcBorders/>
            <w:shd w:fill="CCEEFF" w:val="clear"/>
            <w:vAlign w:val="center"/>
          </w:tcPr>
          <w:p>
            <w:pPr>
              <w:pStyle w:val="TableContents"/>
              <w:bidi w:val="0"/>
              <w:spacing w:before="0" w:after="283"/>
              <w:jc w:val="left"/>
              <w:rPr/>
            </w:pPr>
            <w:r>
              <w:rPr/>
              <w:t>Other current assets,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623,475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460,192</w:t>
            </w:r>
          </w:p>
        </w:tc>
        <w:tc>
          <w:tcPr>
            <w:tcW w:w="145" w:type="dxa"/>
            <w:tcBorders/>
            <w:shd w:fill="CCEEFF" w:val="clear"/>
            <w:vAlign w:val="center"/>
          </w:tcPr>
          <w:p>
            <w:pPr>
              <w:pStyle w:val="TableContents"/>
              <w:bidi w:val="0"/>
              <w:spacing w:before="0" w:after="283"/>
              <w:ind w:left="0" w:right="0" w:hanging="180"/>
              <w:jc w:val="left"/>
              <w:rPr/>
            </w:pPr>
            <w:r>
              <w:rPr/>
              <w:t> </w:t>
            </w:r>
          </w:p>
        </w:tc>
      </w:tr>
      <w:tr>
        <w:trPr/>
        <w:tc>
          <w:tcPr>
            <w:tcW w:w="6765"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5,601,296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10,074,427</w:t>
            </w:r>
          </w:p>
        </w:tc>
        <w:tc>
          <w:tcPr>
            <w:tcW w:w="145" w:type="dxa"/>
            <w:tcBorders/>
            <w:vAlign w:val="center"/>
          </w:tcPr>
          <w:p>
            <w:pPr>
              <w:pStyle w:val="TableContents"/>
              <w:bidi w:val="0"/>
              <w:spacing w:before="0" w:after="283"/>
              <w:ind w:left="0" w:right="0" w:hanging="180"/>
              <w:jc w:val="left"/>
              <w:rPr/>
            </w:pPr>
            <w:r>
              <w:rPr/>
              <w:t> </w:t>
            </w:r>
          </w:p>
        </w:tc>
      </w:tr>
      <w:tr>
        <w:trPr/>
        <w:tc>
          <w:tcPr>
            <w:tcW w:w="67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ind w:left="0" w:right="0" w:hanging="180"/>
              <w:jc w:val="left"/>
              <w:rPr/>
            </w:pPr>
            <w:r>
              <w:rPr/>
              <w:t> </w:t>
            </w:r>
          </w:p>
        </w:tc>
      </w:tr>
      <w:tr>
        <w:trPr/>
        <w:tc>
          <w:tcPr>
            <w:tcW w:w="6765" w:type="dxa"/>
            <w:tcBorders/>
            <w:vAlign w:val="center"/>
          </w:tcPr>
          <w:p>
            <w:pPr>
              <w:pStyle w:val="TableContents"/>
              <w:bidi w:val="0"/>
              <w:spacing w:before="0" w:after="283"/>
              <w:jc w:val="left"/>
              <w:rPr/>
            </w:pPr>
            <w:r>
              <w:rPr/>
              <w:t>Intangible assets,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185,226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213,718</w:t>
            </w:r>
          </w:p>
        </w:tc>
        <w:tc>
          <w:tcPr>
            <w:tcW w:w="145" w:type="dxa"/>
            <w:tcBorders/>
            <w:vAlign w:val="center"/>
          </w:tcPr>
          <w:p>
            <w:pPr>
              <w:pStyle w:val="TableContents"/>
              <w:bidi w:val="0"/>
              <w:spacing w:before="0" w:after="283"/>
              <w:ind w:left="0" w:right="0" w:hanging="180"/>
              <w:jc w:val="left"/>
              <w:rPr/>
            </w:pPr>
            <w:r>
              <w:rPr/>
              <w:t> </w:t>
            </w:r>
          </w:p>
        </w:tc>
      </w:tr>
      <w:tr>
        <w:trPr/>
        <w:tc>
          <w:tcPr>
            <w:tcW w:w="6765" w:type="dxa"/>
            <w:tcBorders/>
            <w:shd w:fill="CCEEFF" w:val="clear"/>
            <w:vAlign w:val="center"/>
          </w:tcPr>
          <w:p>
            <w:pPr>
              <w:pStyle w:val="TableContents"/>
              <w:bidi w:val="0"/>
              <w:spacing w:before="0" w:after="283"/>
              <w:jc w:val="left"/>
              <w:rPr/>
            </w:pPr>
            <w:r>
              <w:rPr/>
              <w:t>Goodwill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4,183,232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4,183,232</w:t>
            </w:r>
          </w:p>
        </w:tc>
        <w:tc>
          <w:tcPr>
            <w:tcW w:w="145" w:type="dxa"/>
            <w:tcBorders/>
            <w:shd w:fill="CCEEFF" w:val="clear"/>
            <w:vAlign w:val="center"/>
          </w:tcPr>
          <w:p>
            <w:pPr>
              <w:pStyle w:val="TableContents"/>
              <w:bidi w:val="0"/>
              <w:spacing w:before="0" w:after="283"/>
              <w:ind w:left="0" w:right="0" w:hanging="180"/>
              <w:jc w:val="left"/>
              <w:rPr/>
            </w:pPr>
            <w:r>
              <w:rPr/>
              <w:t> </w:t>
            </w:r>
          </w:p>
        </w:tc>
      </w:tr>
      <w:tr>
        <w:trPr/>
        <w:tc>
          <w:tcPr>
            <w:tcW w:w="6765" w:type="dxa"/>
            <w:tcBorders/>
            <w:vAlign w:val="center"/>
          </w:tcPr>
          <w:p>
            <w:pPr>
              <w:pStyle w:val="TableContents"/>
              <w:bidi w:val="0"/>
              <w:spacing w:before="0" w:after="283"/>
              <w:jc w:val="left"/>
              <w:rPr/>
            </w:pPr>
            <w:r>
              <w:rPr/>
              <w:t>Total assets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tcMar>
              <w:bottom w:w="28" w:type="dxa"/>
            </w:tcMar>
            <w:vAlign w:val="center"/>
          </w:tcPr>
          <w:p>
            <w:pPr>
              <w:pStyle w:val="TableContents"/>
              <w:bidi w:val="0"/>
              <w:spacing w:before="0" w:after="283"/>
              <w:jc w:val="right"/>
              <w:rPr/>
            </w:pPr>
            <w:r>
              <w:rPr/>
              <w:t>9,969,754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tcMar>
              <w:bottom w:w="28" w:type="dxa"/>
            </w:tcMar>
            <w:vAlign w:val="center"/>
          </w:tcPr>
          <w:p>
            <w:pPr>
              <w:pStyle w:val="TableContents"/>
              <w:bidi w:val="0"/>
              <w:spacing w:before="0" w:after="283"/>
              <w:jc w:val="right"/>
              <w:rPr/>
            </w:pPr>
            <w:r>
              <w:rPr/>
              <w:t>14,471,377</w:t>
            </w:r>
          </w:p>
        </w:tc>
        <w:tc>
          <w:tcPr>
            <w:tcW w:w="145" w:type="dxa"/>
            <w:tcBorders/>
            <w:vAlign w:val="center"/>
          </w:tcPr>
          <w:p>
            <w:pPr>
              <w:pStyle w:val="TableContents"/>
              <w:bidi w:val="0"/>
              <w:spacing w:before="0" w:after="283"/>
              <w:ind w:left="0" w:right="0" w:hanging="180"/>
              <w:jc w:val="left"/>
              <w:rPr/>
            </w:pPr>
            <w:r>
              <w:rPr/>
              <w:t> </w:t>
            </w:r>
          </w:p>
        </w:tc>
      </w:tr>
      <w:tr>
        <w:trPr/>
        <w:tc>
          <w:tcPr>
            <w:tcW w:w="67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ind w:left="0" w:right="0" w:hanging="180"/>
              <w:jc w:val="left"/>
              <w:rPr/>
            </w:pPr>
            <w:r>
              <w:rPr/>
              <w:t> </w:t>
            </w:r>
          </w:p>
        </w:tc>
      </w:tr>
      <w:tr>
        <w:trPr/>
        <w:tc>
          <w:tcPr>
            <w:tcW w:w="6765" w:type="dxa"/>
            <w:tcBorders/>
            <w:vAlign w:val="center"/>
          </w:tcPr>
          <w:p>
            <w:pPr>
              <w:pStyle w:val="TableContents"/>
              <w:bidi w:val="0"/>
              <w:spacing w:before="0" w:after="283"/>
              <w:jc w:val="center"/>
              <w:rPr/>
            </w:pPr>
            <w:r>
              <w:rPr/>
              <w:t>LIABILITIES AND STOCKHOLDERS’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45" w:type="dxa"/>
            <w:tcBorders/>
            <w:vAlign w:val="center"/>
          </w:tcPr>
          <w:p>
            <w:pPr>
              <w:pStyle w:val="TableContents"/>
              <w:bidi w:val="0"/>
              <w:spacing w:before="0" w:after="283"/>
              <w:ind w:left="0" w:right="0" w:hanging="180"/>
              <w:jc w:val="left"/>
              <w:rPr/>
            </w:pPr>
            <w:r>
              <w:rPr/>
              <w:t> </w:t>
            </w:r>
          </w:p>
        </w:tc>
      </w:tr>
      <w:tr>
        <w:trPr/>
        <w:tc>
          <w:tcPr>
            <w:tcW w:w="6765" w:type="dxa"/>
            <w:tcBorders/>
            <w:shd w:fill="CCEEFF" w:val="clear"/>
            <w:vAlign w:val="center"/>
          </w:tcPr>
          <w:p>
            <w:pPr>
              <w:pStyle w:val="TableContents"/>
              <w:bidi w:val="0"/>
              <w:spacing w:before="0" w:after="283"/>
              <w:jc w:val="left"/>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ind w:left="0" w:right="0" w:hanging="180"/>
              <w:jc w:val="left"/>
              <w:rPr/>
            </w:pPr>
            <w:r>
              <w:rPr/>
              <w:t> </w:t>
            </w:r>
          </w:p>
        </w:tc>
      </w:tr>
      <w:tr>
        <w:trPr/>
        <w:tc>
          <w:tcPr>
            <w:tcW w:w="6765" w:type="dxa"/>
            <w:tcBorders/>
            <w:vAlign w:val="center"/>
          </w:tcPr>
          <w:p>
            <w:pPr>
              <w:pStyle w:val="TableContents"/>
              <w:bidi w:val="0"/>
              <w:spacing w:before="0" w:after="283"/>
              <w:jc w:val="left"/>
              <w:rPr/>
            </w:pPr>
            <w:r>
              <w:rPr/>
              <w:t>Accounts payable and accrued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right"/>
              <w:rPr/>
            </w:pPr>
            <w:r>
              <w:rPr/>
              <w:t>811,934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right"/>
              <w:rPr/>
            </w:pPr>
            <w:r>
              <w:rPr/>
              <w:t>1,715,410</w:t>
            </w:r>
          </w:p>
        </w:tc>
        <w:tc>
          <w:tcPr>
            <w:tcW w:w="145" w:type="dxa"/>
            <w:tcBorders/>
            <w:vAlign w:val="center"/>
          </w:tcPr>
          <w:p>
            <w:pPr>
              <w:pStyle w:val="TableContents"/>
              <w:bidi w:val="0"/>
              <w:spacing w:before="0" w:after="283"/>
              <w:ind w:left="0" w:right="0" w:hanging="180"/>
              <w:jc w:val="left"/>
              <w:rPr/>
            </w:pPr>
            <w:r>
              <w:rPr/>
              <w:t> </w:t>
            </w:r>
          </w:p>
        </w:tc>
      </w:tr>
      <w:tr>
        <w:trPr/>
        <w:tc>
          <w:tcPr>
            <w:tcW w:w="6765" w:type="dxa"/>
            <w:tcBorders/>
            <w:shd w:fill="CCEEFF" w:val="clear"/>
            <w:vAlign w:val="center"/>
          </w:tcPr>
          <w:p>
            <w:pPr>
              <w:pStyle w:val="TableContents"/>
              <w:bidi w:val="0"/>
              <w:spacing w:before="0" w:after="283"/>
              <w:jc w:val="left"/>
              <w:rPr/>
            </w:pPr>
            <w:r>
              <w:rPr/>
              <w:t>Commission liability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191,519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459,657</w:t>
            </w:r>
          </w:p>
        </w:tc>
        <w:tc>
          <w:tcPr>
            <w:tcW w:w="145" w:type="dxa"/>
            <w:tcBorders/>
            <w:shd w:fill="CCEEFF" w:val="clear"/>
            <w:vAlign w:val="center"/>
          </w:tcPr>
          <w:p>
            <w:pPr>
              <w:pStyle w:val="TableContents"/>
              <w:bidi w:val="0"/>
              <w:spacing w:before="0" w:after="283"/>
              <w:ind w:left="0" w:right="0" w:hanging="180"/>
              <w:jc w:val="left"/>
              <w:rPr/>
            </w:pPr>
            <w:r>
              <w:rPr/>
              <w:t> </w:t>
            </w:r>
          </w:p>
        </w:tc>
      </w:tr>
      <w:tr>
        <w:trPr/>
        <w:tc>
          <w:tcPr>
            <w:tcW w:w="6765" w:type="dxa"/>
            <w:tcBorders/>
            <w:vAlign w:val="center"/>
          </w:tcPr>
          <w:p>
            <w:pPr>
              <w:pStyle w:val="TableContents"/>
              <w:bidi w:val="0"/>
              <w:spacing w:before="0" w:after="283"/>
              <w:jc w:val="left"/>
              <w:rPr/>
            </w:pPr>
            <w:r>
              <w:rPr/>
              <w:t>Severance liability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325,000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325,000</w:t>
            </w:r>
          </w:p>
        </w:tc>
        <w:tc>
          <w:tcPr>
            <w:tcW w:w="145" w:type="dxa"/>
            <w:tcBorders/>
            <w:vAlign w:val="center"/>
          </w:tcPr>
          <w:p>
            <w:pPr>
              <w:pStyle w:val="TableContents"/>
              <w:bidi w:val="0"/>
              <w:spacing w:before="0" w:after="283"/>
              <w:ind w:left="0" w:right="0" w:hanging="180"/>
              <w:jc w:val="left"/>
              <w:rPr/>
            </w:pPr>
            <w:r>
              <w:rPr/>
              <w:t> </w:t>
            </w:r>
          </w:p>
        </w:tc>
      </w:tr>
      <w:tr>
        <w:trPr/>
        <w:tc>
          <w:tcPr>
            <w:tcW w:w="6765" w:type="dxa"/>
            <w:tcBorders/>
            <w:shd w:fill="CCEEFF" w:val="clear"/>
            <w:vAlign w:val="center"/>
          </w:tcPr>
          <w:p>
            <w:pPr>
              <w:pStyle w:val="TableContents"/>
              <w:bidi w:val="0"/>
              <w:spacing w:before="0" w:after="283"/>
              <w:jc w:val="left"/>
              <w:rPr/>
            </w:pPr>
            <w:r>
              <w:rPr/>
              <w:t>Convertible debt,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240,884</w:t>
            </w:r>
          </w:p>
        </w:tc>
        <w:tc>
          <w:tcPr>
            <w:tcW w:w="145" w:type="dxa"/>
            <w:tcBorders/>
            <w:shd w:fill="CCEEFF" w:val="clear"/>
            <w:vAlign w:val="center"/>
          </w:tcPr>
          <w:p>
            <w:pPr>
              <w:pStyle w:val="TableContents"/>
              <w:bidi w:val="0"/>
              <w:spacing w:before="0" w:after="283"/>
              <w:ind w:left="0" w:right="0" w:hanging="180"/>
              <w:jc w:val="left"/>
              <w:rPr/>
            </w:pPr>
            <w:r>
              <w:rPr/>
              <w:t> </w:t>
            </w:r>
          </w:p>
        </w:tc>
      </w:tr>
      <w:tr>
        <w:trPr/>
        <w:tc>
          <w:tcPr>
            <w:tcW w:w="6765" w:type="dxa"/>
            <w:tcBorders/>
            <w:vAlign w:val="center"/>
          </w:tcPr>
          <w:p>
            <w:pPr>
              <w:pStyle w:val="TableContents"/>
              <w:bidi w:val="0"/>
              <w:spacing w:before="0" w:after="283"/>
              <w:jc w:val="left"/>
              <w:rPr/>
            </w:pPr>
            <w:r>
              <w:rPr/>
              <w:t>Deferred revenue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1,011,448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215,237</w:t>
            </w:r>
          </w:p>
        </w:tc>
        <w:tc>
          <w:tcPr>
            <w:tcW w:w="145" w:type="dxa"/>
            <w:tcBorders/>
            <w:vAlign w:val="center"/>
          </w:tcPr>
          <w:p>
            <w:pPr>
              <w:pStyle w:val="TableContents"/>
              <w:bidi w:val="0"/>
              <w:spacing w:before="0" w:after="283"/>
              <w:ind w:left="0" w:right="0" w:hanging="180"/>
              <w:jc w:val="left"/>
              <w:rPr/>
            </w:pPr>
            <w:r>
              <w:rPr/>
              <w:t> </w:t>
            </w:r>
          </w:p>
        </w:tc>
      </w:tr>
      <w:tr>
        <w:trPr/>
        <w:tc>
          <w:tcPr>
            <w:tcW w:w="6765" w:type="dxa"/>
            <w:tcBorders/>
            <w:shd w:fill="CCEEFF" w:val="clear"/>
            <w:vAlign w:val="center"/>
          </w:tcPr>
          <w:p>
            <w:pPr>
              <w:pStyle w:val="TableContents"/>
              <w:bidi w:val="0"/>
              <w:spacing w:before="0" w:after="283"/>
              <w:jc w:val="left"/>
              <w:rPr/>
            </w:pPr>
            <w:r>
              <w:rPr/>
              <w:t>Total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2,339,901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2,956,188</w:t>
            </w:r>
          </w:p>
        </w:tc>
        <w:tc>
          <w:tcPr>
            <w:tcW w:w="145" w:type="dxa"/>
            <w:tcBorders/>
            <w:shd w:fill="CCEEFF" w:val="clear"/>
            <w:vAlign w:val="center"/>
          </w:tcPr>
          <w:p>
            <w:pPr>
              <w:pStyle w:val="TableContents"/>
              <w:bidi w:val="0"/>
              <w:spacing w:before="0" w:after="283"/>
              <w:jc w:val="left"/>
              <w:rPr/>
            </w:pPr>
            <w:r>
              <w:rPr/>
              <w:t> </w:t>
            </w:r>
          </w:p>
        </w:tc>
      </w:tr>
      <w:tr>
        <w:trPr/>
        <w:tc>
          <w:tcPr>
            <w:tcW w:w="67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45" w:type="dxa"/>
            <w:tcBorders/>
            <w:vAlign w:val="center"/>
          </w:tcPr>
          <w:p>
            <w:pPr>
              <w:pStyle w:val="TableContents"/>
              <w:bidi w:val="0"/>
              <w:spacing w:before="0" w:after="283"/>
              <w:ind w:left="0" w:right="0" w:hanging="180"/>
              <w:jc w:val="left"/>
              <w:rPr/>
            </w:pPr>
            <w:r>
              <w:rPr/>
              <w:t> </w:t>
            </w:r>
          </w:p>
        </w:tc>
      </w:tr>
      <w:tr>
        <w:trPr/>
        <w:tc>
          <w:tcPr>
            <w:tcW w:w="6765" w:type="dxa"/>
            <w:tcBorders/>
            <w:shd w:fill="CCEEFF" w:val="clear"/>
            <w:vAlign w:val="center"/>
          </w:tcPr>
          <w:p>
            <w:pPr>
              <w:pStyle w:val="TableContents"/>
              <w:bidi w:val="0"/>
              <w:spacing w:before="0" w:after="283"/>
              <w:jc w:val="left"/>
              <w:rPr/>
            </w:pPr>
            <w:r>
              <w:rPr/>
              <w:t>Total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2,339,901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2,956,188</w:t>
            </w:r>
          </w:p>
        </w:tc>
        <w:tc>
          <w:tcPr>
            <w:tcW w:w="145" w:type="dxa"/>
            <w:tcBorders/>
            <w:shd w:fill="CCEEFF" w:val="clear"/>
            <w:vAlign w:val="center"/>
          </w:tcPr>
          <w:p>
            <w:pPr>
              <w:pStyle w:val="TableContents"/>
              <w:bidi w:val="0"/>
              <w:spacing w:before="0" w:after="283"/>
              <w:ind w:left="0" w:right="0" w:hanging="180"/>
              <w:jc w:val="left"/>
              <w:rPr/>
            </w:pPr>
            <w:r>
              <w:rPr/>
              <w:t> </w:t>
            </w:r>
          </w:p>
        </w:tc>
      </w:tr>
      <w:tr>
        <w:trPr/>
        <w:tc>
          <w:tcPr>
            <w:tcW w:w="67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45" w:type="dxa"/>
            <w:tcBorders/>
            <w:vAlign w:val="center"/>
          </w:tcPr>
          <w:p>
            <w:pPr>
              <w:pStyle w:val="TableContents"/>
              <w:bidi w:val="0"/>
              <w:spacing w:before="0" w:after="283"/>
              <w:ind w:left="0" w:right="0" w:hanging="180"/>
              <w:jc w:val="left"/>
              <w:rPr/>
            </w:pPr>
            <w:r>
              <w:rPr/>
              <w:t> </w:t>
            </w:r>
          </w:p>
        </w:tc>
      </w:tr>
      <w:tr>
        <w:trPr/>
        <w:tc>
          <w:tcPr>
            <w:tcW w:w="6765" w:type="dxa"/>
            <w:tcBorders/>
            <w:shd w:fill="CCEEFF" w:val="clear"/>
            <w:vAlign w:val="center"/>
          </w:tcPr>
          <w:p>
            <w:pPr>
              <w:pStyle w:val="TableContents"/>
              <w:bidi w:val="0"/>
              <w:spacing w:before="0" w:after="283"/>
              <w:jc w:val="left"/>
              <w:rPr/>
            </w:pPr>
            <w:r>
              <w:rPr/>
              <w:t>Commitments and Contingencies (Note 8)</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 </w:t>
            </w:r>
          </w:p>
        </w:tc>
        <w:tc>
          <w:tcPr>
            <w:tcW w:w="145" w:type="dxa"/>
            <w:tcBorders/>
            <w:shd w:fill="CCEEFF" w:val="clear"/>
            <w:vAlign w:val="center"/>
          </w:tcPr>
          <w:p>
            <w:pPr>
              <w:pStyle w:val="TableContents"/>
              <w:bidi w:val="0"/>
              <w:spacing w:before="0" w:after="283"/>
              <w:ind w:left="0" w:right="0" w:hanging="180"/>
              <w:jc w:val="left"/>
              <w:rPr/>
            </w:pPr>
            <w:r>
              <w:rPr/>
              <w:t> </w:t>
            </w:r>
          </w:p>
        </w:tc>
      </w:tr>
      <w:tr>
        <w:trPr/>
        <w:tc>
          <w:tcPr>
            <w:tcW w:w="67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45" w:type="dxa"/>
            <w:tcBorders/>
            <w:vAlign w:val="center"/>
          </w:tcPr>
          <w:p>
            <w:pPr>
              <w:pStyle w:val="TableContents"/>
              <w:bidi w:val="0"/>
              <w:spacing w:before="0" w:after="283"/>
              <w:ind w:left="0" w:right="0" w:hanging="180"/>
              <w:jc w:val="left"/>
              <w:rPr/>
            </w:pPr>
            <w:r>
              <w:rPr/>
              <w:t> </w:t>
            </w:r>
          </w:p>
        </w:tc>
      </w:tr>
      <w:tr>
        <w:trPr/>
        <w:tc>
          <w:tcPr>
            <w:tcW w:w="6765" w:type="dxa"/>
            <w:tcBorders/>
            <w:shd w:fill="CCEEFF" w:val="clear"/>
            <w:vAlign w:val="center"/>
          </w:tcPr>
          <w:p>
            <w:pPr>
              <w:pStyle w:val="TableContents"/>
              <w:bidi w:val="0"/>
              <w:spacing w:before="0" w:after="283"/>
              <w:jc w:val="left"/>
              <w:rPr/>
            </w:pPr>
            <w:r>
              <w:rPr/>
              <w:t>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ind w:left="0" w:right="0" w:hanging="180"/>
              <w:jc w:val="left"/>
              <w:rPr/>
            </w:pPr>
            <w:r>
              <w:rPr/>
              <w:t> </w:t>
            </w:r>
          </w:p>
        </w:tc>
      </w:tr>
      <w:tr>
        <w:trPr/>
        <w:tc>
          <w:tcPr>
            <w:tcW w:w="6765" w:type="dxa"/>
            <w:tcBorders/>
            <w:vAlign w:val="center"/>
          </w:tcPr>
          <w:p>
            <w:pPr>
              <w:pStyle w:val="TableContents"/>
              <w:bidi w:val="0"/>
              <w:spacing w:before="0" w:after="283"/>
              <w:jc w:val="left"/>
              <w:rPr/>
            </w:pPr>
            <w:r>
              <w:rPr/>
              <w:t>Common stock, $0.0001 par value, 150,000,000 shares authorized as of March 31, 2025 and December 31, 2024; 10,920,909 shares issued and outstanding as of March 31, 2025 and December 31, 2024</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1,092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1,092</w:t>
            </w:r>
          </w:p>
        </w:tc>
        <w:tc>
          <w:tcPr>
            <w:tcW w:w="145" w:type="dxa"/>
            <w:tcBorders/>
            <w:vAlign w:val="center"/>
          </w:tcPr>
          <w:p>
            <w:pPr>
              <w:pStyle w:val="TableContents"/>
              <w:bidi w:val="0"/>
              <w:spacing w:before="0" w:after="283"/>
              <w:ind w:left="0" w:right="0" w:hanging="180"/>
              <w:jc w:val="left"/>
              <w:rPr/>
            </w:pPr>
            <w:r>
              <w:rPr/>
              <w:t> </w:t>
            </w:r>
          </w:p>
        </w:tc>
      </w:tr>
      <w:tr>
        <w:trPr/>
        <w:tc>
          <w:tcPr>
            <w:tcW w:w="6765" w:type="dxa"/>
            <w:tcBorders/>
            <w:shd w:fill="CCEEFF" w:val="clear"/>
            <w:vAlign w:val="center"/>
          </w:tcPr>
          <w:p>
            <w:pPr>
              <w:pStyle w:val="TableContents"/>
              <w:bidi w:val="0"/>
              <w:spacing w:before="0" w:after="283"/>
              <w:jc w:val="left"/>
              <w:rPr/>
            </w:pPr>
            <w:r>
              <w:rPr/>
              <w:t>Additional paid-in capital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185,766,847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185,312,508</w:t>
            </w:r>
          </w:p>
        </w:tc>
        <w:tc>
          <w:tcPr>
            <w:tcW w:w="145" w:type="dxa"/>
            <w:tcBorders/>
            <w:shd w:fill="CCEEFF" w:val="clear"/>
            <w:vAlign w:val="center"/>
          </w:tcPr>
          <w:p>
            <w:pPr>
              <w:pStyle w:val="TableContents"/>
              <w:bidi w:val="0"/>
              <w:spacing w:before="0" w:after="283"/>
              <w:ind w:left="0" w:right="0" w:hanging="180"/>
              <w:jc w:val="left"/>
              <w:rPr/>
            </w:pPr>
            <w:r>
              <w:rPr/>
              <w:t> </w:t>
            </w:r>
          </w:p>
        </w:tc>
      </w:tr>
      <w:tr>
        <w:trPr/>
        <w:tc>
          <w:tcPr>
            <w:tcW w:w="6765" w:type="dxa"/>
            <w:tcBorders/>
            <w:vAlign w:val="center"/>
          </w:tcPr>
          <w:p>
            <w:pPr>
              <w:pStyle w:val="TableContents"/>
              <w:bidi w:val="0"/>
              <w:spacing w:before="0" w:after="283"/>
              <w:jc w:val="left"/>
              <w:rPr/>
            </w:pPr>
            <w:r>
              <w:rPr/>
              <w:t>Accumulated deficit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(178,147,996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(173,808,529</w:t>
            </w:r>
          </w:p>
        </w:tc>
        <w:tc>
          <w:tcPr>
            <w:tcW w:w="145" w:type="dxa"/>
            <w:tcBorders/>
            <w:vAlign w:val="center"/>
          </w:tcPr>
          <w:p>
            <w:pPr>
              <w:pStyle w:val="TableContents"/>
              <w:bidi w:val="0"/>
              <w:spacing w:before="0" w:after="283"/>
              <w:ind w:left="0" w:right="0" w:hanging="180"/>
              <w:jc w:val="left"/>
              <w:rPr/>
            </w:pPr>
            <w:r>
              <w:rPr/>
              <w:t>)</w:t>
            </w:r>
          </w:p>
        </w:tc>
      </w:tr>
      <w:tr>
        <w:trPr/>
        <w:tc>
          <w:tcPr>
            <w:tcW w:w="6765" w:type="dxa"/>
            <w:tcBorders/>
            <w:shd w:fill="CCEEFF" w:val="clear"/>
            <w:vAlign w:val="center"/>
          </w:tcPr>
          <w:p>
            <w:pPr>
              <w:pStyle w:val="TableContents"/>
              <w:bidi w:val="0"/>
              <w:spacing w:before="0" w:after="283"/>
              <w:jc w:val="left"/>
              <w:rPr/>
            </w:pPr>
            <w:r>
              <w:rPr/>
              <w:t>Accumulated comprehensive income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9,910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10,118</w:t>
            </w:r>
          </w:p>
        </w:tc>
        <w:tc>
          <w:tcPr>
            <w:tcW w:w="145" w:type="dxa"/>
            <w:tcBorders/>
            <w:shd w:fill="CCEEFF" w:val="clear"/>
            <w:vAlign w:val="center"/>
          </w:tcPr>
          <w:p>
            <w:pPr>
              <w:pStyle w:val="TableContents"/>
              <w:bidi w:val="0"/>
              <w:spacing w:before="0" w:after="283"/>
              <w:ind w:left="0" w:right="0" w:hanging="180"/>
              <w:jc w:val="left"/>
              <w:rPr/>
            </w:pPr>
            <w:r>
              <w:rPr/>
              <w:t> </w:t>
            </w:r>
          </w:p>
        </w:tc>
      </w:tr>
      <w:tr>
        <w:trPr/>
        <w:tc>
          <w:tcPr>
            <w:tcW w:w="6765" w:type="dxa"/>
            <w:tcBorders/>
            <w:vAlign w:val="center"/>
          </w:tcPr>
          <w:p>
            <w:pPr>
              <w:pStyle w:val="TableContents"/>
              <w:bidi w:val="0"/>
              <w:spacing w:before="0" w:after="283"/>
              <w:jc w:val="left"/>
              <w:rPr/>
            </w:pPr>
            <w:r>
              <w:rPr/>
              <w:t>Total stockholders’ equity</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7,629,853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11,515,189</w:t>
            </w:r>
          </w:p>
        </w:tc>
        <w:tc>
          <w:tcPr>
            <w:tcW w:w="145" w:type="dxa"/>
            <w:tcBorders/>
            <w:vAlign w:val="center"/>
          </w:tcPr>
          <w:p>
            <w:pPr>
              <w:pStyle w:val="TableContents"/>
              <w:bidi w:val="0"/>
              <w:spacing w:before="0" w:after="283"/>
              <w:ind w:left="0" w:right="0" w:hanging="180"/>
              <w:jc w:val="left"/>
              <w:rPr/>
            </w:pPr>
            <w:r>
              <w:rPr/>
              <w:t> </w:t>
            </w:r>
          </w:p>
        </w:tc>
      </w:tr>
      <w:tr>
        <w:trPr/>
        <w:tc>
          <w:tcPr>
            <w:tcW w:w="6765" w:type="dxa"/>
            <w:tcBorders/>
            <w:shd w:fill="CCEEFF" w:val="clear"/>
            <w:vAlign w:val="center"/>
          </w:tcPr>
          <w:p>
            <w:pPr>
              <w:pStyle w:val="TableContents"/>
              <w:bidi w:val="0"/>
              <w:spacing w:before="0" w:after="283"/>
              <w:jc w:val="left"/>
              <w:rPr/>
            </w:pPr>
            <w:r>
              <w:rPr/>
              <w:t>Total liabilities and 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pPr>
            <w:r>
              <w:rPr/>
              <w:t>9,969,754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pPr>
            <w:r>
              <w:rPr/>
              <w:t>14,471,377</w:t>
            </w:r>
          </w:p>
        </w:tc>
        <w:tc>
          <w:tcPr>
            <w:tcW w:w="14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authID INC.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8735" w:type="dxa"/>
        <w:jc w:val="left"/>
        <w:tblInd w:w="0" w:type="dxa"/>
        <w:tblLayout w:type="fixed"/>
        <w:tblCellMar>
          <w:top w:w="0" w:type="dxa"/>
          <w:left w:w="0" w:type="dxa"/>
          <w:bottom w:w="0" w:type="dxa"/>
          <w:right w:w="0" w:type="dxa"/>
        </w:tblCellMar>
      </w:tblPr>
      <w:tblGrid>
        <w:gridCol w:w="5705"/>
        <w:gridCol w:w="90"/>
        <w:gridCol w:w="170"/>
        <w:gridCol w:w="1130"/>
        <w:gridCol w:w="125"/>
        <w:gridCol w:w="90"/>
        <w:gridCol w:w="170"/>
        <w:gridCol w:w="1085"/>
        <w:gridCol w:w="170"/>
      </w:tblGrid>
      <w:tr>
        <w:trPr/>
        <w:tc>
          <w:tcPr>
            <w:tcW w:w="57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70" w:type="dxa"/>
            <w:gridSpan w:val="6"/>
            <w:tcBorders/>
            <w:vAlign w:val="center"/>
          </w:tcPr>
          <w:p>
            <w:pPr>
              <w:pStyle w:val="TableContents"/>
              <w:bidi w:val="0"/>
              <w:spacing w:before="0" w:after="283"/>
              <w:jc w:val="center"/>
              <w:rPr>
                <w:b/>
              </w:rPr>
            </w:pPr>
            <w:r>
              <w:rPr>
                <w:b/>
              </w:rPr>
              <w:t>Three Months Ended</w:t>
            </w:r>
          </w:p>
        </w:tc>
        <w:tc>
          <w:tcPr>
            <w:tcW w:w="170" w:type="dxa"/>
            <w:tcBorders/>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170" w:type="dxa"/>
            <w:tcBorders/>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705" w:type="dxa"/>
            <w:tcBorders/>
            <w:shd w:fill="CCEEFF" w:val="clear"/>
            <w:vAlign w:val="center"/>
          </w:tcPr>
          <w:p>
            <w:pPr>
              <w:pStyle w:val="TableContents"/>
              <w:bidi w:val="0"/>
              <w:spacing w:before="0" w:after="283"/>
              <w:jc w:val="left"/>
              <w:rPr/>
            </w:pPr>
            <w:r>
              <w:rPr/>
              <w:t>Revenues,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296,256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157,378</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7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705" w:type="dxa"/>
            <w:tcBorders/>
            <w:shd w:fill="CCEEFF" w:val="clear"/>
            <w:vAlign w:val="center"/>
          </w:tcPr>
          <w:p>
            <w:pPr>
              <w:pStyle w:val="TableContents"/>
              <w:bidi w:val="0"/>
              <w:spacing w:before="0" w:after="283"/>
              <w:jc w:val="left"/>
              <w:rPr/>
            </w:pPr>
            <w:r>
              <w:rPr/>
              <w:t>Operating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705" w:type="dxa"/>
            <w:tcBorders/>
            <w:vAlign w:val="center"/>
          </w:tcPr>
          <w:p>
            <w:pPr>
              <w:pStyle w:val="TableContents"/>
              <w:bidi w:val="0"/>
              <w:spacing w:before="0" w:after="283"/>
              <w:jc w:val="left"/>
              <w:rPr/>
            </w:pPr>
            <w:r>
              <w:rPr/>
              <w:t>General and administrative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2,645,700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2,062,361</w:t>
            </w:r>
          </w:p>
        </w:tc>
        <w:tc>
          <w:tcPr>
            <w:tcW w:w="170" w:type="dxa"/>
            <w:tcBorders/>
            <w:vAlign w:val="center"/>
          </w:tcPr>
          <w:p>
            <w:pPr>
              <w:pStyle w:val="TableContents"/>
              <w:bidi w:val="0"/>
              <w:spacing w:before="0" w:after="283"/>
              <w:ind w:left="0" w:right="0" w:hanging="180"/>
              <w:jc w:val="left"/>
              <w:rPr/>
            </w:pPr>
            <w:r>
              <w:rPr/>
              <w:t> </w:t>
            </w:r>
          </w:p>
        </w:tc>
      </w:tr>
      <w:tr>
        <w:trPr/>
        <w:tc>
          <w:tcPr>
            <w:tcW w:w="5705" w:type="dxa"/>
            <w:tcBorders/>
            <w:shd w:fill="CCEEFF" w:val="clear"/>
            <w:vAlign w:val="center"/>
          </w:tcPr>
          <w:p>
            <w:pPr>
              <w:pStyle w:val="TableContents"/>
              <w:bidi w:val="0"/>
              <w:spacing w:before="0" w:after="283"/>
              <w:jc w:val="left"/>
              <w:rPr/>
            </w:pPr>
            <w:r>
              <w:rPr/>
              <w:t>Research and development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1,998,663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1,204,968</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705"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30,192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43,408</w:t>
            </w:r>
          </w:p>
        </w:tc>
        <w:tc>
          <w:tcPr>
            <w:tcW w:w="170" w:type="dxa"/>
            <w:tcBorders/>
            <w:vAlign w:val="center"/>
          </w:tcPr>
          <w:p>
            <w:pPr>
              <w:pStyle w:val="TableContents"/>
              <w:bidi w:val="0"/>
              <w:spacing w:before="0" w:after="283"/>
              <w:ind w:left="0" w:right="0" w:hanging="180"/>
              <w:jc w:val="left"/>
              <w:rPr/>
            </w:pPr>
            <w:r>
              <w:rPr/>
              <w:t> </w:t>
            </w:r>
          </w:p>
        </w:tc>
      </w:tr>
      <w:tr>
        <w:trPr/>
        <w:tc>
          <w:tcPr>
            <w:tcW w:w="5705" w:type="dxa"/>
            <w:tcBorders/>
            <w:shd w:fill="CCEEFF" w:val="clear"/>
            <w:vAlign w:val="center"/>
          </w:tcPr>
          <w:p>
            <w:pPr>
              <w:pStyle w:val="TableContents"/>
              <w:bidi w:val="0"/>
              <w:spacing w:before="0" w:after="283"/>
              <w:jc w:val="left"/>
              <w:rPr/>
            </w:pPr>
            <w:r>
              <w:rPr/>
              <w:t>Total operating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4,674,555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3,310,737</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7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705" w:type="dxa"/>
            <w:tcBorders/>
            <w:shd w:fill="CCEEFF" w:val="clear"/>
            <w:vAlign w:val="center"/>
          </w:tcPr>
          <w:p>
            <w:pPr>
              <w:pStyle w:val="TableContents"/>
              <w:bidi w:val="0"/>
              <w:spacing w:before="0" w:after="283"/>
              <w:jc w:val="left"/>
              <w:rPr/>
            </w:pPr>
            <w:r>
              <w:rPr/>
              <w:t>Loss from continuing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(4,378,299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(3,153,359</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7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705" w:type="dxa"/>
            <w:tcBorders/>
            <w:shd w:fill="CCEEFF" w:val="clear"/>
            <w:vAlign w:val="center"/>
          </w:tcPr>
          <w:p>
            <w:pPr>
              <w:pStyle w:val="TableContents"/>
              <w:bidi w:val="0"/>
              <w:spacing w:before="0" w:after="283"/>
              <w:jc w:val="left"/>
              <w:rPr/>
            </w:pPr>
            <w:r>
              <w:rPr/>
              <w:t>Other Income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705"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(12,712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(13,138</w:t>
            </w:r>
          </w:p>
        </w:tc>
        <w:tc>
          <w:tcPr>
            <w:tcW w:w="170" w:type="dxa"/>
            <w:tcBorders/>
            <w:vAlign w:val="center"/>
          </w:tcPr>
          <w:p>
            <w:pPr>
              <w:pStyle w:val="TableContents"/>
              <w:bidi w:val="0"/>
              <w:spacing w:before="0" w:after="283"/>
              <w:ind w:left="0" w:right="0" w:hanging="180"/>
              <w:jc w:val="left"/>
              <w:rPr/>
            </w:pPr>
            <w:r>
              <w:rPr/>
              <w:t>)</w:t>
            </w:r>
          </w:p>
        </w:tc>
      </w:tr>
      <w:tr>
        <w:trPr/>
        <w:tc>
          <w:tcPr>
            <w:tcW w:w="5705"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51,544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108,920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705" w:type="dxa"/>
            <w:tcBorders/>
            <w:vAlign w:val="center"/>
          </w:tcPr>
          <w:p>
            <w:pPr>
              <w:pStyle w:val="TableContents"/>
              <w:bidi w:val="0"/>
              <w:spacing w:before="0" w:after="283"/>
              <w:jc w:val="left"/>
              <w:rPr/>
            </w:pPr>
            <w:r>
              <w:rPr/>
              <w:t>Other income (expense), net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38,832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95,782</w:t>
            </w:r>
          </w:p>
        </w:tc>
        <w:tc>
          <w:tcPr>
            <w:tcW w:w="170" w:type="dxa"/>
            <w:tcBorders/>
            <w:vAlign w:val="center"/>
          </w:tcPr>
          <w:p>
            <w:pPr>
              <w:pStyle w:val="TableContents"/>
              <w:bidi w:val="0"/>
              <w:spacing w:before="0" w:after="283"/>
              <w:ind w:left="0" w:right="0" w:hanging="180"/>
              <w:jc w:val="left"/>
              <w:rPr/>
            </w:pPr>
            <w:r>
              <w:rPr/>
              <w:t> </w:t>
            </w:r>
          </w:p>
        </w:tc>
      </w:tr>
      <w:tr>
        <w:trPr/>
        <w:tc>
          <w:tcPr>
            <w:tcW w:w="570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705" w:type="dxa"/>
            <w:tcBorders/>
            <w:vAlign w:val="center"/>
          </w:tcPr>
          <w:p>
            <w:pPr>
              <w:pStyle w:val="TableContents"/>
              <w:bidi w:val="0"/>
              <w:spacing w:before="0" w:after="283"/>
              <w:jc w:val="left"/>
              <w:rPr/>
            </w:pPr>
            <w:r>
              <w:rPr/>
              <w:t>Net Loss before 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(4,339,467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(3,057,577</w:t>
            </w:r>
          </w:p>
        </w:tc>
        <w:tc>
          <w:tcPr>
            <w:tcW w:w="170" w:type="dxa"/>
            <w:tcBorders/>
            <w:vAlign w:val="center"/>
          </w:tcPr>
          <w:p>
            <w:pPr>
              <w:pStyle w:val="TableContents"/>
              <w:bidi w:val="0"/>
              <w:spacing w:before="0" w:after="283"/>
              <w:ind w:left="0" w:right="0" w:hanging="180"/>
              <w:jc w:val="left"/>
              <w:rPr/>
            </w:pPr>
            <w:r>
              <w:rPr/>
              <w:t>)</w:t>
            </w:r>
          </w:p>
        </w:tc>
      </w:tr>
      <w:tr>
        <w:trPr/>
        <w:tc>
          <w:tcPr>
            <w:tcW w:w="5705" w:type="dxa"/>
            <w:tcBorders/>
            <w:shd w:fill="CCEEFF" w:val="clear"/>
            <w:vAlign w:val="center"/>
          </w:tcPr>
          <w:p>
            <w:pPr>
              <w:pStyle w:val="TableContents"/>
              <w:bidi w:val="0"/>
              <w:spacing w:before="0" w:after="283"/>
              <w:jc w:val="left"/>
              <w:rPr/>
            </w:pPr>
            <w:r>
              <w:rPr/>
              <w:t>Income tax expense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705"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(4,339,467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(3,057,577</w:t>
            </w:r>
          </w:p>
        </w:tc>
        <w:tc>
          <w:tcPr>
            <w:tcW w:w="170" w:type="dxa"/>
            <w:tcBorders/>
            <w:vAlign w:val="center"/>
          </w:tcPr>
          <w:p>
            <w:pPr>
              <w:pStyle w:val="TableContents"/>
              <w:bidi w:val="0"/>
              <w:spacing w:before="0" w:after="283"/>
              <w:ind w:left="0" w:right="0" w:hanging="180"/>
              <w:jc w:val="left"/>
              <w:rPr/>
            </w:pPr>
            <w:r>
              <w:rPr/>
              <w:t>)</w:t>
            </w:r>
          </w:p>
        </w:tc>
      </w:tr>
      <w:tr>
        <w:trPr/>
        <w:tc>
          <w:tcPr>
            <w:tcW w:w="570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705" w:type="dxa"/>
            <w:tcBorders/>
            <w:vAlign w:val="center"/>
          </w:tcPr>
          <w:p>
            <w:pPr>
              <w:pStyle w:val="TableContents"/>
              <w:bidi w:val="0"/>
              <w:spacing w:before="0" w:after="283"/>
              <w:jc w:val="left"/>
              <w:rPr/>
            </w:pPr>
            <w:r>
              <w:rPr/>
              <w:t>Net Loss Per Share - Basic and Diluted operations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(0.40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(0.32</w:t>
            </w:r>
          </w:p>
        </w:tc>
        <w:tc>
          <w:tcPr>
            <w:tcW w:w="170" w:type="dxa"/>
            <w:tcBorders/>
            <w:vAlign w:val="center"/>
          </w:tcPr>
          <w:p>
            <w:pPr>
              <w:pStyle w:val="TableContents"/>
              <w:bidi w:val="0"/>
              <w:spacing w:before="0" w:after="283"/>
              <w:jc w:val="left"/>
              <w:rPr/>
            </w:pPr>
            <w:r>
              <w:rPr/>
              <w:t>)</w:t>
            </w:r>
          </w:p>
        </w:tc>
      </w:tr>
      <w:tr>
        <w:trPr/>
        <w:tc>
          <w:tcPr>
            <w:tcW w:w="570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705" w:type="dxa"/>
            <w:tcBorders/>
            <w:vAlign w:val="center"/>
          </w:tcPr>
          <w:p>
            <w:pPr>
              <w:pStyle w:val="TableContents"/>
              <w:bidi w:val="0"/>
              <w:spacing w:before="0" w:after="283"/>
              <w:jc w:val="left"/>
              <w:rPr/>
            </w:pPr>
            <w:r>
              <w:rPr/>
              <w:t>Weighted Average Shares Outstanding - Basic and Diluted:</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10,920,909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9,450,220</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authID INC.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COMPREHENSIVE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6740" w:type="dxa"/>
        <w:jc w:val="left"/>
        <w:tblInd w:w="0" w:type="dxa"/>
        <w:tblLayout w:type="fixed"/>
        <w:tblCellMar>
          <w:top w:w="0" w:type="dxa"/>
          <w:left w:w="0" w:type="dxa"/>
          <w:bottom w:w="0" w:type="dxa"/>
          <w:right w:w="0" w:type="dxa"/>
        </w:tblCellMar>
      </w:tblPr>
      <w:tblGrid>
        <w:gridCol w:w="3755"/>
        <w:gridCol w:w="90"/>
        <w:gridCol w:w="170"/>
        <w:gridCol w:w="1085"/>
        <w:gridCol w:w="125"/>
        <w:gridCol w:w="90"/>
        <w:gridCol w:w="170"/>
        <w:gridCol w:w="1085"/>
        <w:gridCol w:w="170"/>
      </w:tblGrid>
      <w:tr>
        <w:trPr/>
        <w:tc>
          <w:tcPr>
            <w:tcW w:w="3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5" w:type="dxa"/>
            <w:gridSpan w:val="6"/>
            <w:tcBorders/>
            <w:vAlign w:val="center"/>
          </w:tcPr>
          <w:p>
            <w:pPr>
              <w:pStyle w:val="TableContents"/>
              <w:bidi w:val="0"/>
              <w:spacing w:before="0" w:after="283"/>
              <w:jc w:val="center"/>
              <w:rPr>
                <w:b/>
              </w:rPr>
            </w:pPr>
            <w:r>
              <w:rPr>
                <w:b/>
              </w:rPr>
              <w:t>Three Months Ended</w:t>
            </w:r>
          </w:p>
        </w:tc>
        <w:tc>
          <w:tcPr>
            <w:tcW w:w="17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17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(4,339,467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(3,057,577</w:t>
            </w:r>
          </w:p>
        </w:tc>
        <w:tc>
          <w:tcPr>
            <w:tcW w:w="170" w:type="dxa"/>
            <w:tcBorders/>
            <w:shd w:fill="CCEEFF" w:val="clear"/>
            <w:vAlign w:val="center"/>
          </w:tcPr>
          <w:p>
            <w:pPr>
              <w:pStyle w:val="TableContents"/>
              <w:bidi w:val="0"/>
              <w:spacing w:before="0" w:after="283"/>
              <w:jc w:val="left"/>
              <w:rPr/>
            </w:pPr>
            <w:r>
              <w:rPr/>
              <w:t>)</w:t>
            </w:r>
          </w:p>
        </w:tc>
      </w:tr>
      <w:tr>
        <w:trPr/>
        <w:tc>
          <w:tcPr>
            <w:tcW w:w="3755" w:type="dxa"/>
            <w:tcBorders/>
            <w:vAlign w:val="center"/>
          </w:tcPr>
          <w:p>
            <w:pPr>
              <w:pStyle w:val="TableContents"/>
              <w:bidi w:val="0"/>
              <w:spacing w:before="0" w:after="283"/>
              <w:jc w:val="left"/>
              <w:rPr/>
            </w:pPr>
            <w:r>
              <w:rPr/>
              <w:t>Foreign currency translation (loss) gain</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(208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4,078</w:t>
            </w:r>
          </w:p>
        </w:tc>
        <w:tc>
          <w:tcPr>
            <w:tcW w:w="17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Comprehensive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(4,339,675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(3,053,499</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authID INC.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CHANGES IN STOCKHOLDERS’ EQUITY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10530" w:type="dxa"/>
        <w:jc w:val="left"/>
        <w:tblInd w:w="0" w:type="dxa"/>
        <w:tblLayout w:type="fixed"/>
        <w:tblCellMar>
          <w:top w:w="0" w:type="dxa"/>
          <w:left w:w="0" w:type="dxa"/>
          <w:bottom w:w="0" w:type="dxa"/>
          <w:right w:w="0" w:type="dxa"/>
        </w:tblCellMar>
      </w:tblPr>
      <w:tblGrid>
        <w:gridCol w:w="1370"/>
        <w:gridCol w:w="90"/>
        <w:gridCol w:w="90"/>
        <w:gridCol w:w="1130"/>
        <w:gridCol w:w="90"/>
        <w:gridCol w:w="90"/>
        <w:gridCol w:w="199"/>
        <w:gridCol w:w="691"/>
        <w:gridCol w:w="90"/>
        <w:gridCol w:w="90"/>
        <w:gridCol w:w="170"/>
        <w:gridCol w:w="1250"/>
        <w:gridCol w:w="90"/>
        <w:gridCol w:w="90"/>
        <w:gridCol w:w="170"/>
        <w:gridCol w:w="1325"/>
        <w:gridCol w:w="125"/>
        <w:gridCol w:w="90"/>
        <w:gridCol w:w="316"/>
        <w:gridCol w:w="1324"/>
        <w:gridCol w:w="125"/>
        <w:gridCol w:w="90"/>
        <w:gridCol w:w="170"/>
        <w:gridCol w:w="1130"/>
        <w:gridCol w:w="135"/>
      </w:tblGrid>
      <w:tr>
        <w:trPr/>
        <w:tc>
          <w:tcPr>
            <w:tcW w:w="13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b/>
              </w:rPr>
            </w:pPr>
            <w:r>
              <w:rPr>
                <w:b/>
              </w:rPr>
              <w:t>Additional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Other</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Paid-in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Comprehensive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Balances, December 31, 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9,450,220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945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172,714,712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(159,530,535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w:t>
            </w:r>
          </w:p>
        </w:tc>
        <w:tc>
          <w:tcPr>
            <w:tcW w:w="1324" w:type="dxa"/>
            <w:tcBorders/>
            <w:shd w:fill="CCEEFF" w:val="clear"/>
            <w:vAlign w:val="center"/>
          </w:tcPr>
          <w:p>
            <w:pPr>
              <w:pStyle w:val="TableContents"/>
              <w:bidi w:val="0"/>
              <w:spacing w:before="0" w:after="283"/>
              <w:jc w:val="right"/>
              <w:rPr/>
            </w:pPr>
            <w:r>
              <w:rPr/>
              <w:t>12,624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13,197,746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Stock-based compensation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722,971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722,971</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(3,057,577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(3,057,577</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pPr>
            <w:r>
              <w:rPr/>
              <w:t>Foreign currency translation</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6"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4" w:type="dxa"/>
            <w:tcBorders>
              <w:bottom w:val="single" w:sz="12" w:space="0" w:color="000000"/>
            </w:tcBorders>
            <w:tcMar>
              <w:bottom w:w="28" w:type="dxa"/>
            </w:tcMar>
            <w:vAlign w:val="center"/>
          </w:tcPr>
          <w:p>
            <w:pPr>
              <w:pStyle w:val="TableContents"/>
              <w:bidi w:val="0"/>
              <w:spacing w:before="0" w:after="283"/>
              <w:jc w:val="right"/>
              <w:rPr/>
            </w:pPr>
            <w:r>
              <w:rPr/>
              <w:t>4,078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4,078</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Balances, March 31, 2024</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9,450,220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91" w:type="dxa"/>
            <w:tcBorders>
              <w:bottom w:val="double" w:sz="10" w:space="0" w:color="000000"/>
            </w:tcBorders>
            <w:shd w:fill="CCEEFF" w:val="clear"/>
            <w:tcMar>
              <w:bottom w:w="28" w:type="dxa"/>
            </w:tcMar>
            <w:vAlign w:val="center"/>
          </w:tcPr>
          <w:p>
            <w:pPr>
              <w:pStyle w:val="TableContents"/>
              <w:bidi w:val="0"/>
              <w:spacing w:before="0" w:after="283"/>
              <w:jc w:val="right"/>
              <w:rPr/>
            </w:pPr>
            <w:r>
              <w:rPr/>
              <w:t>945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173,437,683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pPr>
            <w:r>
              <w:rPr/>
              <w:t>(162,588,112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1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4" w:type="dxa"/>
            <w:tcBorders>
              <w:bottom w:val="double" w:sz="10" w:space="0" w:color="000000"/>
            </w:tcBorders>
            <w:shd w:fill="CCEEFF" w:val="clear"/>
            <w:tcMar>
              <w:bottom w:w="28" w:type="dxa"/>
            </w:tcMar>
            <w:vAlign w:val="center"/>
          </w:tcPr>
          <w:p>
            <w:pPr>
              <w:pStyle w:val="TableContents"/>
              <w:bidi w:val="0"/>
              <w:spacing w:before="0" w:after="283"/>
              <w:jc w:val="right"/>
              <w:rPr/>
            </w:pPr>
            <w:r>
              <w:rPr/>
              <w:t>16,702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10,867,218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Balances,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10,920,909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1,092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185,312,508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(173,808,529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w:t>
            </w:r>
          </w:p>
        </w:tc>
        <w:tc>
          <w:tcPr>
            <w:tcW w:w="1324" w:type="dxa"/>
            <w:tcBorders/>
            <w:shd w:fill="CCEEFF" w:val="clear"/>
            <w:vAlign w:val="center"/>
          </w:tcPr>
          <w:p>
            <w:pPr>
              <w:pStyle w:val="TableContents"/>
              <w:bidi w:val="0"/>
              <w:spacing w:before="0" w:after="283"/>
              <w:jc w:val="right"/>
              <w:rPr/>
            </w:pPr>
            <w:r>
              <w:rPr/>
              <w:t>10,118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11,515,189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Stock-based compensation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454,339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454,339</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(4,339,467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(4,339,467</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pPr>
            <w:r>
              <w:rPr/>
              <w:t>Foreign currency translation</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6"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4" w:type="dxa"/>
            <w:tcBorders>
              <w:bottom w:val="single" w:sz="12" w:space="0" w:color="000000"/>
            </w:tcBorders>
            <w:tcMar>
              <w:bottom w:w="28" w:type="dxa"/>
            </w:tcMar>
            <w:vAlign w:val="center"/>
          </w:tcPr>
          <w:p>
            <w:pPr>
              <w:pStyle w:val="TableContents"/>
              <w:bidi w:val="0"/>
              <w:spacing w:before="0" w:after="283"/>
              <w:jc w:val="right"/>
              <w:rPr/>
            </w:pPr>
            <w:r>
              <w:rPr/>
              <w:t>(208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(208</w:t>
            </w:r>
          </w:p>
        </w:tc>
        <w:tc>
          <w:tcPr>
            <w:tcW w:w="135" w:type="dxa"/>
            <w:tcBorders/>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pPr>
            <w:r>
              <w:rPr/>
              <w:t>Balances, March 31,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10,920,909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91" w:type="dxa"/>
            <w:tcBorders>
              <w:bottom w:val="double" w:sz="10" w:space="0" w:color="000000"/>
            </w:tcBorders>
            <w:shd w:fill="CCEEFF" w:val="clear"/>
            <w:tcMar>
              <w:bottom w:w="28" w:type="dxa"/>
            </w:tcMar>
            <w:vAlign w:val="center"/>
          </w:tcPr>
          <w:p>
            <w:pPr>
              <w:pStyle w:val="TableContents"/>
              <w:bidi w:val="0"/>
              <w:spacing w:before="0" w:after="283"/>
              <w:jc w:val="right"/>
              <w:rPr/>
            </w:pPr>
            <w:r>
              <w:rPr/>
              <w:t>1,092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185,766,847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pPr>
            <w:r>
              <w:rPr/>
              <w:t>(178,147,996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1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4" w:type="dxa"/>
            <w:tcBorders>
              <w:bottom w:val="double" w:sz="10" w:space="0" w:color="000000"/>
            </w:tcBorders>
            <w:shd w:fill="CCEEFF" w:val="clear"/>
            <w:tcMar>
              <w:bottom w:w="28" w:type="dxa"/>
            </w:tcMar>
            <w:vAlign w:val="center"/>
          </w:tcPr>
          <w:p>
            <w:pPr>
              <w:pStyle w:val="TableContents"/>
              <w:bidi w:val="0"/>
              <w:spacing w:before="0" w:after="283"/>
              <w:jc w:val="right"/>
              <w:rPr/>
            </w:pPr>
            <w:r>
              <w:rPr/>
              <w:t>9,910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7,629,853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authID INC.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9350" w:type="dxa"/>
        <w:jc w:val="left"/>
        <w:tblInd w:w="0" w:type="dxa"/>
        <w:tblLayout w:type="fixed"/>
        <w:tblCellMar>
          <w:top w:w="0" w:type="dxa"/>
          <w:left w:w="0" w:type="dxa"/>
          <w:bottom w:w="0" w:type="dxa"/>
          <w:right w:w="0" w:type="dxa"/>
        </w:tblCellMar>
      </w:tblPr>
      <w:tblGrid>
        <w:gridCol w:w="6320"/>
        <w:gridCol w:w="90"/>
        <w:gridCol w:w="170"/>
        <w:gridCol w:w="1085"/>
        <w:gridCol w:w="125"/>
        <w:gridCol w:w="90"/>
        <w:gridCol w:w="170"/>
        <w:gridCol w:w="1130"/>
        <w:gridCol w:w="170"/>
      </w:tblGrid>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0" w:type="dxa"/>
            <w:gridSpan w:val="6"/>
            <w:tcBorders/>
            <w:vAlign w:val="center"/>
          </w:tcPr>
          <w:p>
            <w:pPr>
              <w:pStyle w:val="TableContents"/>
              <w:bidi w:val="0"/>
              <w:spacing w:before="0" w:after="283"/>
              <w:jc w:val="center"/>
              <w:rPr>
                <w:b/>
              </w:rPr>
            </w:pPr>
            <w:r>
              <w:rPr>
                <w:b/>
              </w:rPr>
              <w:t>Three Months Ended</w:t>
            </w:r>
          </w:p>
        </w:tc>
        <w:tc>
          <w:tcPr>
            <w:tcW w:w="170" w:type="dxa"/>
            <w:tcBorders/>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170" w:type="dxa"/>
            <w:tcBorders/>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CASH FLOWS FROM OPERATING ACTIVITIES:</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(4,339,467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(3,057,577</w:t>
            </w:r>
          </w:p>
        </w:tc>
        <w:tc>
          <w:tcPr>
            <w:tcW w:w="170" w:type="dxa"/>
            <w:tcBorders/>
            <w:shd w:fill="CCEEFF" w:val="clear"/>
            <w:vAlign w:val="center"/>
          </w:tcPr>
          <w:p>
            <w:pPr>
              <w:pStyle w:val="TableContents"/>
              <w:bidi w:val="0"/>
              <w:spacing w:before="0" w:after="283"/>
              <w:jc w:val="left"/>
              <w:rPr/>
            </w:pPr>
            <w:r>
              <w:rPr/>
              <w:t>)</w:t>
            </w:r>
          </w:p>
        </w:tc>
      </w:tr>
      <w:tr>
        <w:trPr/>
        <w:tc>
          <w:tcPr>
            <w:tcW w:w="6320" w:type="dxa"/>
            <w:tcBorders/>
            <w:vAlign w:val="center"/>
          </w:tcPr>
          <w:p>
            <w:pPr>
              <w:pStyle w:val="TableContents"/>
              <w:bidi w:val="0"/>
              <w:spacing w:before="0" w:after="283"/>
              <w:jc w:val="left"/>
              <w:rPr/>
            </w:pPr>
            <w:r>
              <w:rPr/>
              <w:t>Adjustments to reconcile net loss with cash flows from operations: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Stock-based compensation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454,339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722,971</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Depreciation and amortization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30,192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43,408</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Amortization of debt discounts and issuance costs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4,116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4,115</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Changes in operating assets and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Accounts receivable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(930,667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(237,506</w:t>
            </w:r>
          </w:p>
        </w:tc>
        <w:tc>
          <w:tcPr>
            <w:tcW w:w="170" w:type="dxa"/>
            <w:tcBorders/>
            <w:vAlign w:val="center"/>
          </w:tcPr>
          <w:p>
            <w:pPr>
              <w:pStyle w:val="TableContents"/>
              <w:bidi w:val="0"/>
              <w:spacing w:before="0" w:after="283"/>
              <w:jc w:val="left"/>
              <w:rPr/>
            </w:pPr>
            <w:r>
              <w:rPr/>
              <w:t>)</w:t>
            </w:r>
          </w:p>
        </w:tc>
      </w:tr>
      <w:tr>
        <w:trPr/>
        <w:tc>
          <w:tcPr>
            <w:tcW w:w="6320" w:type="dxa"/>
            <w:tcBorders/>
            <w:shd w:fill="CCEEFF" w:val="clear"/>
            <w:vAlign w:val="center"/>
          </w:tcPr>
          <w:p>
            <w:pPr>
              <w:pStyle w:val="TableContents"/>
              <w:bidi w:val="0"/>
              <w:spacing w:before="0" w:after="283"/>
              <w:jc w:val="left"/>
              <w:rPr/>
            </w:pPr>
            <w:r>
              <w:rPr/>
              <w:t>Contract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(60,692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(49,713</w:t>
            </w:r>
          </w:p>
        </w:tc>
        <w:tc>
          <w:tcPr>
            <w:tcW w:w="170" w:type="dxa"/>
            <w:tcBorders/>
            <w:shd w:fill="CCEEFF" w:val="clear"/>
            <w:vAlign w:val="center"/>
          </w:tcPr>
          <w:p>
            <w:pPr>
              <w:pStyle w:val="TableContents"/>
              <w:bidi w:val="0"/>
              <w:spacing w:before="0" w:after="283"/>
              <w:jc w:val="left"/>
              <w:rPr/>
            </w:pPr>
            <w:r>
              <w:rPr/>
              <w:t>)</w:t>
            </w:r>
          </w:p>
        </w:tc>
      </w:tr>
      <w:tr>
        <w:trPr/>
        <w:tc>
          <w:tcPr>
            <w:tcW w:w="6320" w:type="dxa"/>
            <w:tcBorders/>
            <w:vAlign w:val="center"/>
          </w:tcPr>
          <w:p>
            <w:pPr>
              <w:pStyle w:val="TableContents"/>
              <w:bidi w:val="0"/>
              <w:spacing w:before="0" w:after="283"/>
              <w:jc w:val="left"/>
              <w:rPr/>
            </w:pPr>
            <w:r>
              <w:rPr/>
              <w:t>Deferred contract cost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22,559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(3,417</w:t>
            </w:r>
          </w:p>
        </w:tc>
        <w:tc>
          <w:tcPr>
            <w:tcW w:w="170" w:type="dxa"/>
            <w:tcBorders/>
            <w:vAlign w:val="center"/>
          </w:tcPr>
          <w:p>
            <w:pPr>
              <w:pStyle w:val="TableContents"/>
              <w:bidi w:val="0"/>
              <w:spacing w:before="0" w:after="283"/>
              <w:jc w:val="left"/>
              <w:rPr/>
            </w:pPr>
            <w:r>
              <w:rPr/>
              <w:t>)</w:t>
            </w:r>
          </w:p>
        </w:tc>
      </w:tr>
      <w:tr>
        <w:trPr/>
        <w:tc>
          <w:tcPr>
            <w:tcW w:w="6320" w:type="dxa"/>
            <w:tcBorders/>
            <w:shd w:fill="CCEEFF" w:val="clear"/>
            <w:vAlign w:val="center"/>
          </w:tcPr>
          <w:p>
            <w:pPr>
              <w:pStyle w:val="TableContents"/>
              <w:bidi w:val="0"/>
              <w:spacing w:before="0" w:after="283"/>
              <w:jc w:val="left"/>
              <w:rPr/>
            </w:pPr>
            <w:r>
              <w:rPr/>
              <w:t>Other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(163,283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(9,521</w:t>
            </w:r>
          </w:p>
        </w:tc>
        <w:tc>
          <w:tcPr>
            <w:tcW w:w="170" w:type="dxa"/>
            <w:tcBorders/>
            <w:shd w:fill="CCEEFF" w:val="clear"/>
            <w:vAlign w:val="center"/>
          </w:tcPr>
          <w:p>
            <w:pPr>
              <w:pStyle w:val="TableContents"/>
              <w:bidi w:val="0"/>
              <w:spacing w:before="0" w:after="283"/>
              <w:jc w:val="left"/>
              <w:rPr/>
            </w:pPr>
            <w:r>
              <w:rPr/>
              <w:t>)</w:t>
            </w:r>
          </w:p>
        </w:tc>
      </w:tr>
      <w:tr>
        <w:trPr/>
        <w:tc>
          <w:tcPr>
            <w:tcW w:w="6320" w:type="dxa"/>
            <w:tcBorders/>
            <w:vAlign w:val="center"/>
          </w:tcPr>
          <w:p>
            <w:pPr>
              <w:pStyle w:val="TableContents"/>
              <w:bidi w:val="0"/>
              <w:spacing w:before="0" w:after="283"/>
              <w:jc w:val="left"/>
              <w:rPr/>
            </w:pPr>
            <w:r>
              <w:rPr/>
              <w:t>Commission liability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(268,138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(40,950</w:t>
            </w:r>
          </w:p>
        </w:tc>
        <w:tc>
          <w:tcPr>
            <w:tcW w:w="170" w:type="dxa"/>
            <w:tcBorders/>
            <w:vAlign w:val="center"/>
          </w:tcPr>
          <w:p>
            <w:pPr>
              <w:pStyle w:val="TableContents"/>
              <w:bidi w:val="0"/>
              <w:spacing w:before="0" w:after="283"/>
              <w:jc w:val="left"/>
              <w:rPr/>
            </w:pPr>
            <w:r>
              <w:rPr/>
              <w:t>)</w:t>
            </w:r>
          </w:p>
        </w:tc>
      </w:tr>
      <w:tr>
        <w:trPr/>
        <w:tc>
          <w:tcPr>
            <w:tcW w:w="6320" w:type="dxa"/>
            <w:tcBorders/>
            <w:shd w:fill="CCEEFF" w:val="clear"/>
            <w:vAlign w:val="center"/>
          </w:tcPr>
          <w:p>
            <w:pPr>
              <w:pStyle w:val="TableContents"/>
              <w:bidi w:val="0"/>
              <w:spacing w:before="0" w:after="283"/>
              <w:jc w:val="left"/>
              <w:rPr/>
            </w:pPr>
            <w:r>
              <w:rPr/>
              <w:t>Accounts payable and accrued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(903,476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(495,357</w:t>
            </w:r>
          </w:p>
        </w:tc>
        <w:tc>
          <w:tcPr>
            <w:tcW w:w="170" w:type="dxa"/>
            <w:tcBorders/>
            <w:shd w:fill="CCEEFF" w:val="clear"/>
            <w:vAlign w:val="center"/>
          </w:tcPr>
          <w:p>
            <w:pPr>
              <w:pStyle w:val="TableContents"/>
              <w:bidi w:val="0"/>
              <w:spacing w:before="0" w:after="283"/>
              <w:jc w:val="left"/>
              <w:rPr/>
            </w:pPr>
            <w:r>
              <w:rPr/>
              <w:t>)</w:t>
            </w:r>
          </w:p>
        </w:tc>
      </w:tr>
      <w:tr>
        <w:trPr/>
        <w:tc>
          <w:tcPr>
            <w:tcW w:w="6320" w:type="dxa"/>
            <w:tcBorders/>
            <w:vAlign w:val="center"/>
          </w:tcPr>
          <w:p>
            <w:pPr>
              <w:pStyle w:val="TableContents"/>
              <w:bidi w:val="0"/>
              <w:spacing w:before="0" w:after="283"/>
              <w:jc w:val="left"/>
              <w:rPr/>
            </w:pPr>
            <w:r>
              <w:rPr/>
              <w:t>Deferred revenue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796,211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176,019</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Net cash flows from operating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(5,358,306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(2,947,528</w:t>
            </w:r>
          </w:p>
        </w:tc>
        <w:tc>
          <w:tcPr>
            <w:tcW w:w="170" w:type="dxa"/>
            <w:tcBorders/>
            <w:shd w:fill="CCEEFF" w:val="clear"/>
            <w:vAlign w:val="center"/>
          </w:tcPr>
          <w:p>
            <w:pPr>
              <w:pStyle w:val="TableContents"/>
              <w:bidi w:val="0"/>
              <w:spacing w:before="0" w:after="283"/>
              <w:jc w:val="left"/>
              <w:rPr/>
            </w:pPr>
            <w:r>
              <w:rPr/>
              <w:t>)</w:t>
            </w:r>
          </w:p>
        </w:tc>
      </w:tr>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CASH FLOWS FROM INVESTING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Purchase of intangible assets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(1,700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Net cash flows from investing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(1,700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Repayment of convertible notes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(245,000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Net cash flows from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(245,000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Effect of Foreign Currencies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(208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(3,359</w:t>
            </w:r>
          </w:p>
        </w:tc>
        <w:tc>
          <w:tcPr>
            <w:tcW w:w="170" w:type="dxa"/>
            <w:tcBorders/>
            <w:shd w:fill="CCEEFF" w:val="clear"/>
            <w:vAlign w:val="center"/>
          </w:tcPr>
          <w:p>
            <w:pPr>
              <w:pStyle w:val="TableContents"/>
              <w:bidi w:val="0"/>
              <w:spacing w:before="0" w:after="283"/>
              <w:jc w:val="left"/>
              <w:rPr/>
            </w:pPr>
            <w:r>
              <w:rPr/>
              <w:t>)</w:t>
            </w:r>
          </w:p>
        </w:tc>
      </w:tr>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Net Change in 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(5,605,214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(2,950,887</w:t>
            </w:r>
          </w:p>
        </w:tc>
        <w:tc>
          <w:tcPr>
            <w:tcW w:w="170" w:type="dxa"/>
            <w:tcBorders/>
            <w:shd w:fill="CCEEFF" w:val="clear"/>
            <w:vAlign w:val="center"/>
          </w:tcPr>
          <w:p>
            <w:pPr>
              <w:pStyle w:val="TableContents"/>
              <w:bidi w:val="0"/>
              <w:spacing w:before="0" w:after="283"/>
              <w:jc w:val="left"/>
              <w:rPr/>
            </w:pPr>
            <w:r>
              <w:rPr/>
              <w:t>)</w:t>
            </w:r>
          </w:p>
        </w:tc>
      </w:tr>
      <w:tr>
        <w:trPr/>
        <w:tc>
          <w:tcPr>
            <w:tcW w:w="6320" w:type="dxa"/>
            <w:tcBorders/>
            <w:vAlign w:val="center"/>
          </w:tcPr>
          <w:p>
            <w:pPr>
              <w:pStyle w:val="TableContents"/>
              <w:bidi w:val="0"/>
              <w:spacing w:before="0" w:after="283"/>
              <w:jc w:val="left"/>
              <w:rPr/>
            </w:pPr>
            <w:r>
              <w:rPr/>
              <w:t>Cash, Beginning of the Period</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8,471,561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10,177,099</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Cash, End of the Period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2,866,347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7,226,212</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Supplemental Disclosure of Cash Flow Information: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Cash paid for interest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13,137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9,023</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9" w:name="a_008"/>
      <w:bookmarkEnd w:id="9"/>
      <w:r>
        <w:rPr>
          <w:rFonts w:ascii="Times New Roman;Times;Serif" w:hAnsi="Times New Roman;Times;Serif"/>
          <w:b/>
          <w:i w:val="false"/>
          <w:caps w:val="false"/>
          <w:smallCaps w:val="false"/>
          <w:sz w:val="20"/>
        </w:rPr>
        <w:t>authID INC. AND SUBSIDIARIES</w:t>
      </w: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the accompanying unaudited condensed consolidated financial statements are prepared in accordance with instructions for Form 10-Q, include all adjustments (consisting only of normal recurring accruals) which we considered as necessary for a fair presentation of the results for the periods presented. Certain information and footnote disclosures normally included in the consolidated financial statements prepared in accordance with accounting principles generally accepted in the United States of America have been condensed or omitted. It is suggested that these condensed consolidated financial statements be read in conjunction with the Company’s Annual Report on Form 10-K for the year ended December 31, 2024. The results of operations for the three months ended March 31, 2025 are not necessarily indicative of the results to be expected for future periods or the full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authID Inc. and its wholly-owned subsidiaries MultiPay S.A.S. (dissolved as of August 2, 2024), ID Solutions, Inc., FIN Holdings Inc., Ipsidy Enterprises Limited, and authID Gaming Inc. (collectively the “Company”). All significant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the Company had an accumulated deficit of approximately $178.1 million. For the three months ended March 31, 2025, the Company earned revenue of approximately $0.3 million, used approximately $5.4 million to fund its operations, and incurred a net loss of approximately $4.3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of the Company as a going concern is dependent upon financial support from the Company’s stockholders, the ability of the Company to obtain additional debt or equity financing to continue operations, the Company’s ability to generate sufficient cash flows from operations, successfully locating and negotiating with other business entities for potential acquisition and acquiring new clients to generate revenues and cash flows. Going forward, the Company plans to raise additional funds to support its operations and investments as it seeks to create a sustainable organization. Our growth-oriented business plan to offer products to our customers will require continued capital investment and there is no guarantee that such financing will be available, or available on acceptable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 Company will ever be profitable. These unaudited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As there can be no assurance that the Company will be able to achieve positive cash flows (become cash flow positive) and raise sufficient capital to maintain operations, there is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per Common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net loss per share in accordance with FASB ASC 260, “Earnings per Share”. ASC 260 requires presentation of both basic and diluted earnings per share (“EPS”) on the face of the statement of operations. Basic EPS is computed by dividing net loss available to common shareholders by the weighted average number of common shares outstanding during the period. Diluted EPS gives effect to all dilutive potential common shares outstanding during the period including stock options, using the treasury stock method, and convertible notes and stock warrants, using the if-converted method. In computing diluted EPS, the average stock price for the period is used in determining the number of shares assumed to be purchased from the exercise of stock options, warrants and conversion of convertible notes. Diluted EPS excludes all dilutive potential common shares if their effect is anti-dilutive. The following potentially dilutive securities were excluded from the calculation of diluted loss per share for the three months ended March 31, 2025 and 2024 because their effect was antidilutive:</w:t>
      </w:r>
    </w:p>
    <w:p>
      <w:pPr>
        <w:pStyle w:val="TextBody"/>
        <w:bidi w:val="0"/>
        <w:spacing w:before="0" w:after="0"/>
        <w:ind w:left="0" w:right="0" w:hanging="0"/>
        <w:jc w:val="both"/>
        <w:rPr>
          <w:caps w:val="false"/>
          <w:smallCaps w:val="false"/>
        </w:rPr>
      </w:pPr>
      <w:r>
        <w:rPr>
          <w:caps w:val="false"/>
          <w:smallCaps w:val="false"/>
        </w:rPr>
        <w:t> </w:t>
      </w:r>
    </w:p>
    <w:tbl>
      <w:tblPr>
        <w:tblW w:w="5130" w:type="dxa"/>
        <w:jc w:val="left"/>
        <w:tblInd w:w="0" w:type="dxa"/>
        <w:tblLayout w:type="fixed"/>
        <w:tblCellMar>
          <w:top w:w="0" w:type="dxa"/>
          <w:left w:w="0" w:type="dxa"/>
          <w:bottom w:w="28" w:type="dxa"/>
          <w:right w:w="0" w:type="dxa"/>
        </w:tblCellMar>
      </w:tblPr>
      <w:tblGrid>
        <w:gridCol w:w="2525"/>
        <w:gridCol w:w="90"/>
        <w:gridCol w:w="90"/>
        <w:gridCol w:w="1010"/>
        <w:gridCol w:w="90"/>
        <w:gridCol w:w="90"/>
        <w:gridCol w:w="90"/>
        <w:gridCol w:w="1010"/>
        <w:gridCol w:w="135"/>
      </w:tblGrid>
      <w:tr>
        <w:trPr/>
        <w:tc>
          <w:tcPr>
            <w:tcW w:w="2525" w:type="dxa"/>
            <w:tcBorders>
              <w:bottom w:val="single" w:sz="12" w:space="0" w:color="000000"/>
            </w:tcBorders>
            <w:vAlign w:val="center"/>
          </w:tcPr>
          <w:p>
            <w:pPr>
              <w:pStyle w:val="TableContents"/>
              <w:bidi w:val="0"/>
              <w:spacing w:before="0" w:after="283"/>
              <w:jc w:val="left"/>
              <w:rPr>
                <w:b/>
              </w:rPr>
            </w:pPr>
            <w:r>
              <w:rPr>
                <w:b/>
              </w:rPr>
              <w:t>Security</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center"/>
              <w:rPr>
                <w:b/>
              </w:rPr>
            </w:pPr>
            <w:r>
              <w:rPr>
                <w:b/>
              </w:rP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center"/>
              <w:rPr>
                <w:b/>
              </w:rPr>
            </w:pPr>
            <w:r>
              <w:rPr>
                <w:b/>
              </w:rPr>
              <w:t>2024</w:t>
            </w:r>
          </w:p>
        </w:tc>
        <w:tc>
          <w:tcPr>
            <w:tcW w:w="135" w:type="dxa"/>
            <w:tcBorders/>
            <w:tcMar>
              <w:bottom w:w="0" w:type="dxa"/>
            </w:tcMar>
            <w:vAlign w:val="center"/>
          </w:tcPr>
          <w:p>
            <w:pPr>
              <w:pStyle w:val="TableContents"/>
              <w:bidi w:val="0"/>
              <w:spacing w:before="0" w:after="283"/>
              <w:jc w:val="left"/>
              <w:rPr/>
            </w:pPr>
            <w:r>
              <w:rPr/>
              <w:t> </w:t>
            </w:r>
          </w:p>
        </w:tc>
      </w:tr>
      <w:tr>
        <w:trPr/>
        <w:tc>
          <w:tcPr>
            <w:tcW w:w="25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2525" w:type="dxa"/>
            <w:tcBorders/>
            <w:shd w:fill="CCEEFF" w:val="clear"/>
            <w:tcMar>
              <w:bottom w:w="0" w:type="dxa"/>
            </w:tcMar>
            <w:vAlign w:val="center"/>
          </w:tcPr>
          <w:p>
            <w:pPr>
              <w:pStyle w:val="TableContents"/>
              <w:bidi w:val="0"/>
              <w:spacing w:before="0" w:after="283"/>
              <w:jc w:val="left"/>
              <w:rPr/>
            </w:pPr>
            <w:r>
              <w:rPr/>
              <w:t>Convertible notes payable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8,277</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525" w:type="dxa"/>
            <w:tcBorders/>
            <w:tcMar>
              <w:bottom w:w="0" w:type="dxa"/>
            </w:tcMar>
            <w:vAlign w:val="center"/>
          </w:tcPr>
          <w:p>
            <w:pPr>
              <w:pStyle w:val="TableContents"/>
              <w:bidi w:val="0"/>
              <w:spacing w:before="0" w:after="283"/>
              <w:jc w:val="left"/>
              <w:rPr/>
            </w:pPr>
            <w:r>
              <w:rPr/>
              <w:t>Warrants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697,446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598,267</w:t>
            </w:r>
          </w:p>
        </w:tc>
        <w:tc>
          <w:tcPr>
            <w:tcW w:w="135" w:type="dxa"/>
            <w:tcBorders/>
            <w:tcMar>
              <w:bottom w:w="0" w:type="dxa"/>
            </w:tcMar>
            <w:vAlign w:val="center"/>
          </w:tcPr>
          <w:p>
            <w:pPr>
              <w:pStyle w:val="TableContents"/>
              <w:bidi w:val="0"/>
              <w:spacing w:before="0" w:after="283"/>
              <w:jc w:val="left"/>
              <w:rPr/>
            </w:pPr>
            <w:r>
              <w:rPr/>
              <w:t> </w:t>
            </w:r>
          </w:p>
        </w:tc>
      </w:tr>
      <w:tr>
        <w:trPr/>
        <w:tc>
          <w:tcPr>
            <w:tcW w:w="2525" w:type="dxa"/>
            <w:tcBorders/>
            <w:shd w:fill="CCEEFF" w:val="clear"/>
            <w:tcMar>
              <w:bottom w:w="0" w:type="dxa"/>
            </w:tcMar>
            <w:vAlign w:val="center"/>
          </w:tcPr>
          <w:p>
            <w:pPr>
              <w:pStyle w:val="TableContents"/>
              <w:bidi w:val="0"/>
              <w:spacing w:before="0" w:after="283"/>
              <w:jc w:val="left"/>
              <w:rPr/>
            </w:pPr>
            <w:r>
              <w:rPr/>
              <w:t>Stock options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2,135,985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1,880,971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5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vAlign w:val="center"/>
          </w:tcPr>
          <w:p>
            <w:pPr>
              <w:pStyle w:val="TableContents"/>
              <w:bidi w:val="0"/>
              <w:spacing w:before="0" w:after="283"/>
              <w:jc w:val="left"/>
              <w:rPr/>
            </w:pPr>
            <w:r>
              <w:rPr/>
              <w:t> </w:t>
            </w:r>
          </w:p>
        </w:tc>
        <w:tc>
          <w:tcPr>
            <w:tcW w:w="1010" w:type="dxa"/>
            <w:tcBorders>
              <w:bottom w:val="double" w:sz="10" w:space="0" w:color="000000"/>
            </w:tcBorders>
            <w:vAlign w:val="center"/>
          </w:tcPr>
          <w:p>
            <w:pPr>
              <w:pStyle w:val="TableContents"/>
              <w:bidi w:val="0"/>
              <w:spacing w:before="0" w:after="283"/>
              <w:jc w:val="right"/>
              <w:rPr/>
            </w:pPr>
            <w:r>
              <w:rPr/>
              <w:t>2,833,431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vAlign w:val="center"/>
          </w:tcPr>
          <w:p>
            <w:pPr>
              <w:pStyle w:val="TableContents"/>
              <w:bidi w:val="0"/>
              <w:spacing w:before="0" w:after="283"/>
              <w:jc w:val="left"/>
              <w:rPr/>
            </w:pPr>
            <w:r>
              <w:rPr/>
              <w:t> </w:t>
            </w:r>
          </w:p>
        </w:tc>
        <w:tc>
          <w:tcPr>
            <w:tcW w:w="1010" w:type="dxa"/>
            <w:tcBorders>
              <w:bottom w:val="double" w:sz="10" w:space="0" w:color="000000"/>
            </w:tcBorders>
            <w:vAlign w:val="center"/>
          </w:tcPr>
          <w:p>
            <w:pPr>
              <w:pStyle w:val="TableContents"/>
              <w:bidi w:val="0"/>
              <w:spacing w:before="0" w:after="283"/>
              <w:jc w:val="right"/>
              <w:rPr/>
            </w:pPr>
            <w:r>
              <w:rPr/>
              <w:t>2,487,515</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Software License </w:t>
      </w:r>
      <w:r>
        <w:rPr>
          <w:rFonts w:ascii="Times New Roman;Times;Serif" w:hAnsi="Times New Roman;Times;Serif"/>
          <w:b w:val="false"/>
          <w:i w:val="false"/>
          <w:caps w:val="false"/>
          <w:smallCaps w:val="false"/>
          <w:sz w:val="20"/>
        </w:rPr>
        <w:t>– The Company recognizes revenue based on the identified performance obligations over the performance period for fixed consideration and / or variable fees generated. Variable fees are typically earned over time based on monthly users, transaction volumes or a monthly flat fee rate. We allocate the selling price in a contract which has multiple performance obligations based on the contract selling price that we believe represents a fair market price for the service rendered based on estimated standalone selling price. Transaction fees are billed monthly and are constrained to transactions incurred within the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contracts with minimum annual fees, the Company generally recognizes the amount of revenue ratably over the contract year and records contract assets for the amount in excess of monthly contract billings relating to variable contract consideration. For certain contracts, the Company enters into an agreement which stipulates a minimum annual fee which is generally due at the end of the contract year, in excess of the amount of monthly billings. The Company may also require milestone payments of the minimum annual fee. The amount of any billed fees in excess of revenue recognized is recorded as deferred revenue. The company accounts for any price concessions granted to a customer as reductions to consideration under each respective contract and subsequently recognizes revenue up to the amount of the revised consideration after the concession is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usage-based fees in excess of the minimum contract amount are charged to the customer and allocated to the annual period in which they are earned under the contract. At the beginning of each annual period in the contract, the Company estimates the variable amounts for the annual period subject to the constrained variable consideration (usage-based fees) and recognizes that amount on a time-elapsed basis over the annual period. At each reporting date within an annual period, the Company reassesses its estimate of the excess variable amounts for the annual period and updates the amount recognized on a time-elapsed basis over the remainder of the annual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deferred revenue contract liabilities of approximately $1,011,000 and $215,000 as of March 31, 2025 and December 31, 2024, respectively, for certain revenue that will be earned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the Company’s Remaining Performance Obligation (RPO) was $13.85 million, of which $1.01 million is recorded as deferred revenue and $12.84 million is related to other non-cancellable contracted amounts. The Company expects approximately 34% of the RPO to be recognized as revenue over the twelve months ending March 31, 2026, based on contractual commitments and expected usage patterns. However, the amount and timing of revenue recognition are generally dependent upon customers’ future consumption, which is inherently variable at customers’ discretion. Furthermore, the Company does not have sufficient historical information to estimate the recognition of revenue due to its current operations and has approximated such amount based on discussions with the contracted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customers are granted credit on a short-term basis. The Company routinely reviews its trade receivables and makes provisions for probable doubtful accounts; however, those provisions are estimates and actual results could differ from those estimates and those differences may be material. Trade receivables are deemed uncollectible and removed from accounts receivable and the allowance for doubtful accounts when collection efforts have been exhausted.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Company’s balance in its allowance for doubtful accounts was $149,720. In the three months ended March 31, 2025 the Company re-evaluated the likelihood of recovery of the balance of $149,720 and decided to remove the $149,720 from accounts receivable and allowance for doubtful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of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three customers represented 68% of revenue. For the Three Months ended March 31, 2024, three customers represented 61%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one customer accounting for 81% of the Company’s accounts receivable. As of December 31, 2024, two customers accounted for 39% of the Company’s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one customer accounted for 72% of the Company’s Remaining Performance Obligation. As of December 31, 2024, one customer accounted for 70% of the Company’s Remaining Performance Obligation.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Contract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defer the portion of sales commission that is considered a cost of obtaining a new contract with a customer and amortize these deferred costs over the period of benefit. We expense the remaining sales commissions as incurred. Reversals recorded in the three months ended March 31, 2025 reflect commission clawbacks for certain bookings that were adjusted in the quarter, per our corporate policy. The following table summarizes deferred contract cost activity for the three months ended March 31, 2025:</w:t>
      </w:r>
    </w:p>
    <w:p>
      <w:pPr>
        <w:pStyle w:val="TextBody"/>
        <w:bidi w:val="0"/>
        <w:spacing w:before="0" w:after="0"/>
        <w:ind w:left="0" w:right="0" w:hanging="0"/>
        <w:jc w:val="both"/>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3695"/>
        <w:gridCol w:w="90"/>
        <w:gridCol w:w="170"/>
        <w:gridCol w:w="830"/>
        <w:gridCol w:w="170"/>
      </w:tblGrid>
      <w:tr>
        <w:trPr/>
        <w:tc>
          <w:tcPr>
            <w:tcW w:w="36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b/>
              </w:rPr>
            </w:pPr>
            <w:r>
              <w:rPr>
                <w:b/>
              </w:rPr>
              <w:t>Deferred</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w:t>
              <w:br/>
              <w:t>Costs</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Carrying Value at December 31, 2024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617,918</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Additions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Reversals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(3,185</w:t>
            </w:r>
          </w:p>
        </w:tc>
        <w:tc>
          <w:tcPr>
            <w:tcW w:w="170" w:type="dxa"/>
            <w:tcBorders/>
            <w:shd w:fill="CCEEFF" w:val="clear"/>
            <w:vAlign w:val="center"/>
          </w:tcPr>
          <w:p>
            <w:pPr>
              <w:pStyle w:val="TableContents"/>
              <w:bidi w:val="0"/>
              <w:spacing w:before="0" w:after="283"/>
              <w:jc w:val="left"/>
              <w:rPr/>
            </w:pPr>
            <w:r>
              <w:rPr/>
              <w:t>)</w:t>
            </w:r>
          </w:p>
        </w:tc>
      </w:tr>
      <w:tr>
        <w:trPr/>
        <w:tc>
          <w:tcPr>
            <w:tcW w:w="3695" w:type="dxa"/>
            <w:tcBorders/>
            <w:vAlign w:val="center"/>
          </w:tcPr>
          <w:p>
            <w:pPr>
              <w:pStyle w:val="TableContents"/>
              <w:bidi w:val="0"/>
              <w:spacing w:before="0" w:after="283"/>
              <w:jc w:val="left"/>
              <w:rPr/>
            </w:pPr>
            <w:r>
              <w:rPr/>
              <w:t>Amortization</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(19,374</w:t>
            </w:r>
          </w:p>
        </w:tc>
        <w:tc>
          <w:tcPr>
            <w:tcW w:w="170" w:type="dxa"/>
            <w:tcBorders/>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Carrying Value at March 31, 2025</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595,359</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 consisted of the following as of March 31, 2025 (unaudited) and December 31, 2024:</w:t>
      </w:r>
    </w:p>
    <w:p>
      <w:pPr>
        <w:pStyle w:val="TextBody"/>
        <w:bidi w:val="0"/>
        <w:spacing w:before="0" w:after="0"/>
        <w:ind w:left="0" w:right="0" w:hanging="0"/>
        <w:jc w:val="both"/>
        <w:rPr>
          <w:caps w:val="false"/>
          <w:smallCaps w:val="false"/>
        </w:rPr>
      </w:pPr>
      <w:r>
        <w:rPr>
          <w:caps w:val="false"/>
          <w:smallCaps w:val="false"/>
        </w:rPr>
        <w:t> </w:t>
      </w:r>
    </w:p>
    <w:tbl>
      <w:tblPr>
        <w:tblW w:w="7228" w:type="dxa"/>
        <w:jc w:val="left"/>
        <w:tblInd w:w="0" w:type="dxa"/>
        <w:tblLayout w:type="fixed"/>
        <w:tblCellMar>
          <w:top w:w="0" w:type="dxa"/>
          <w:left w:w="0" w:type="dxa"/>
          <w:bottom w:w="0" w:type="dxa"/>
          <w:right w:w="0" w:type="dxa"/>
        </w:tblCellMar>
      </w:tblPr>
      <w:tblGrid>
        <w:gridCol w:w="4280"/>
        <w:gridCol w:w="90"/>
        <w:gridCol w:w="186"/>
        <w:gridCol w:w="913"/>
        <w:gridCol w:w="90"/>
        <w:gridCol w:w="90"/>
        <w:gridCol w:w="245"/>
        <w:gridCol w:w="1199"/>
        <w:gridCol w:w="135"/>
      </w:tblGrid>
      <w:tr>
        <w:trPr/>
        <w:tc>
          <w:tcPr>
            <w:tcW w:w="42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pPr>
            <w:r>
              <w:rPr/>
              <w:t>Deferred offering cost</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215,193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Prepaid third-party and related party services</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351,882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319,190</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pPr>
            <w:r>
              <w:rPr/>
              <w:t>Prepaid insurance</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56,400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141,002</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bottom w:val="double" w:sz="10" w:space="0" w:color="000000"/>
            </w:tcBorders>
            <w:tcMar>
              <w:bottom w:w="28" w:type="dxa"/>
            </w:tcMar>
            <w:vAlign w:val="center"/>
          </w:tcPr>
          <w:p>
            <w:pPr>
              <w:pStyle w:val="TableContents"/>
              <w:bidi w:val="0"/>
              <w:spacing w:before="0" w:after="283"/>
              <w:jc w:val="left"/>
              <w:rPr/>
            </w:pPr>
            <w:r>
              <w:rPr/>
              <w:t>$</w:t>
            </w:r>
          </w:p>
        </w:tc>
        <w:tc>
          <w:tcPr>
            <w:tcW w:w="913" w:type="dxa"/>
            <w:tcBorders>
              <w:bottom w:val="double" w:sz="10" w:space="0" w:color="000000"/>
            </w:tcBorders>
            <w:tcMar>
              <w:bottom w:w="28" w:type="dxa"/>
            </w:tcMar>
            <w:vAlign w:val="center"/>
          </w:tcPr>
          <w:p>
            <w:pPr>
              <w:pStyle w:val="TableContents"/>
              <w:bidi w:val="0"/>
              <w:spacing w:before="0" w:after="283"/>
              <w:jc w:val="right"/>
              <w:rPr/>
            </w:pPr>
            <w:r>
              <w:rPr/>
              <w:t>623,475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bottom w:val="double" w:sz="10" w:space="0" w:color="000000"/>
            </w:tcBorders>
            <w:tcMar>
              <w:bottom w:w="28" w:type="dxa"/>
            </w:tcMar>
            <w:vAlign w:val="center"/>
          </w:tcPr>
          <w:p>
            <w:pPr>
              <w:pStyle w:val="TableContents"/>
              <w:bidi w:val="0"/>
              <w:spacing w:before="0" w:after="283"/>
              <w:jc w:val="left"/>
              <w:rPr/>
            </w:pPr>
            <w:r>
              <w:rPr/>
              <w:t>$</w:t>
            </w:r>
          </w:p>
        </w:tc>
        <w:tc>
          <w:tcPr>
            <w:tcW w:w="1199" w:type="dxa"/>
            <w:tcBorders>
              <w:bottom w:val="double" w:sz="10" w:space="0" w:color="000000"/>
            </w:tcBorders>
            <w:tcMar>
              <w:bottom w:w="28" w:type="dxa"/>
            </w:tcMar>
            <w:vAlign w:val="center"/>
          </w:tcPr>
          <w:p>
            <w:pPr>
              <w:pStyle w:val="TableContents"/>
              <w:bidi w:val="0"/>
              <w:spacing w:before="0" w:after="283"/>
              <w:jc w:val="right"/>
              <w:rPr/>
            </w:pPr>
            <w:r>
              <w:rPr/>
              <w:t>460,192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 are deferred costs directly related to the Company’s registered direct offering as described in Note 10. These costs include fees paid to bankers, attorneys, as well as other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INTANGIBLE ASSETS, NET (OTHER THAN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intangible assets primarily consist of acquired and developed software that is being amortized over their estimated useful lives as indicated below. The following is a summary of activity related to intangible assets for the three months ended March 31, 2025 (unaudited):</w:t>
      </w:r>
    </w:p>
    <w:p>
      <w:pPr>
        <w:pStyle w:val="TextBody"/>
        <w:bidi w:val="0"/>
        <w:spacing w:before="0" w:after="0"/>
        <w:ind w:left="0" w:right="0" w:hanging="0"/>
        <w:jc w:val="both"/>
        <w:rPr>
          <w:caps w:val="false"/>
          <w:smallCaps w:val="false"/>
        </w:rPr>
      </w:pPr>
      <w:r>
        <w:rPr>
          <w:caps w:val="false"/>
          <w:smallCaps w:val="false"/>
        </w:rPr>
        <w:t> </w:t>
      </w:r>
    </w:p>
    <w:tbl>
      <w:tblPr>
        <w:tblW w:w="7844" w:type="dxa"/>
        <w:jc w:val="left"/>
        <w:tblInd w:w="0" w:type="dxa"/>
        <w:tblLayout w:type="fixed"/>
        <w:tblCellMar>
          <w:top w:w="0" w:type="dxa"/>
          <w:left w:w="0" w:type="dxa"/>
          <w:bottom w:w="0" w:type="dxa"/>
          <w:right w:w="0" w:type="dxa"/>
        </w:tblCellMar>
      </w:tblPr>
      <w:tblGrid>
        <w:gridCol w:w="3695"/>
        <w:gridCol w:w="90"/>
        <w:gridCol w:w="258"/>
        <w:gridCol w:w="1201"/>
        <w:gridCol w:w="125"/>
        <w:gridCol w:w="90"/>
        <w:gridCol w:w="170"/>
        <w:gridCol w:w="830"/>
        <w:gridCol w:w="125"/>
        <w:gridCol w:w="90"/>
        <w:gridCol w:w="170"/>
        <w:gridCol w:w="830"/>
        <w:gridCol w:w="170"/>
      </w:tblGrid>
      <w:tr>
        <w:trPr/>
        <w:tc>
          <w:tcPr>
            <w:tcW w:w="36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Acquired and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Developed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Software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Patents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Useful Lives</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 Years</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 Years</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Carrying Value at December 31, 2024</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201" w:type="dxa"/>
            <w:tcBorders/>
            <w:shd w:fill="CCEEFF" w:val="clear"/>
            <w:vAlign w:val="center"/>
          </w:tcPr>
          <w:p>
            <w:pPr>
              <w:pStyle w:val="TableContents"/>
              <w:bidi w:val="0"/>
              <w:spacing w:before="0" w:after="283"/>
              <w:jc w:val="right"/>
              <w:rPr/>
            </w:pPr>
            <w:r>
              <w:rPr/>
              <w:t>99,819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113,899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213,718</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Additions</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1,700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1,700</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Amortization</w:t>
            </w:r>
          </w:p>
        </w:tc>
        <w:tc>
          <w:tcPr>
            <w:tcW w:w="90" w:type="dxa"/>
            <w:tcBorders/>
            <w:shd w:fill="CCEEFF" w:val="cle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12" w:space="0" w:color="000000"/>
            </w:tcBorders>
            <w:shd w:fill="CCEEFF" w:val="clear"/>
            <w:tcMar>
              <w:bottom w:w="28" w:type="dxa"/>
            </w:tcMar>
            <w:vAlign w:val="center"/>
          </w:tcPr>
          <w:p>
            <w:pPr>
              <w:pStyle w:val="TableContents"/>
              <w:bidi w:val="0"/>
              <w:spacing w:before="0" w:after="283"/>
              <w:jc w:val="right"/>
              <w:rPr/>
            </w:pPr>
            <w:r>
              <w:rPr/>
              <w:t>(25,636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(4,556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(30,192</w:t>
            </w:r>
          </w:p>
        </w:tc>
        <w:tc>
          <w:tcPr>
            <w:tcW w:w="170" w:type="dxa"/>
            <w:tcBorders/>
            <w:shd w:fill="CCEEFF" w:val="clear"/>
            <w:vAlign w:val="center"/>
          </w:tcPr>
          <w:p>
            <w:pPr>
              <w:pStyle w:val="TableContents"/>
              <w:bidi w:val="0"/>
              <w:spacing w:before="0" w:after="283"/>
              <w:jc w:val="left"/>
              <w:rPr/>
            </w:pPr>
            <w:r>
              <w:rPr/>
              <w:t>)</w:t>
            </w:r>
          </w:p>
        </w:tc>
      </w:tr>
      <w:tr>
        <w:trPr/>
        <w:tc>
          <w:tcPr>
            <w:tcW w:w="3695" w:type="dxa"/>
            <w:tcBorders/>
            <w:vAlign w:val="center"/>
          </w:tcPr>
          <w:p>
            <w:pPr>
              <w:pStyle w:val="TableContents"/>
              <w:bidi w:val="0"/>
              <w:spacing w:before="0" w:after="283"/>
              <w:jc w:val="left"/>
              <w:rPr/>
            </w:pPr>
            <w:r>
              <w:rPr/>
              <w:t>Carrying Value at March 31, 2025</w:t>
            </w:r>
          </w:p>
        </w:tc>
        <w:tc>
          <w:tcPr>
            <w:tcW w:w="90" w:type="dxa"/>
            <w:tcBorders/>
            <w:vAlign w:val="center"/>
          </w:tcPr>
          <w:p>
            <w:pPr>
              <w:pStyle w:val="TableContents"/>
              <w:bidi w:val="0"/>
              <w:spacing w:before="0" w:after="283"/>
              <w:jc w:val="left"/>
              <w:rPr/>
            </w:pPr>
            <w:r>
              <w:rPr/>
              <w:t> </w:t>
            </w:r>
          </w:p>
        </w:tc>
        <w:tc>
          <w:tcPr>
            <w:tcW w:w="258" w:type="dxa"/>
            <w:tcBorders>
              <w:bottom w:val="double" w:sz="10" w:space="0" w:color="000000"/>
            </w:tcBorders>
            <w:tcMar>
              <w:bottom w:w="28" w:type="dxa"/>
            </w:tcMar>
            <w:vAlign w:val="center"/>
          </w:tcPr>
          <w:p>
            <w:pPr>
              <w:pStyle w:val="TableContents"/>
              <w:bidi w:val="0"/>
              <w:spacing w:before="0" w:after="283"/>
              <w:jc w:val="left"/>
              <w:rPr/>
            </w:pPr>
            <w:r>
              <w:rPr/>
              <w:t>$</w:t>
            </w:r>
          </w:p>
        </w:tc>
        <w:tc>
          <w:tcPr>
            <w:tcW w:w="1201" w:type="dxa"/>
            <w:tcBorders>
              <w:bottom w:val="double" w:sz="10" w:space="0" w:color="000000"/>
            </w:tcBorders>
            <w:tcMar>
              <w:bottom w:w="28" w:type="dxa"/>
            </w:tcMar>
            <w:vAlign w:val="center"/>
          </w:tcPr>
          <w:p>
            <w:pPr>
              <w:pStyle w:val="TableContents"/>
              <w:bidi w:val="0"/>
              <w:spacing w:before="0" w:after="283"/>
              <w:jc w:val="right"/>
              <w:rPr/>
            </w:pPr>
            <w:r>
              <w:rPr/>
              <w:t>74,183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111,043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185,226</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intangible assets as of March 31, 2025 (unaudited):</w:t>
      </w:r>
    </w:p>
    <w:p>
      <w:pPr>
        <w:pStyle w:val="TextBody"/>
        <w:bidi w:val="0"/>
        <w:spacing w:before="0" w:after="0"/>
        <w:ind w:left="0" w:right="0" w:hanging="0"/>
        <w:jc w:val="left"/>
        <w:rPr>
          <w:caps w:val="false"/>
          <w:smallCaps w:val="false"/>
        </w:rPr>
      </w:pPr>
      <w:r>
        <w:rPr>
          <w:caps w:val="false"/>
          <w:smallCaps w:val="false"/>
        </w:rPr>
        <w:t> </w:t>
      </w:r>
    </w:p>
    <w:tbl>
      <w:tblPr>
        <w:tblW w:w="7739" w:type="dxa"/>
        <w:jc w:val="left"/>
        <w:tblInd w:w="0" w:type="dxa"/>
        <w:tblLayout w:type="fixed"/>
        <w:tblCellMar>
          <w:top w:w="0" w:type="dxa"/>
          <w:left w:w="0" w:type="dxa"/>
          <w:bottom w:w="0" w:type="dxa"/>
          <w:right w:w="0" w:type="dxa"/>
        </w:tblCellMar>
      </w:tblPr>
      <w:tblGrid>
        <w:gridCol w:w="3335"/>
        <w:gridCol w:w="90"/>
        <w:gridCol w:w="197"/>
        <w:gridCol w:w="1262"/>
        <w:gridCol w:w="125"/>
        <w:gridCol w:w="90"/>
        <w:gridCol w:w="170"/>
        <w:gridCol w:w="830"/>
        <w:gridCol w:w="125"/>
        <w:gridCol w:w="90"/>
        <w:gridCol w:w="170"/>
        <w:gridCol w:w="1085"/>
        <w:gridCol w:w="170"/>
      </w:tblGrid>
      <w:tr>
        <w:trPr/>
        <w:tc>
          <w:tcPr>
            <w:tcW w:w="33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Acquired and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Developed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Software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Patents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Cost</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262" w:type="dxa"/>
            <w:tcBorders/>
            <w:shd w:fill="CCEEFF" w:val="clear"/>
            <w:vAlign w:val="center"/>
          </w:tcPr>
          <w:p>
            <w:pPr>
              <w:pStyle w:val="TableContents"/>
              <w:bidi w:val="0"/>
              <w:spacing w:before="0" w:after="283"/>
              <w:jc w:val="right"/>
              <w:rPr/>
            </w:pPr>
            <w:r>
              <w:rPr/>
              <w:t>1,782,872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185,596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1,968,468</w:t>
            </w:r>
          </w:p>
        </w:tc>
        <w:tc>
          <w:tcPr>
            <w:tcW w:w="170" w:type="dxa"/>
            <w:tcBorders/>
            <w:shd w:fill="CCEEFF" w:val="clear"/>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Accumulated amortization</w:t>
            </w:r>
          </w:p>
        </w:tc>
        <w:tc>
          <w:tcPr>
            <w:tcW w:w="90" w:type="dxa"/>
            <w:tcBorders/>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2" w:type="dxa"/>
            <w:tcBorders>
              <w:bottom w:val="single" w:sz="12" w:space="0" w:color="000000"/>
            </w:tcBorders>
            <w:tcMar>
              <w:bottom w:w="28" w:type="dxa"/>
            </w:tcMar>
            <w:vAlign w:val="center"/>
          </w:tcPr>
          <w:p>
            <w:pPr>
              <w:pStyle w:val="TableContents"/>
              <w:bidi w:val="0"/>
              <w:spacing w:before="0" w:after="283"/>
              <w:jc w:val="right"/>
              <w:rPr/>
            </w:pPr>
            <w:r>
              <w:rPr/>
              <w:t>(1,708,689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(74,553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(1,783,242</w:t>
            </w:r>
          </w:p>
        </w:tc>
        <w:tc>
          <w:tcPr>
            <w:tcW w:w="170" w:type="dxa"/>
            <w:tcBorders/>
            <w:vAlign w:val="center"/>
          </w:tcPr>
          <w:p>
            <w:pPr>
              <w:pStyle w:val="TableContents"/>
              <w:bidi w:val="0"/>
              <w:spacing w:before="0" w:after="283"/>
              <w:jc w:val="left"/>
              <w:rPr/>
            </w:pPr>
            <w:r>
              <w:rPr/>
              <w:t>)</w:t>
            </w:r>
          </w:p>
        </w:tc>
      </w:tr>
      <w:tr>
        <w:trPr/>
        <w:tc>
          <w:tcPr>
            <w:tcW w:w="3335" w:type="dxa"/>
            <w:tcBorders/>
            <w:shd w:fill="CCEEFF" w:val="clear"/>
            <w:vAlign w:val="center"/>
          </w:tcPr>
          <w:p>
            <w:pPr>
              <w:pStyle w:val="TableContents"/>
              <w:bidi w:val="0"/>
              <w:spacing w:before="0" w:after="283"/>
              <w:jc w:val="left"/>
              <w:rPr/>
            </w:pPr>
            <w:r>
              <w:rPr/>
              <w:t>Carrying Value at March 31, 2025</w:t>
            </w:r>
          </w:p>
        </w:tc>
        <w:tc>
          <w:tcPr>
            <w:tcW w:w="90" w:type="dxa"/>
            <w:tcBorders/>
            <w:shd w:fill="CCEEFF" w:val="clear"/>
            <w:vAlign w:val="center"/>
          </w:tcPr>
          <w:p>
            <w:pPr>
              <w:pStyle w:val="TableContents"/>
              <w:bidi w:val="0"/>
              <w:spacing w:before="0" w:after="283"/>
              <w:jc w:val="left"/>
              <w:rPr/>
            </w:pPr>
            <w:r>
              <w:rPr/>
              <w:t> </w:t>
            </w:r>
          </w:p>
        </w:tc>
        <w:tc>
          <w:tcPr>
            <w:tcW w:w="1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2" w:type="dxa"/>
            <w:tcBorders>
              <w:bottom w:val="double" w:sz="10" w:space="0" w:color="000000"/>
            </w:tcBorders>
            <w:shd w:fill="CCEEFF" w:val="clear"/>
            <w:tcMar>
              <w:bottom w:w="28" w:type="dxa"/>
            </w:tcMar>
            <w:vAlign w:val="center"/>
          </w:tcPr>
          <w:p>
            <w:pPr>
              <w:pStyle w:val="TableContents"/>
              <w:bidi w:val="0"/>
              <w:spacing w:before="0" w:after="283"/>
              <w:jc w:val="right"/>
              <w:rPr/>
            </w:pPr>
            <w:r>
              <w:rPr/>
              <w:t>74,183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111,043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185,226</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totaled approximately $30,000 and $43,000 for the three months ended March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expected amortization of intangible assets is as follows:</w:t>
      </w:r>
    </w:p>
    <w:p>
      <w:pPr>
        <w:pStyle w:val="TextBody"/>
        <w:bidi w:val="0"/>
        <w:spacing w:before="0" w:after="0"/>
        <w:ind w:left="0" w:right="0" w:hanging="0"/>
        <w:jc w:val="left"/>
        <w:rPr>
          <w:caps w:val="false"/>
          <w:smallCaps w:val="false"/>
        </w:rPr>
      </w:pPr>
      <w:r>
        <w:rPr>
          <w:caps w:val="false"/>
          <w:smallCaps w:val="false"/>
        </w:rPr>
        <w:t> </w:t>
      </w:r>
    </w:p>
    <w:tbl>
      <w:tblPr>
        <w:tblW w:w="4140" w:type="dxa"/>
        <w:jc w:val="left"/>
        <w:tblInd w:w="0" w:type="dxa"/>
        <w:tblLayout w:type="fixed"/>
        <w:tblCellMar>
          <w:top w:w="0" w:type="dxa"/>
          <w:left w:w="0" w:type="dxa"/>
          <w:bottom w:w="0" w:type="dxa"/>
          <w:right w:w="0" w:type="dxa"/>
        </w:tblCellMar>
      </w:tblPr>
      <w:tblGrid>
        <w:gridCol w:w="2915"/>
        <w:gridCol w:w="90"/>
        <w:gridCol w:w="170"/>
        <w:gridCol w:w="830"/>
        <w:gridCol w:w="135"/>
      </w:tblGrid>
      <w:tr>
        <w:trPr/>
        <w:tc>
          <w:tcPr>
            <w:tcW w:w="2915" w:type="dxa"/>
            <w:tcBorders/>
            <w:shd w:fill="CCEEFF" w:val="clear"/>
            <w:vAlign w:val="center"/>
          </w:tcPr>
          <w:p>
            <w:pPr>
              <w:pStyle w:val="TableContents"/>
              <w:bidi w:val="0"/>
              <w:spacing w:before="0" w:after="283"/>
              <w:jc w:val="left"/>
              <w:rPr/>
            </w:pPr>
            <w:r>
              <w:rPr/>
              <w:t>2025 (Remainder of the Year)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57,095</w:t>
            </w:r>
          </w:p>
        </w:tc>
        <w:tc>
          <w:tcPr>
            <w:tcW w:w="13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2026</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37,226</w:t>
            </w:r>
          </w:p>
        </w:tc>
        <w:tc>
          <w:tcPr>
            <w:tcW w:w="13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2027</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30,442</w:t>
            </w:r>
          </w:p>
        </w:tc>
        <w:tc>
          <w:tcPr>
            <w:tcW w:w="13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2028</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18,389</w:t>
            </w:r>
          </w:p>
        </w:tc>
        <w:tc>
          <w:tcPr>
            <w:tcW w:w="13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2029</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18,389</w:t>
            </w:r>
          </w:p>
        </w:tc>
        <w:tc>
          <w:tcPr>
            <w:tcW w:w="13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Thereafter</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23,685</w:t>
            </w:r>
          </w:p>
        </w:tc>
        <w:tc>
          <w:tcPr>
            <w:tcW w:w="13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185,226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impairment indicators noted with respect to the Company’s long-lived assets, including intangible assets, as of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ACCOUNTS PAYABLE AND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 consisted of the following as of March 31, 2025 (unaudited) and December 31, 2024:</w:t>
      </w:r>
    </w:p>
    <w:p>
      <w:pPr>
        <w:pStyle w:val="TextBody"/>
        <w:bidi w:val="0"/>
        <w:spacing w:before="0" w:after="0"/>
        <w:ind w:left="0" w:right="0" w:hanging="0"/>
        <w:jc w:val="both"/>
        <w:rPr>
          <w:caps w:val="false"/>
          <w:smallCaps w:val="false"/>
        </w:rPr>
      </w:pPr>
      <w:r>
        <w:rPr>
          <w:caps w:val="false"/>
          <w:smallCaps w:val="false"/>
        </w:rPr>
        <w:t> </w:t>
      </w:r>
    </w:p>
    <w:tbl>
      <w:tblPr>
        <w:tblW w:w="6733" w:type="dxa"/>
        <w:jc w:val="left"/>
        <w:tblInd w:w="0" w:type="dxa"/>
        <w:tblLayout w:type="fixed"/>
        <w:tblCellMar>
          <w:top w:w="0" w:type="dxa"/>
          <w:left w:w="0" w:type="dxa"/>
          <w:bottom w:w="0" w:type="dxa"/>
          <w:right w:w="0" w:type="dxa"/>
        </w:tblCellMar>
      </w:tblPr>
      <w:tblGrid>
        <w:gridCol w:w="3785"/>
        <w:gridCol w:w="90"/>
        <w:gridCol w:w="186"/>
        <w:gridCol w:w="913"/>
        <w:gridCol w:w="90"/>
        <w:gridCol w:w="90"/>
        <w:gridCol w:w="207"/>
        <w:gridCol w:w="1237"/>
        <w:gridCol w:w="135"/>
      </w:tblGrid>
      <w:tr>
        <w:trPr/>
        <w:tc>
          <w:tcPr>
            <w:tcW w:w="37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Trade payables</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292,042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317,030</w:t>
            </w:r>
          </w:p>
        </w:tc>
        <w:tc>
          <w:tcPr>
            <w:tcW w:w="135"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Accrued payroll and related obligations</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224,002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984,536</w:t>
            </w:r>
          </w:p>
        </w:tc>
        <w:tc>
          <w:tcPr>
            <w:tcW w:w="135"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Other accrued expenses</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CCEEFF" w:val="clear"/>
            <w:tcMar>
              <w:bottom w:w="28" w:type="dxa"/>
            </w:tcMar>
            <w:vAlign w:val="center"/>
          </w:tcPr>
          <w:p>
            <w:pPr>
              <w:pStyle w:val="TableContents"/>
              <w:bidi w:val="0"/>
              <w:spacing w:before="0" w:after="283"/>
              <w:jc w:val="right"/>
              <w:rPr/>
            </w:pPr>
            <w:r>
              <w:rPr/>
              <w:t>295,890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shd w:fill="CCEEFF" w:val="clear"/>
            <w:tcMar>
              <w:bottom w:w="28" w:type="dxa"/>
            </w:tcMar>
            <w:vAlign w:val="center"/>
          </w:tcPr>
          <w:p>
            <w:pPr>
              <w:pStyle w:val="TableContents"/>
              <w:bidi w:val="0"/>
              <w:spacing w:before="0" w:after="283"/>
              <w:jc w:val="right"/>
              <w:rPr/>
            </w:pPr>
            <w:r>
              <w:rPr/>
              <w:t>413,844</w:t>
            </w:r>
          </w:p>
        </w:tc>
        <w:tc>
          <w:tcPr>
            <w:tcW w:w="135"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bottom w:val="double" w:sz="10" w:space="0" w:color="000000"/>
            </w:tcBorders>
            <w:tcMar>
              <w:bottom w:w="28" w:type="dxa"/>
            </w:tcMar>
            <w:vAlign w:val="center"/>
          </w:tcPr>
          <w:p>
            <w:pPr>
              <w:pStyle w:val="TableContents"/>
              <w:bidi w:val="0"/>
              <w:spacing w:before="0" w:after="283"/>
              <w:jc w:val="left"/>
              <w:rPr/>
            </w:pPr>
            <w:r>
              <w:rPr/>
              <w:t>$</w:t>
            </w:r>
          </w:p>
        </w:tc>
        <w:tc>
          <w:tcPr>
            <w:tcW w:w="913" w:type="dxa"/>
            <w:tcBorders>
              <w:bottom w:val="double" w:sz="10" w:space="0" w:color="000000"/>
            </w:tcBorders>
            <w:tcMar>
              <w:bottom w:w="28" w:type="dxa"/>
            </w:tcMar>
            <w:vAlign w:val="center"/>
          </w:tcPr>
          <w:p>
            <w:pPr>
              <w:pStyle w:val="TableContents"/>
              <w:bidi w:val="0"/>
              <w:spacing w:before="0" w:after="283"/>
              <w:jc w:val="right"/>
              <w:rPr/>
            </w:pPr>
            <w:r>
              <w:rPr/>
              <w:t>811,934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7" w:type="dxa"/>
            <w:tcBorders>
              <w:bottom w:val="double" w:sz="10" w:space="0" w:color="000000"/>
            </w:tcBorders>
            <w:tcMar>
              <w:bottom w:w="28" w:type="dxa"/>
            </w:tcMar>
            <w:vAlign w:val="center"/>
          </w:tcPr>
          <w:p>
            <w:pPr>
              <w:pStyle w:val="TableContents"/>
              <w:bidi w:val="0"/>
              <w:spacing w:before="0" w:after="283"/>
              <w:jc w:val="left"/>
              <w:rPr/>
            </w:pPr>
            <w:r>
              <w:rPr/>
              <w:t>$</w:t>
            </w:r>
          </w:p>
        </w:tc>
        <w:tc>
          <w:tcPr>
            <w:tcW w:w="1237" w:type="dxa"/>
            <w:tcBorders>
              <w:bottom w:val="double" w:sz="10" w:space="0" w:color="000000"/>
            </w:tcBorders>
            <w:tcMar>
              <w:bottom w:w="28" w:type="dxa"/>
            </w:tcMar>
            <w:vAlign w:val="center"/>
          </w:tcPr>
          <w:p>
            <w:pPr>
              <w:pStyle w:val="TableContents"/>
              <w:bidi w:val="0"/>
              <w:spacing w:before="0" w:after="283"/>
              <w:jc w:val="right"/>
              <w:rPr/>
            </w:pPr>
            <w:r>
              <w:rPr/>
              <w:t>1,715,410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CONVERTIBLE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2022, the Company entered into a Securities Purchase Agreement (“SPA”) with certain accredited investors, which included certain Company directors or their affiliates (the “Note Investors”). Under the SPA, the Company issued Senior Secured Convertible Notes (the “Convertible Notes”) to the Note Investors, with a total initial principal amount of approximately $9.2 million and a conversion price of $3.70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carried an aggregate cash origination fee of approximately $200,000, and the Company also issued approximately 3,562 shares of common stock to the Note Investors as an additional origination fee. These Convertible Notes matured on March 31, 2025 and accrued interest at an annual rate of 9.75%, was payable on a quarterly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convertible notes outstanding as of March 31, 2025 (unaudited) and December 31, 2024:</w:t>
      </w:r>
    </w:p>
    <w:p>
      <w:pPr>
        <w:pStyle w:val="TextBody"/>
        <w:bidi w:val="0"/>
        <w:spacing w:before="0" w:after="0"/>
        <w:ind w:left="0" w:right="0" w:hanging="0"/>
        <w:jc w:val="both"/>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4325"/>
        <w:gridCol w:w="90"/>
        <w:gridCol w:w="184"/>
        <w:gridCol w:w="915"/>
        <w:gridCol w:w="90"/>
        <w:gridCol w:w="90"/>
        <w:gridCol w:w="245"/>
        <w:gridCol w:w="1199"/>
        <w:gridCol w:w="170"/>
      </w:tblGrid>
      <w:tr>
        <w:trPr/>
        <w:tc>
          <w:tcPr>
            <w:tcW w:w="4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9.75% convertible notes due March 31, 2025</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15" w:type="dxa"/>
            <w:tcBorders/>
            <w:shd w:fill="CCEEFF" w:val="cle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245,000</w:t>
            </w:r>
          </w:p>
        </w:tc>
        <w:tc>
          <w:tcPr>
            <w:tcW w:w="170"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Less</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Unamortized debt discount expense</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(652</w:t>
            </w:r>
          </w:p>
        </w:tc>
        <w:tc>
          <w:tcPr>
            <w:tcW w:w="170" w:type="dxa"/>
            <w:tcBorders/>
            <w:shd w:fill="CCEEFF" w:val="clear"/>
            <w:vAlign w:val="center"/>
          </w:tcPr>
          <w:p>
            <w:pPr>
              <w:pStyle w:val="TableContents"/>
              <w:bidi w:val="0"/>
              <w:spacing w:before="0" w:after="283"/>
              <w:jc w:val="left"/>
              <w:rPr/>
            </w:pPr>
            <w:r>
              <w:rPr/>
              <w:t>)</w:t>
            </w:r>
          </w:p>
        </w:tc>
      </w:tr>
      <w:tr>
        <w:trPr/>
        <w:tc>
          <w:tcPr>
            <w:tcW w:w="4325" w:type="dxa"/>
            <w:tcBorders/>
            <w:vAlign w:val="center"/>
          </w:tcPr>
          <w:p>
            <w:pPr>
              <w:pStyle w:val="TableContents"/>
              <w:bidi w:val="0"/>
              <w:spacing w:before="0" w:after="283"/>
              <w:jc w:val="left"/>
              <w:rPr/>
            </w:pPr>
            <w:r>
              <w:rPr/>
              <w:t>Unamortized debt issuance expense</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91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tcMar>
              <w:bottom w:w="28" w:type="dxa"/>
            </w:tcMar>
            <w:vAlign w:val="center"/>
          </w:tcPr>
          <w:p>
            <w:pPr>
              <w:pStyle w:val="TableContents"/>
              <w:bidi w:val="0"/>
              <w:spacing w:before="0" w:after="283"/>
              <w:jc w:val="right"/>
              <w:rPr/>
            </w:pPr>
            <w:r>
              <w:rPr/>
              <w:t>(3,464</w:t>
            </w:r>
          </w:p>
        </w:tc>
        <w:tc>
          <w:tcPr>
            <w:tcW w:w="170" w:type="dxa"/>
            <w:tcBorders/>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9" w:type="dxa"/>
            <w:tcBorders>
              <w:bottom w:val="double" w:sz="10" w:space="0" w:color="000000"/>
            </w:tcBorders>
            <w:shd w:fill="CCEEFF" w:val="clear"/>
            <w:tcMar>
              <w:bottom w:w="28" w:type="dxa"/>
            </w:tcMar>
            <w:vAlign w:val="center"/>
          </w:tcPr>
          <w:p>
            <w:pPr>
              <w:pStyle w:val="TableContents"/>
              <w:bidi w:val="0"/>
              <w:spacing w:before="0" w:after="283"/>
              <w:jc w:val="right"/>
              <w:rPr/>
            </w:pPr>
            <w:r>
              <w:rPr/>
              <w:t>240,884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the outstanding Convertible Notes and accrued interest in full on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Commercial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2023, the Company entered into a services agreement with The Pipeline Group, Inc. (“TPG”). Ken Jisser, a director of the Company, is the founder and CEO of TPG, a technology-enabled services company that aims to deliver business results for companies looking to build a predictable and profitable pipeline. The agreement provides that TPG will assist in providing outsourced sales including business development resources for outbound calling, provide support for automated dialing technology, classify customer data and other sales related services for an initial term of one year. On October 25, 2023, on December 19, 2023 and on August 26, 2024, the Company entered into amendments to the above services agreement, pursuant to which TPG will provide certain additional services to the Company. In consideration of the services, the Company will pay TPG $70,000 per month during the current term ending in June 2025. During the three months ended March 31, 2025 the Company paid TPG a total of $210,000. As of March 31, 2025 the Company had a balance of $70,000 in Accounts Payable related to amounts owed to TPG under the payment terms of this agreement. The foregoing is only a summary of the material terms of the agreements entered with TPG and does not purport to be a complete description of the rights and obligations of the parties thereunder. The summary of the agreement entered with TPG is qualified in its entirety by reference to the forms of such agreements, which were filed as exhibits to the Company’s Current Report and are incorporated by reference herein (See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7</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common stock issued during the three months ended March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warrant activity during the three months ended March 31, 2025 and 2024. As of March 31, 2025, there are warrants to acquire 697,446 shares for a weighted average exercise price of $11.20 per share with weighted average remaining life of 2.9 years.  </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Company’s warrant activity for the three months ended March 31, 2025 (unaudited):</w:t>
      </w:r>
    </w:p>
    <w:p>
      <w:pPr>
        <w:pStyle w:val="TextBody"/>
        <w:bidi w:val="0"/>
        <w:spacing w:before="0" w:after="0"/>
        <w:ind w:left="0" w:right="0" w:hanging="0"/>
        <w:jc w:val="both"/>
        <w:rPr>
          <w:caps w:val="false"/>
          <w:smallCaps w:val="false"/>
        </w:rPr>
      </w:pPr>
      <w:r>
        <w:rPr>
          <w:caps w:val="false"/>
          <w:smallCaps w:val="false"/>
        </w:rPr>
        <w:t> </w:t>
      </w:r>
    </w:p>
    <w:tbl>
      <w:tblPr>
        <w:tblW w:w="7054" w:type="dxa"/>
        <w:jc w:val="left"/>
        <w:tblInd w:w="0" w:type="dxa"/>
        <w:tblLayout w:type="fixed"/>
        <w:tblCellMar>
          <w:top w:w="0" w:type="dxa"/>
          <w:left w:w="0" w:type="dxa"/>
          <w:bottom w:w="0" w:type="dxa"/>
          <w:right w:w="0" w:type="dxa"/>
        </w:tblCellMar>
      </w:tblPr>
      <w:tblGrid>
        <w:gridCol w:w="3215"/>
        <w:gridCol w:w="90"/>
        <w:gridCol w:w="113"/>
        <w:gridCol w:w="1046"/>
        <w:gridCol w:w="90"/>
        <w:gridCol w:w="90"/>
        <w:gridCol w:w="229"/>
        <w:gridCol w:w="796"/>
        <w:gridCol w:w="90"/>
        <w:gridCol w:w="90"/>
        <w:gridCol w:w="1205"/>
      </w:tblGrid>
      <w:tr>
        <w:trPr/>
        <w:tc>
          <w:tcPr>
            <w:tcW w:w="3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Weighted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b/>
              </w:rPr>
            </w:pPr>
            <w:r>
              <w:rPr>
                <w:b/>
              </w:rPr>
              <w:t>Weighted</w:t>
            </w:r>
          </w:p>
        </w:tc>
      </w:tr>
      <w:tr>
        <w:trPr/>
        <w:tc>
          <w:tcPr>
            <w:tcW w:w="3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Average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b/>
              </w:rPr>
            </w:pPr>
            <w:r>
              <w:rPr>
                <w:b/>
              </w:rPr>
              <w:t>Average</w:t>
            </w:r>
          </w:p>
        </w:tc>
      </w:tr>
      <w:tr>
        <w:trPr/>
        <w:tc>
          <w:tcPr>
            <w:tcW w:w="3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rPr>
            </w:pPr>
            <w:r>
              <w:rPr>
                <w:b/>
              </w:rPr>
              <w:t>Number of</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Exercise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b/>
              </w:rPr>
            </w:pPr>
            <w:r>
              <w:rPr>
                <w:b/>
              </w:rPr>
              <w:t>Remaining</w:t>
            </w:r>
          </w:p>
        </w:tc>
      </w:tr>
      <w:tr>
        <w:trPr/>
        <w:tc>
          <w:tcPr>
            <w:tcW w:w="3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center"/>
              <w:rPr>
                <w:b/>
              </w:rPr>
            </w:pPr>
            <w:r>
              <w:rPr>
                <w:b/>
              </w:rPr>
              <w:t>Life</w:t>
            </w:r>
          </w:p>
        </w:tc>
      </w:tr>
      <w:tr>
        <w:trPr/>
        <w:tc>
          <w:tcPr>
            <w:tcW w:w="3215" w:type="dxa"/>
            <w:tcBorders/>
            <w:shd w:fill="CCEEFF" w:val="clear"/>
            <w:vAlign w:val="center"/>
          </w:tcPr>
          <w:p>
            <w:pPr>
              <w:pStyle w:val="TableContents"/>
              <w:bidi w:val="0"/>
              <w:spacing w:before="0" w:after="283"/>
              <w:jc w:val="left"/>
              <w:rPr/>
            </w:pPr>
            <w:r>
              <w:rPr/>
              <w:t>Outstanding, December 31, 2024</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697,446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11.20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3.2 Years</w:t>
            </w:r>
          </w:p>
        </w:tc>
      </w:tr>
      <w:tr>
        <w:trPr/>
        <w:tc>
          <w:tcPr>
            <w:tcW w:w="3215"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Exercised/Cancelled</w:t>
            </w:r>
          </w:p>
        </w:tc>
        <w:tc>
          <w:tcPr>
            <w:tcW w:w="90" w:type="dxa"/>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9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Outstanding, March 31, 2025</w:t>
            </w:r>
          </w:p>
        </w:tc>
        <w:tc>
          <w:tcPr>
            <w:tcW w:w="90" w:type="dxa"/>
            <w:tcBorders/>
            <w:vAlign w:val="center"/>
          </w:tcPr>
          <w:p>
            <w:pPr>
              <w:pStyle w:val="TableContents"/>
              <w:bidi w:val="0"/>
              <w:spacing w:before="0" w:after="283"/>
              <w:jc w:val="left"/>
              <w:rPr/>
            </w:pPr>
            <w:r>
              <w:rPr/>
              <w:t> </w:t>
            </w:r>
          </w:p>
        </w:tc>
        <w:tc>
          <w:tcPr>
            <w:tcW w:w="113" w:type="dxa"/>
            <w:tcBorders>
              <w:bottom w:val="double" w:sz="10" w:space="0" w:color="000000"/>
            </w:tcBorders>
            <w:tcMar>
              <w:bottom w:w="28" w:type="dxa"/>
            </w:tcMar>
            <w:vAlign w:val="center"/>
          </w:tcPr>
          <w:p>
            <w:pPr>
              <w:pStyle w:val="TableContents"/>
              <w:bidi w:val="0"/>
              <w:spacing w:before="0" w:after="283"/>
              <w:jc w:val="left"/>
              <w:rPr/>
            </w:pPr>
            <w:r>
              <w:rPr/>
              <w:t> </w:t>
            </w:r>
          </w:p>
        </w:tc>
        <w:tc>
          <w:tcPr>
            <w:tcW w:w="1046" w:type="dxa"/>
            <w:tcBorders>
              <w:bottom w:val="double" w:sz="10" w:space="0" w:color="000000"/>
            </w:tcBorders>
            <w:tcMar>
              <w:bottom w:w="28" w:type="dxa"/>
            </w:tcMar>
            <w:vAlign w:val="center"/>
          </w:tcPr>
          <w:p>
            <w:pPr>
              <w:pStyle w:val="TableContents"/>
              <w:bidi w:val="0"/>
              <w:spacing w:before="0" w:after="283"/>
              <w:jc w:val="right"/>
              <w:rPr/>
            </w:pPr>
            <w:r>
              <w:rPr/>
              <w:t>697,446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 w:type="dxa"/>
            <w:tcBorders>
              <w:bottom w:val="double" w:sz="10" w:space="0" w:color="000000"/>
            </w:tcBorders>
            <w:tcMar>
              <w:bottom w:w="28" w:type="dxa"/>
            </w:tcMar>
            <w:vAlign w:val="center"/>
          </w:tcPr>
          <w:p>
            <w:pPr>
              <w:pStyle w:val="TableContents"/>
              <w:bidi w:val="0"/>
              <w:spacing w:before="0" w:after="283"/>
              <w:jc w:val="left"/>
              <w:rPr/>
            </w:pPr>
            <w:r>
              <w:rPr/>
              <w:t>$</w:t>
            </w:r>
          </w:p>
        </w:tc>
        <w:tc>
          <w:tcPr>
            <w:tcW w:w="796" w:type="dxa"/>
            <w:tcBorders>
              <w:bottom w:val="double" w:sz="10" w:space="0" w:color="000000"/>
            </w:tcBorders>
            <w:tcMar>
              <w:bottom w:w="28" w:type="dxa"/>
            </w:tcMar>
            <w:vAlign w:val="center"/>
          </w:tcPr>
          <w:p>
            <w:pPr>
              <w:pStyle w:val="TableContents"/>
              <w:bidi w:val="0"/>
              <w:spacing w:before="0" w:after="283"/>
              <w:jc w:val="right"/>
              <w:rPr/>
            </w:pPr>
            <w:r>
              <w:rPr/>
              <w:t>11.20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2.9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the Company granted 30,000 options to a new employee at an exercise price of $5.89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2024 the Company agreed to accelerate the vesting of 6,511 options for Mr. Joe Trelin under the terms of his resignation with an exercise price of $5.48 per share. These accelerated options would not otherwise have vested prior to termination of service according to their Service conditions. Therefore, the Company recalculated the fair value of these options as of his termination date of February 20, 2024 using the Black Scholes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the grant date fair value of options granted for the three months ended March 31, 2025, using the Black Scholes Method, as applicable, with the following assumptions:</w:t>
      </w:r>
    </w:p>
    <w:p>
      <w:pPr>
        <w:pStyle w:val="TextBody"/>
        <w:bidi w:val="0"/>
        <w:spacing w:before="0" w:after="0"/>
        <w:ind w:left="0" w:right="0" w:hanging="0"/>
        <w:jc w:val="both"/>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835"/>
        <w:gridCol w:w="90"/>
        <w:gridCol w:w="1520"/>
      </w:tblGrid>
      <w:tr>
        <w:trPr/>
        <w:tc>
          <w:tcPr>
            <w:tcW w:w="1835" w:type="dxa"/>
            <w:tcBorders/>
            <w:shd w:fill="CCEEFF" w:val="clear"/>
            <w:vAlign w:val="center"/>
          </w:tcPr>
          <w:p>
            <w:pPr>
              <w:pStyle w:val="TableContents"/>
              <w:bidi w:val="0"/>
              <w:spacing w:before="0" w:after="283"/>
              <w:jc w:val="left"/>
              <w:rPr/>
            </w:pPr>
            <w:r>
              <w:rPr/>
              <w:t>Expected volatility</w:t>
            </w:r>
          </w:p>
        </w:tc>
        <w:tc>
          <w:tcPr>
            <w:tcW w:w="9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center"/>
              <w:rPr/>
            </w:pPr>
            <w:r>
              <w:rPr/>
              <w:t>110 – 123%</w:t>
            </w:r>
          </w:p>
        </w:tc>
      </w:tr>
      <w:tr>
        <w:trPr/>
        <w:tc>
          <w:tcPr>
            <w:tcW w:w="1835" w:type="dxa"/>
            <w:tcBorders/>
            <w:vAlign w:val="center"/>
          </w:tcPr>
          <w:p>
            <w:pPr>
              <w:pStyle w:val="TableContents"/>
              <w:bidi w:val="0"/>
              <w:spacing w:before="0" w:after="283"/>
              <w:jc w:val="left"/>
              <w:rPr/>
            </w:pPr>
            <w:r>
              <w:rPr/>
              <w:t>Expected term</w:t>
            </w:r>
          </w:p>
        </w:tc>
        <w:tc>
          <w:tcPr>
            <w:tcW w:w="9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5 years</w:t>
            </w:r>
          </w:p>
        </w:tc>
      </w:tr>
      <w:tr>
        <w:trPr/>
        <w:tc>
          <w:tcPr>
            <w:tcW w:w="1835" w:type="dxa"/>
            <w:tcBorders/>
            <w:shd w:fill="CCEEFF" w:val="clear"/>
            <w:vAlign w:val="center"/>
          </w:tcPr>
          <w:p>
            <w:pPr>
              <w:pStyle w:val="TableContents"/>
              <w:bidi w:val="0"/>
              <w:spacing w:before="0" w:after="283"/>
              <w:jc w:val="left"/>
              <w:rPr/>
            </w:pPr>
            <w:r>
              <w:rPr/>
              <w:t>Risk free rate</w:t>
            </w:r>
          </w:p>
        </w:tc>
        <w:tc>
          <w:tcPr>
            <w:tcW w:w="9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center"/>
              <w:rPr/>
            </w:pPr>
            <w:r>
              <w:rPr/>
              <w:t>3.49% - 4.59%</w:t>
            </w:r>
          </w:p>
        </w:tc>
      </w:tr>
      <w:tr>
        <w:trPr/>
        <w:tc>
          <w:tcPr>
            <w:tcW w:w="1835" w:type="dxa"/>
            <w:tcBorders/>
            <w:vAlign w:val="center"/>
          </w:tcPr>
          <w:p>
            <w:pPr>
              <w:pStyle w:val="TableContents"/>
              <w:bidi w:val="0"/>
              <w:spacing w:before="0" w:after="283"/>
              <w:jc w:val="left"/>
              <w:rPr/>
            </w:pPr>
            <w:r>
              <w:rPr/>
              <w:t>Dividend rate</w:t>
            </w:r>
          </w:p>
        </w:tc>
        <w:tc>
          <w:tcPr>
            <w:tcW w:w="9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Activity related to stock options for the three months ended March 31, 2025 (unaudited), is summarized as follows:</w:t>
      </w:r>
    </w:p>
    <w:p>
      <w:pPr>
        <w:pStyle w:val="TextBody"/>
        <w:bidi w:val="0"/>
        <w:spacing w:before="0" w:after="0"/>
        <w:ind w:left="0" w:right="0" w:hanging="0"/>
        <w:jc w:val="both"/>
        <w:rPr>
          <w:caps w:val="false"/>
          <w:smallCaps w:val="false"/>
        </w:rPr>
      </w:pPr>
      <w:r>
        <w:rPr>
          <w:caps w:val="false"/>
          <w:smallCaps w:val="false"/>
        </w:rPr>
        <w:t> </w:t>
      </w:r>
    </w:p>
    <w:tbl>
      <w:tblPr>
        <w:tblW w:w="8765" w:type="dxa"/>
        <w:jc w:val="left"/>
        <w:tblInd w:w="0" w:type="dxa"/>
        <w:tblLayout w:type="fixed"/>
        <w:tblCellMar>
          <w:top w:w="0" w:type="dxa"/>
          <w:left w:w="0" w:type="dxa"/>
          <w:bottom w:w="0" w:type="dxa"/>
          <w:right w:w="0" w:type="dxa"/>
        </w:tblCellMar>
      </w:tblPr>
      <w:tblGrid>
        <w:gridCol w:w="3380"/>
        <w:gridCol w:w="90"/>
        <w:gridCol w:w="90"/>
        <w:gridCol w:w="1010"/>
        <w:gridCol w:w="125"/>
        <w:gridCol w:w="90"/>
        <w:gridCol w:w="229"/>
        <w:gridCol w:w="796"/>
        <w:gridCol w:w="90"/>
        <w:gridCol w:w="90"/>
        <w:gridCol w:w="205"/>
        <w:gridCol w:w="1075"/>
        <w:gridCol w:w="90"/>
        <w:gridCol w:w="90"/>
        <w:gridCol w:w="170"/>
        <w:gridCol w:w="1010"/>
        <w:gridCol w:w="135"/>
      </w:tblGrid>
      <w:tr>
        <w:trPr/>
        <w:tc>
          <w:tcPr>
            <w:tcW w:w="33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w:t>
              <w:br/>
              <w:t>of</w:t>
              <w:b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Contractual</w:t>
              <w:br/>
              <w:t>Term (Yrs.)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w:t>
              <w:br/>
              <w:t>Intrinsic</w:t>
              <w:br/>
              <w:t>Value</w:t>
            </w:r>
          </w:p>
        </w:tc>
        <w:tc>
          <w:tcPr>
            <w:tcW w:w="13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2,147,402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20.89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1,146,540</w:t>
            </w:r>
          </w:p>
        </w:tc>
        <w:tc>
          <w:tcPr>
            <w:tcW w:w="135"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283"/>
              <w:jc w:val="right"/>
              <w:rPr/>
            </w:pPr>
            <w:r>
              <w:rPr/>
              <w:t>5.89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10.0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Exercised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Forfeited/cancelled</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(41,417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9" w:type="dxa"/>
            <w:tcBorders>
              <w:bottom w:val="single" w:sz="12" w:space="0" w:color="000000"/>
            </w:tcBorders>
            <w:tcMar>
              <w:bottom w:w="28" w:type="dxa"/>
            </w:tcMar>
            <w:vAlign w:val="center"/>
          </w:tcPr>
          <w:p>
            <w:pPr>
              <w:pStyle w:val="TableContents"/>
              <w:bidi w:val="0"/>
              <w:spacing w:before="0" w:after="283"/>
              <w:jc w:val="left"/>
              <w:rPr/>
            </w:pPr>
            <w:r>
              <w:rPr/>
              <w:t>$</w:t>
            </w:r>
          </w:p>
        </w:tc>
        <w:tc>
          <w:tcPr>
            <w:tcW w:w="796" w:type="dxa"/>
            <w:tcBorders>
              <w:bottom w:val="single" w:sz="12" w:space="0" w:color="000000"/>
            </w:tcBorders>
            <w:tcMar>
              <w:bottom w:w="28" w:type="dxa"/>
            </w:tcMar>
            <w:vAlign w:val="center"/>
          </w:tcPr>
          <w:p>
            <w:pPr>
              <w:pStyle w:val="TableContents"/>
              <w:bidi w:val="0"/>
              <w:spacing w:before="0" w:after="283"/>
              <w:jc w:val="right"/>
              <w:rPr/>
            </w:pPr>
            <w:r>
              <w:rPr/>
              <w:t>35.15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010"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as of March 31,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2,135,985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96" w:type="dxa"/>
            <w:tcBorders>
              <w:bottom w:val="double" w:sz="10" w:space="0" w:color="000000"/>
            </w:tcBorders>
            <w:shd w:fill="CCEEFF" w:val="clear"/>
            <w:tcMar>
              <w:bottom w:w="28" w:type="dxa"/>
            </w:tcMar>
            <w:vAlign w:val="center"/>
          </w:tcPr>
          <w:p>
            <w:pPr>
              <w:pStyle w:val="TableContents"/>
              <w:bidi w:val="0"/>
              <w:spacing w:before="0" w:after="283"/>
              <w:jc w:val="right"/>
              <w:rPr/>
            </w:pPr>
            <w:r>
              <w:rPr/>
              <w:t>20.39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596,584</w:t>
            </w:r>
          </w:p>
        </w:tc>
        <w:tc>
          <w:tcPr>
            <w:tcW w:w="135"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Exercisable as of March 31, 2025</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1,429,485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 w:type="dxa"/>
            <w:tcBorders>
              <w:bottom w:val="double" w:sz="10" w:space="0" w:color="000000"/>
            </w:tcBorders>
            <w:tcMar>
              <w:bottom w:w="28" w:type="dxa"/>
            </w:tcMar>
            <w:vAlign w:val="center"/>
          </w:tcPr>
          <w:p>
            <w:pPr>
              <w:pStyle w:val="TableContents"/>
              <w:bidi w:val="0"/>
              <w:spacing w:before="0" w:after="283"/>
              <w:jc w:val="left"/>
              <w:rPr/>
            </w:pPr>
            <w:r>
              <w:rPr/>
              <w:t>$</w:t>
            </w:r>
          </w:p>
        </w:tc>
        <w:tc>
          <w:tcPr>
            <w:tcW w:w="796" w:type="dxa"/>
            <w:tcBorders>
              <w:bottom w:val="double" w:sz="10" w:space="0" w:color="000000"/>
            </w:tcBorders>
            <w:tcMar>
              <w:bottom w:w="28" w:type="dxa"/>
            </w:tcMar>
            <w:vAlign w:val="center"/>
          </w:tcPr>
          <w:p>
            <w:pPr>
              <w:pStyle w:val="TableContents"/>
              <w:bidi w:val="0"/>
              <w:spacing w:before="0" w:after="283"/>
              <w:jc w:val="right"/>
              <w:rPr/>
            </w:pPr>
            <w:r>
              <w:rPr/>
              <w:t>24.05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458,944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stock option information as of March 31, 2025 (unaudited):  </w:t>
      </w:r>
    </w:p>
    <w:p>
      <w:pPr>
        <w:pStyle w:val="TextBody"/>
        <w:bidi w:val="0"/>
        <w:spacing w:before="0" w:after="0"/>
        <w:ind w:left="0" w:right="0" w:hanging="0"/>
        <w:jc w:val="both"/>
        <w:rPr>
          <w:caps w:val="false"/>
          <w:smallCaps w:val="false"/>
        </w:rPr>
      </w:pPr>
      <w:r>
        <w:rPr>
          <w:caps w:val="false"/>
          <w:smallCaps w:val="false"/>
        </w:rPr>
        <w:t> </w:t>
      </w:r>
    </w:p>
    <w:tbl>
      <w:tblPr>
        <w:tblW w:w="6140" w:type="dxa"/>
        <w:jc w:val="left"/>
        <w:tblInd w:w="0" w:type="dxa"/>
        <w:tblLayout w:type="fixed"/>
        <w:tblCellMar>
          <w:top w:w="0" w:type="dxa"/>
          <w:left w:w="0" w:type="dxa"/>
          <w:bottom w:w="0" w:type="dxa"/>
          <w:right w:w="0" w:type="dxa"/>
        </w:tblCellMar>
      </w:tblPr>
      <w:tblGrid>
        <w:gridCol w:w="1745"/>
        <w:gridCol w:w="90"/>
        <w:gridCol w:w="107"/>
        <w:gridCol w:w="1203"/>
        <w:gridCol w:w="90"/>
        <w:gridCol w:w="90"/>
        <w:gridCol w:w="260"/>
        <w:gridCol w:w="1020"/>
        <w:gridCol w:w="90"/>
        <w:gridCol w:w="90"/>
        <w:gridCol w:w="99"/>
        <w:gridCol w:w="1121"/>
        <w:gridCol w:w="135"/>
      </w:tblGrid>
      <w:tr>
        <w:trPr/>
        <w:tc>
          <w:tcPr>
            <w:tcW w:w="17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Weighted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Average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Contractual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745" w:type="dxa"/>
            <w:tcBorders>
              <w:bottom w:val="single" w:sz="12" w:space="0" w:color="000000"/>
            </w:tcBorders>
            <w:tcMar>
              <w:bottom w:w="28" w:type="dxa"/>
            </w:tcMar>
            <w:vAlign w:val="center"/>
          </w:tcPr>
          <w:p>
            <w:pPr>
              <w:pStyle w:val="TableContents"/>
              <w:bidi w:val="0"/>
              <w:spacing w:before="0" w:after="283"/>
              <w:jc w:val="left"/>
              <w:rPr>
                <w:b/>
              </w:rPr>
            </w:pPr>
            <w:r>
              <w:rPr>
                <w:b/>
              </w:rPr>
              <w:t>Exercise Price</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Outstanding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Term (Yrs.)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Exercisable</w:t>
            </w:r>
          </w:p>
        </w:tc>
        <w:tc>
          <w:tcPr>
            <w:tcW w:w="13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left"/>
              <w:rPr/>
            </w:pPr>
            <w:r>
              <w:rPr/>
              <w:t>$2.64 – $5.00</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344,375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268,380</w:t>
            </w:r>
          </w:p>
        </w:tc>
        <w:tc>
          <w:tcPr>
            <w:tcW w:w="135"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$5.01 – $10.00</w:t>
            </w:r>
          </w:p>
        </w:tc>
        <w:tc>
          <w:tcPr>
            <w:tcW w:w="9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898,902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452,564</w:t>
            </w:r>
          </w:p>
        </w:tc>
        <w:tc>
          <w:tcPr>
            <w:tcW w:w="13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left"/>
              <w:rPr/>
            </w:pPr>
            <w:r>
              <w:rPr/>
              <w:t>$10.01 – $15.00</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42,578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42,578</w:t>
            </w:r>
          </w:p>
        </w:tc>
        <w:tc>
          <w:tcPr>
            <w:tcW w:w="135"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$15.01 – $20.00</w:t>
            </w:r>
          </w:p>
        </w:tc>
        <w:tc>
          <w:tcPr>
            <w:tcW w:w="9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252,084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252,084</w:t>
            </w:r>
          </w:p>
        </w:tc>
        <w:tc>
          <w:tcPr>
            <w:tcW w:w="13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left"/>
              <w:rPr/>
            </w:pPr>
            <w:r>
              <w:rPr/>
              <w:t>$20.01 – $121.28</w:t>
            </w:r>
          </w:p>
        </w:tc>
        <w:tc>
          <w:tcPr>
            <w:tcW w:w="9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pPr>
            <w:r>
              <w:rPr/>
              <w:t>498,046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CCEEFF" w:val="clear"/>
            <w:tcMar>
              <w:bottom w:w="28" w:type="dxa"/>
            </w:tcMar>
            <w:vAlign w:val="center"/>
          </w:tcPr>
          <w:p>
            <w:pPr>
              <w:pStyle w:val="TableContents"/>
              <w:bidi w:val="0"/>
              <w:spacing w:before="0" w:after="283"/>
              <w:jc w:val="right"/>
              <w:rPr/>
            </w:pPr>
            <w:r>
              <w:rPr/>
              <w:t>413,879</w:t>
            </w:r>
          </w:p>
        </w:tc>
        <w:tc>
          <w:tcPr>
            <w:tcW w:w="135"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 w:type="dxa"/>
            <w:tcBorders>
              <w:bottom w:val="double" w:sz="10" w:space="0" w:color="000000"/>
            </w:tcBorders>
            <w:tcMar>
              <w:bottom w:w="28" w:type="dxa"/>
            </w:tcMar>
            <w:vAlign w:val="center"/>
          </w:tcPr>
          <w:p>
            <w:pPr>
              <w:pStyle w:val="TableContents"/>
              <w:bidi w:val="0"/>
              <w:spacing w:before="0" w:after="283"/>
              <w:jc w:val="left"/>
              <w:rPr/>
            </w:pPr>
            <w:r>
              <w:rPr/>
              <w:t> </w:t>
            </w:r>
          </w:p>
        </w:tc>
        <w:tc>
          <w:tcPr>
            <w:tcW w:w="1203" w:type="dxa"/>
            <w:tcBorders>
              <w:bottom w:val="double" w:sz="10" w:space="0" w:color="000000"/>
            </w:tcBorders>
            <w:tcMar>
              <w:bottom w:w="28" w:type="dxa"/>
            </w:tcMar>
            <w:vAlign w:val="center"/>
          </w:tcPr>
          <w:p>
            <w:pPr>
              <w:pStyle w:val="TableContents"/>
              <w:bidi w:val="0"/>
              <w:spacing w:before="0" w:after="283"/>
              <w:jc w:val="right"/>
              <w:rPr/>
            </w:pPr>
            <w:r>
              <w:rPr/>
              <w:t>2,135,985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 w:type="dxa"/>
            <w:tcBorders>
              <w:bottom w:val="double" w:sz="10" w:space="0" w:color="000000"/>
            </w:tcBorders>
            <w:tcMar>
              <w:bottom w:w="28" w:type="dxa"/>
            </w:tcMar>
            <w:vAlign w:val="center"/>
          </w:tcPr>
          <w:p>
            <w:pPr>
              <w:pStyle w:val="TableContents"/>
              <w:bidi w:val="0"/>
              <w:spacing w:before="0" w:after="283"/>
              <w:jc w:val="left"/>
              <w:rPr/>
            </w:pPr>
            <w:r>
              <w:rPr/>
              <w:t> </w:t>
            </w:r>
          </w:p>
        </w:tc>
        <w:tc>
          <w:tcPr>
            <w:tcW w:w="1121" w:type="dxa"/>
            <w:tcBorders>
              <w:bottom w:val="double" w:sz="10" w:space="0" w:color="000000"/>
            </w:tcBorders>
            <w:tcMar>
              <w:bottom w:w="28" w:type="dxa"/>
            </w:tcMar>
            <w:vAlign w:val="center"/>
          </w:tcPr>
          <w:p>
            <w:pPr>
              <w:pStyle w:val="TableContents"/>
              <w:bidi w:val="0"/>
              <w:spacing w:before="0" w:after="283"/>
              <w:jc w:val="right"/>
              <w:rPr/>
            </w:pPr>
            <w:r>
              <w:rPr/>
              <w:t>1,429,485</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the Company recognized approximately $0.45 million of stock option-based compensation expense. As of March 31, 2025, there was approximately $2.5 million of unrecognized compensation costs related to stock options outstanding that will be expensed through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 party to various legal or administrative proceedings arising in the ordinary course of our business. While any litigation contains an element of uncertainty, we have no reason to believe that the outcome of such proceedings will have a material adverse effect on the financial condition or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enterprise for which separate financial information is available and which is evaluated regularly by the chief operating decision maker (“CODM”) in deciding how to allocate resources and in assessing performance. The Company’s chief operating decision maker ("CODM") is the Chief Executive Officer. The CODM is the highest level of management responsible for assessing the Company’s overall performance, and making operational decisions such as resource allocations related to operations, product prioritization and delegations of authority. The CODM has determined that the Company operates in a single operating and reportable segment and manages segment profit (loss) based upon consolidated net income (loss). The measure of segment assets is reported on the consolidated balance sheet as total consolidated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SUBSEQUENT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2025, pursuant to Securities Purchase Agreements, the Company issued 1,811,120 shares of common stock to existing and new stockholders in a registered direct offering, for cash gross proceeds of approximately $8.2 million and approximately $7.0 million, net of offering costs. Approximately $215,000 of offering costs related to the common stock offering in April 2025 were incurred during the three months ended March 31, 2025. Those costs are deferred and presented as other current assets in the Company’s Condensed Consolidated Balance Sheet as described in Note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2025, pursuant to Securities Purchase Agreements, the Company issued 373,060 shares of common stock to existing and new stockholders in a registered direct offering, for cash gross proceeds of approximately $2.1 million and approximately $1.6 million, net of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noted above, the Company has concluded that no events or transactions have occurred that may require disclosure in the accompanying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and analysis of our financial condition and results of operations are based on our financial statements, which we have prepared in accordance with accounting principles generally accepted in the United States of America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“Management’s Discussion and Analysis of Financial Condition and Results of Operation,” except where the context otherwise requires, the term “we,” “us,” “our,” “authID” or “the Company,” refers to the business of authID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Overview</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Inc. (together with its subsidiaries, the “Company”, “authID”, “we” or “our”) ensures enterprises “Know Who’s Behind the Device”</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for every customer or employee login and transaction. Through its easy-to-integrate, patented, biometric identity platform, authID quickly and accurately verifies a user’s identity, eliminating any assumption of ‘who’ is behind a device and preventing cybercriminals from taking over accounts. authID combines digital onboarding, biometric passwordless authentication and account recovery, with a fast, accurate, user-friendly experience – delivering identity verification in 700ms. Establishing a biometric root of trust for each user that is bound to their accounts, or provisioned devices, authID stops fraud at onboarding, eliminates password risks and costs, and provides the faster, more accurate and privacy preserving user identity experience demanded by operators of today’s digital ecosystems.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Verified</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cloud-based platform was developed with internally developed software as well as acquired and licensed technology and provides the following core services:</w:t>
      </w:r>
    </w:p>
    <w:p>
      <w:pPr>
        <w:pStyle w:val="TextBody"/>
        <w:bidi w:val="0"/>
        <w:spacing w:before="0" w:after="0"/>
        <w:ind w:left="990" w:right="0" w:hanging="36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105"/>
        <w:gridCol w:w="200"/>
        <w:gridCol w:w="35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Biometric Identity Verification – Proof</w:t>
            </w:r>
            <w:r>
              <w:rPr>
                <w:rFonts w:ascii="Times New Roman;Times;Serif" w:hAnsi="Times New Roman;Times;Serif"/>
                <w:position w:val="7"/>
                <w:sz w:val="16"/>
                <w:sz w:val="20"/>
              </w:rPr>
              <w:t>TM</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105"/>
        <w:gridCol w:w="200"/>
        <w:gridCol w:w="39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Biometric Identity Authentication – Verified</w:t>
            </w:r>
            <w:r>
              <w:rPr>
                <w:rFonts w:ascii="Times New Roman;Times;Serif" w:hAnsi="Times New Roman;Times;Serif"/>
                <w:position w:val="7"/>
                <w:sz w:val="16"/>
                <w:sz w:val="20"/>
              </w:rPr>
              <w:t>TM</w:t>
            </w:r>
          </w:p>
        </w:tc>
      </w:tr>
    </w:tbl>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105"/>
        <w:gridCol w:w="200"/>
        <w:gridCol w:w="37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PrivacyKey</w:t>
            </w:r>
            <w:r>
              <w:rPr>
                <w:rFonts w:ascii="Times New Roman;Times;Serif" w:hAnsi="Times New Roman;Times;Serif"/>
                <w:position w:val="7"/>
                <w:sz w:val="16"/>
                <w:sz w:val="20"/>
              </w:rPr>
              <w:t>TM</w:t>
            </w:r>
            <w:r>
              <w:rPr>
                <w:rFonts w:ascii="Times New Roman;Times;Serif" w:hAnsi="Times New Roman;Times;Serif"/>
                <w:sz w:val="20"/>
              </w:rPr>
              <w:t xml:space="preserve"> Privacy Preserving Biometrics</w:t>
            </w:r>
          </w:p>
        </w:tc>
      </w:tr>
    </w:tbl>
    <w:p>
      <w:pPr>
        <w:pStyle w:val="TextBody"/>
        <w:bidi w:val="0"/>
        <w:spacing w:before="0" w:after="0"/>
        <w:ind w:left="0" w:right="0" w:hanging="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105"/>
        <w:gridCol w:w="200"/>
        <w:gridCol w:w="25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 Access and Recovery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Biometric Identity Verification - Proof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Biometric identity verification establishes the trusted identity of a user based on a variety of ground truth sources, including government-issued identity documents such as national IDs, driver’s licenses and passports or electronic machine-readable travel documents (or eMRTDs). Our Verified</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platform detects presentation attack and spoofing threats, evaluates the authenticity of security features present on a government-issued identity document, and biometrically matches the reference picture of the document with a live user’s selfie (a photograph that the user has taken of themselves). Usually occurring at account opening or onboarding, identity verification ensures that the enterprise knows that the person interacting with the enterprise is who they say they are, in real time. authID’s ProofTM identity verification product eliminates the need for costly and less accurate face-to-face, in-person ID checks and instead provides a verified identity in seconds. Additionally, authID’s PrivacyKey technology enables customers to perform biometric verification through the use of Public/Private Keys that is performed without storing any biometric data, which ensures individual data privacy. In a digital, online world of increasing fraud and security threats, Proof speeds up onboarding and offers our customers confidence in the identities of consumers, employees or third-party vendors.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Biometric Identity Authentication - Verified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Biometric identity authentication provides any organization with a secure, convenient solution to validate that an individual is the verified account owner for various purposes including passwordless login and performing specific transactions, or functions. The authID Verified product allows users to confirm their identity with their facial biometric by simply taking a selfie on a mobile phone or device of their choosing (as opposed to dedicated hardware). The solution includes a patented audit trail created for each transaction, containing the digitally signed transaction details, with proof of identity authentication and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PrivacyKey Privacy Preserving Biometrics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authID’s PrivacyKey solution provides biometric authentication without the requirement to store any biometric or derivative of biometric data. The technology transforms biometric verification into Public/Private Key cryptography whereby the facial image of the person is converted into an elliptical public/private key pair where only the public key is stored and the private key only exists during authentication and is deleted immediately after. The solution is compliant to the ISO30136 Privacy Biometric standard and provides a False Match Rate accuracy of 1:1 Billion at a False Rejection Rate of 0.3%, as confirmed by independent tests conducted by The Commonwealth Scientific and Industrial Research Organization (“CSRIO”).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 Access and Recovery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authID’s Verified biometric identity authentication solution allows users to recover, via a facial biometric, account access that is lost or blocked due to expired credentials, lockouts, lost or stolen devices, or compromised accounts. Because the account owner’s root of trust is established in the cloud, recovery is independent of any device or hardware. In this way, account recovery is instant, portable, and does not require the presence of or access to a previously provisioned device in order to secure access from a different device.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Customer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 allows our enterprise customers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Verify and Authenticate users. </w:t>
            </w:r>
            <w:r>
              <w:rPr>
                <w:rFonts w:ascii="Times New Roman;Times;Serif" w:hAnsi="Times New Roman;Times;Serif"/>
                <w:sz w:val="20"/>
              </w:rPr>
              <w:t>Customers can use the authID platform not only to verify the identity of new users, but also to authenticate those users seamlessly on an ongoing basis to enable quick, secure logins and transaction authentications.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Benefit from high-speed processing</w:t>
            </w:r>
            <w:r>
              <w:rPr>
                <w:rFonts w:ascii="Times New Roman;Times;Serif" w:hAnsi="Times New Roman;Times;Serif"/>
                <w:sz w:val="20"/>
              </w:rPr>
              <w:t>. Our solution returns a very low-latency response, key to enabling high-volume use cases (such as logins and high-value transactions) and providing a frictionless user experience.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Precisely and accurately identify their consumers and employees, giving the enterprise complete confidence in who is accessing their digital assets.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Provide a seamless user experience in terms of speed and self-guided flow, so that even users who are not tech-savvy are easily able to complete the identity verification and authentication processes.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Support a wide variety of devices</w:t>
            </w:r>
            <w:r>
              <w:rPr>
                <w:rFonts w:ascii="Times New Roman;Times;Serif" w:hAnsi="Times New Roman;Times;Serif"/>
                <w:sz w:val="20"/>
              </w:rPr>
              <w:t>. Our cloud-based service is device agnostic and may be used to verify or authenticate users on any device with a camera, including shared devices, digital kiosks, etc.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Integrate quickly and easily.</w:t>
            </w:r>
            <w:r>
              <w:rPr>
                <w:rFonts w:ascii="Times New Roman;Times;Serif" w:hAnsi="Times New Roman;Times;Serif"/>
                <w:sz w:val="20"/>
              </w:rPr>
              <w:t xml:space="preserve"> We offer pre-integrated OIDC connections as well as integrations with several leading Identity and Access Management solutions.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Offer broad identity document coverage.</w:t>
            </w:r>
            <w:r>
              <w:rPr>
                <w:rFonts w:ascii="Times New Roman;Times;Serif" w:hAnsi="Times New Roman;Times;Serif"/>
                <w:sz w:val="20"/>
              </w:rPr>
              <w:t xml:space="preserve"> We can verify identities using a wide spectrum of government-issued documents from around the world.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Perform secure biometric verification &amp; authentication without the need to store biometric data.</w:t>
            </w:r>
            <w:r>
              <w:rPr>
                <w:rFonts w:ascii="Times New Roman;Times;Serif" w:hAnsi="Times New Roman;Times;Serif"/>
                <w:sz w:val="20"/>
              </w:rPr>
              <w:t xml:space="preserve"> Our PrivacyKey technology removes the need to store any biometric data in order to perform verification or authentication transactions. PrivacyKey verification and authentication is seamlessly delivered thru either a web or mobile applications with a response time of less than 700ms.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financial results will be impacted by several market trends in the identity verification and authentication markets, as well as expanding digital transformation efforts across a wide range of market segments. These trends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growing concerns over identity theft, fraud and account takeover, resulting from the acceleration of digital transformation, for example online shopping and remote working and the growth in AI assisted fraud;</w:t>
            </w:r>
          </w:p>
        </w:tc>
      </w:tr>
    </w:tbl>
    <w:p>
      <w:pPr>
        <w:pStyle w:val="TextBody"/>
        <w:bidi w:val="0"/>
        <w:spacing w:before="0" w:after="0"/>
        <w:ind w:left="720" w:right="0" w:hanging="360"/>
        <w:jc w:val="both"/>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105"/>
        <w:gridCol w:w="200"/>
        <w:gridCol w:w="33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growth in the sharing economy;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increase in electronic payments and alternative money transfer solutions provided by both bank and non-bank entities. The key drivers for these alternative payment methods are consumer demands for safe, convenient payment transactions, with less friction.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are also impacted by the changes in levels of spending on identity verification, management and security methods, and thus, negative trends in the global economy and other factors which negatively impact such spending may negatively impact the growth in our revenue from those products. The global economy has been undergoing a period of political and economic uncertainty and stock markets are experiencing high levels of volatility, and it is difficult to predict how long this uncertainty and volatility will continue.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grow our business by increasing the use of our services by our existing customers, by adding new customers through our direct salesforce, channel partners and by expanding into new markets and innovation. If we are successful in these efforts, we would expect our revenue to continue to grow.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in the State of Delaware on September 21, 2011, and changed our name from Ipsidy Inc. to authID Inc. on July 18, 2022. Our corporate headquarters is located at 1580 North Logan Street, Suite 660, Unit 51767, Denver, CO 80203 and our main phone number is (516) 274-8700. Our website address is www.authid.ai. The information contained on, or that can be accessed through, our website is not incorporated by reference into this Form 10-Q and you should not consider information on our website to be part of this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unaudited condensed consolidated financial statements included in this Quarterly Report have been prepared in accordance with United States GAAP assuming the Company will continue on a going concern basis, which implies the Company will continue to meet its obligations and continue its operations for the next year following the issuance date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the Company had an accumulated deficit of approximately $178.1 million. For the three months ended March 31, 2025, the Company earned revenue of approximately $0.3 million, used approximately $5.4 million to fund its operations, and incurred a net loss of approximately $4.3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of the Company as a going concern is dependent upon financial support from the Company’s stockholders, the ability of the Company to obtain additional debt or equity financing to continue operations, the Company’s ability to generate sufficient cash flows from operations, successfully locating and negotiating with other business entities for potential acquisition, and acquiring new clients to generate revenues and cash flows. In April and May 2025, the Company raised approximately $8.6 million after expenses from existing and new stockholders through the sale of Common Stock pursuant to registered direct offerings. Going forward, the Company plans to raise additional funds to support its operations and investments as it seeks to create a sustainable organization. Our growth-oriented business plan to offer products to our customers will require continued capital investment and there is no guarantee that such financing will be available, or available on acceptable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 Company will ever be profitable. These unaudited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As there can be no assurance that the Company will be able to achieve positive cash flows (become cash flow positive) and raise sufficient capital to maintain operations, there is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Subsequent Events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2025, pursuant to Securities Purchase Agreements, the Company issued 1,811,120 shares of common stock to existing and new stockholders in a registered direct offering, for cash gross proceeds of approximately $8.2 million and approximately $7.0 million, net of offering costs. Approximately $215,000 of offering costs related to the common stock offering in April 2025 were incurred during the three months ended March 31, 2025. Those costs are deferred and presented as other current assets in the Company’s Condensed Consolidated Balance Sheet as described in Note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2025, pursuant to Securities Purchase Agreements, the Company issued 373,060 shares of common stock to existing and new stockholders in a registered direct offering, for cash gross proceeds of approximately $2.1 million and approximately $1.6 million, net of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noted above, the Company has concluded that no events or transactions have occurred that may require disclosure in the accompanying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accounting policies are more fully described in the notes to our consolidated financial statements. Those material accounting estimates that we believe are the most critical to an investor’s understanding of our financial results and condition are discussed immediately below and are particularly important to the portrayal of our financial position and results of operations and require the application of significant judgment by our management to determine the appropriate assumptions to be used in the determination of certain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these consolidated financial statements in conformity with U.S. GAAP, management is required to make estimates and assumptions that may affect the reported amounts of assets and liabilities and disclosure of contingent assets and liabilities as of the date of the consolidated financial statements and the reported amount of revenues and expenses during the reporting periods.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includes information about Adjusted EBITDA that is not prepared in accordance with GAAP. Adjusted EBITDA is not based on any standardized methodology prescribed by GAAP and is not necessarily comparable to similar measures presented by other companies. A reconciliation of this non-GAAP measure is included below. Adjusted EBITDA is a non-GAAP financial measure that represents GAAP net income (loss) adjusted to exclude (1) interest expense and debt discount and debt issuance costs amortization expense, (2) interest income, (3) depreciation and amortization, (4) stock-based compensation expense (stock options) and certain other items management believes affect the comparability of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Adjusted EBITDA, when viewed with our results under GAAP and the accompanying reconciliations, provides useful information about our period-over-period results. Adjusted EBITDA is presented because management believes it provides additional information with respect to the performance of our fundamental business activities and is also frequently used by securities analysts, investors and other interested parties in the evaluation of comparable companies. We also rely on Adjusted EBITDA as a primary measure to review and assess the operating performance of our company and our management, and it will be a focus as we invest in and grow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has limitations as an analytical tool, and you should not consider it in isolation from, or as a substitute for, analysis of our results as reported under GAAP. Some of these limitations 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Adjusted EBITDA does not reflect our cash expenditures or future requirements for capital expenditures or contractual commitments;</w:t>
            </w:r>
          </w:p>
        </w:tc>
      </w:tr>
    </w:tbl>
    <w:p>
      <w:pPr>
        <w:pStyle w:val="TextBody"/>
        <w:bidi w:val="0"/>
        <w:spacing w:before="0" w:after="0"/>
        <w:ind w:left="0" w:right="0" w:hanging="0"/>
        <w:jc w:val="both"/>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105"/>
        <w:gridCol w:w="200"/>
        <w:gridCol w:w="80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Adjusted EBITDA does not reflect changes in, or cash requirements for, our working capital needs;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Although depreciation and amortization are non-cash charges, the assets being depreciated and amortized will often have to be replaced in the future, and Adjusted EBITDA does not reflect any cash requirements for such replacements;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Adjusted EBITDA does not include the impact of certain charges or gains resulting from matters we consider not to be indicative of our ongoing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limitations, Adjusted EBITDA should not be considered as a measure of discretionary cash available to us to invest in the growth of our business. We compensate for these limitations by relying primarily on our GAAP results and using Adjusted EBITDA only as a supplement to our GAAP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Loss from Continuing Operations to Adjusted EBITDA Continuing Operations:</w:t>
      </w:r>
    </w:p>
    <w:p>
      <w:pPr>
        <w:pStyle w:val="TextBody"/>
        <w:bidi w:val="0"/>
        <w:spacing w:before="0" w:after="0"/>
        <w:ind w:left="0" w:right="0" w:hanging="0"/>
        <w:jc w:val="both"/>
        <w:rPr>
          <w:caps w:val="false"/>
          <w:smallCaps w:val="false"/>
        </w:rPr>
      </w:pPr>
      <w:r>
        <w:rPr>
          <w:caps w:val="false"/>
          <w:smallCaps w:val="false"/>
        </w:rPr>
        <w:t> </w:t>
      </w:r>
    </w:p>
    <w:tbl>
      <w:tblPr>
        <w:tblW w:w="8345" w:type="dxa"/>
        <w:jc w:val="left"/>
        <w:tblInd w:w="0" w:type="dxa"/>
        <w:tblLayout w:type="fixed"/>
        <w:tblCellMar>
          <w:top w:w="0" w:type="dxa"/>
          <w:left w:w="0" w:type="dxa"/>
          <w:bottom w:w="0" w:type="dxa"/>
          <w:right w:w="0" w:type="dxa"/>
        </w:tblCellMar>
      </w:tblPr>
      <w:tblGrid>
        <w:gridCol w:w="5360"/>
        <w:gridCol w:w="90"/>
        <w:gridCol w:w="170"/>
        <w:gridCol w:w="1085"/>
        <w:gridCol w:w="125"/>
        <w:gridCol w:w="90"/>
        <w:gridCol w:w="170"/>
        <w:gridCol w:w="1085"/>
        <w:gridCol w:w="170"/>
      </w:tblGrid>
      <w:tr>
        <w:trPr/>
        <w:tc>
          <w:tcPr>
            <w:tcW w:w="53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March 31,</w:t>
            </w:r>
          </w:p>
        </w:tc>
        <w:tc>
          <w:tcPr>
            <w:tcW w:w="17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Loss from continuing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(4,339,467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(3,057,577</w:t>
            </w:r>
          </w:p>
        </w:tc>
        <w:tc>
          <w:tcPr>
            <w:tcW w:w="170" w:type="dxa"/>
            <w:tcBorders/>
            <w:shd w:fill="CCEEFF" w:val="clear"/>
            <w:vAlign w:val="center"/>
          </w:tcPr>
          <w:p>
            <w:pPr>
              <w:pStyle w:val="TableContents"/>
              <w:bidi w:val="0"/>
              <w:spacing w:before="0" w:after="283"/>
              <w:jc w:val="left"/>
              <w:rPr/>
            </w:pPr>
            <w:r>
              <w:rPr/>
              <w:t>)</w:t>
            </w:r>
          </w:p>
        </w:tc>
      </w:tr>
      <w:tr>
        <w:trPr/>
        <w:tc>
          <w:tcPr>
            <w:tcW w:w="53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Addback:</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Interest expense,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12,712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13,138</w:t>
            </w:r>
          </w:p>
        </w:tc>
        <w:tc>
          <w:tcPr>
            <w:tcW w:w="170" w:type="dxa"/>
            <w:tcBorders/>
            <w:shd w:fill="CCEEFF" w:val="clear"/>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Other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(51,544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(108,920</w:t>
            </w:r>
          </w:p>
        </w:tc>
        <w:tc>
          <w:tcPr>
            <w:tcW w:w="170" w:type="dxa"/>
            <w:tcBorders/>
            <w:vAlign w:val="center"/>
          </w:tcPr>
          <w:p>
            <w:pPr>
              <w:pStyle w:val="TableContents"/>
              <w:bidi w:val="0"/>
              <w:spacing w:before="0" w:after="283"/>
              <w:jc w:val="left"/>
              <w:rPr/>
            </w:pPr>
            <w:r>
              <w:rPr/>
              <w:t>)</w:t>
            </w:r>
          </w:p>
        </w:tc>
      </w:tr>
      <w:tr>
        <w:trPr/>
        <w:tc>
          <w:tcPr>
            <w:tcW w:w="5360"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30,192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43,408</w:t>
            </w:r>
          </w:p>
        </w:tc>
        <w:tc>
          <w:tcPr>
            <w:tcW w:w="170" w:type="dxa"/>
            <w:tcBorders/>
            <w:shd w:fill="CCEEFF" w:val="clear"/>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Stock compensation</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454,339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722,971</w:t>
            </w:r>
          </w:p>
        </w:tc>
        <w:tc>
          <w:tcPr>
            <w:tcW w:w="170"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Adjusted EBITDA continuing operations (Non-GAAP)</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(3,893,768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(2,386,980</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and Financial Condition for the Three Months Ended March 31, 2025 as Compared to the Three Months Ended 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the Company’s revenues were approximately $296,000, compared to approximately $157,000 in the three months ended March 31, 2024, principally due to the recognition of revenue from new customer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compared to the three months ended March 31, 2024, general and administrative expenses increased by approximately $0.6 million. The increase for the three-month period was driven by increases in employee related expenses, primarily resulting from the investment in client-facing sales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compared to the three months ended March 31, 2024, research and development expenses increased by approximately $0.8 million. The increase was due to continued investment in employees and contractors to deliver required product capabilities and performance for existing customers and sales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Depreciation and amortization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compared to March 31, 2024, depreciation and amortization expense remained flat during the three months ended March 31, 2025 compared to 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Interest expense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includes interest expense, debt issuance and discount amortization expense. Interest expense remained flat during the three months ended March 31, 2025 compared to March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Macro-Economic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economy has been undergoing a period of political and economic uncertainty and stock markets are experiencing high levels of volatility, and it is difficult to predict how long this uncertainty and volatility will continue. The current increase in international tariffs and uncertainty over international trading conditions, continuing wars in Ukraine and the Middle East, inflationary pressures, rising energy prices and increases in interest rates have impacted the United States and other major economies and have created uncertainty regarding a possible recession. As a result, many businesses, especially in the technology sector, have made significant cut-backs in expenditure, including reductions in force and investment freezes. Our sales and results are also impacted by the changes in levels of spending on identity verification, management and security methods, and thus, negative trends in the global economy and other factors which negatively impact such spending may negatively impact the growth of our revenue from those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approximately $2.9 million of cash on hand and approximately $3.0 million of working capital as of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was approximately $5.4 million and $2.9 million in the three months ended March 31, 2025 and 2024,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investing activities for the three months ended March 31, 2025 was approximately $2,000, compared with $0 for the three months ended March 31, 2024, for purchases of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financing activities in the three months ended March 31, 2025 consisted of approximately $0.2 million in for offering costs related to the repayment of the March 2025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and May 2025, the Company raised approximately $8.6 million after expenses from existing and new stockholders through the sale of Common Stock pursuant to registered direct offerings. Going forward, the Company will need to raise additional funds to support its operations and investments as it seeks to create a sustainable organization. Our growth-oriented business plan to offer products to our customers will require continued capital investment and there is no guarantee that such financing will be available, or available on acceptable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our current business plan will not change, and as a result of such change, we will need additional capital to implement such business plan. Further, assuming we achieve our expected growth plan, of which there is no guarantee, we will need additional capital to implement growth beyond our current business plan.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off-balance sheet arrangements that are reasonably likely to have a current or future effect on our financial condition, changes in financial condition, revenues or expenses, results of operations, liquidity, capital expenditures or capital resources that is deemed by our management to be material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recent material accounting policies that may be the most critical to understanding of the financial results and conditions are discussed in Note 1 of the unaudited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include disclosure under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the period covered by this Quarterly Report, our Chief Executive Officer and Chief Financial Officer performed an evaluation of the effectiveness of our disclosure controls and procedures as defined in Rules 13a-15(e) and 15d-15(e) of the Exchange Act. Based on the evaluation, the Chief Executive Officer and Chief Financial Officer concluded that, as of March 31, 2025, the Company’s disclosure controls and procedures are effective to ensure that the information required to be disclosed by the Company in the report that it files or submits under the Exchange Act is recorded, processed, summarized, and reported within the time periods specified in SEC rules and forms.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that term is defined in Rules 13a-15(f) and 15d-15(f) under the Exchange Act) that occurred during the three months ended March 31, 2025 that have materially affected, or are reasonably likely to materially affect,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 party to various legal or administrative proceedings arising in the ordinary course of business. While any litigation contains an element of uncertainty, we have no reason to believe the outcome of such proceedings will have a material adverse effect on the financial condition or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 describing the major risks to our business can be found under Item 1A, “Risk Factors”, in our Annual Report on Form 10-K for the year ended December 31, 2024. There has been no material change in our risk factors from those previously discussed in the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the Company granted 30,000 options to a new employee at an exercise price of $5.89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2024, the Company granted a total of 100,000 options to certain new employees at exercise prices ranging from $9.05 to $9.61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above securities is exempt from the registration requirements under Rule 4(a)(2) of the Securities Act of 1933, as amended, and/or Rule 506 as promulgated under Regulation 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to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0" w:name="a_019"/>
      <w:bookmarkEnd w:id="20"/>
      <w:r>
        <w:rPr>
          <w:rFonts w:ascii="Times New Roman;Times;Serif" w:hAnsi="Times New Roman;Times;Serif"/>
          <w:b/>
          <w:i w:val="false"/>
          <w:caps w:val="false"/>
          <w:smallCaps w:val="false"/>
          <w:sz w:val="20"/>
        </w:rPr>
        <w:t>ITEM 6. EXHIBITS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00"/>
        <w:gridCol w:w="90"/>
        <w:gridCol w:w="9315"/>
      </w:tblGrid>
      <w:tr>
        <w:trPr/>
        <w:tc>
          <w:tcPr>
            <w:tcW w:w="800"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w:t>
              <w:br/>
              <w:t>Number</w:t>
            </w:r>
          </w:p>
        </w:tc>
        <w:tc>
          <w:tcPr>
            <w:tcW w:w="90" w:type="dxa"/>
            <w:tcBorders/>
            <w:tcMar>
              <w:bottom w:w="0" w:type="dxa"/>
            </w:tcMar>
            <w:vAlign w:val="center"/>
          </w:tcPr>
          <w:p>
            <w:pPr>
              <w:pStyle w:val="TableContents"/>
              <w:bidi w:val="0"/>
              <w:spacing w:before="0" w:after="283"/>
              <w:jc w:val="left"/>
              <w:rPr/>
            </w:pPr>
            <w:r>
              <w:rPr/>
              <w:t> </w:t>
            </w:r>
          </w:p>
        </w:tc>
        <w:tc>
          <w:tcPr>
            <w:tcW w:w="9315"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8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 (1)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15" w:type="dxa"/>
            <w:tcBorders/>
            <w:shd w:fill="CCEE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sz w:val="20"/>
                </w:rPr>
                <w:t>Amended &amp; Restated Certificate of Incorporation</w:t>
              </w:r>
            </w:hyperlink>
          </w:p>
        </w:tc>
      </w:tr>
      <w:tr>
        <w:trPr/>
        <w:tc>
          <w:tcPr>
            <w:tcW w:w="80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 (6)</w:t>
            </w:r>
          </w:p>
        </w:tc>
        <w:tc>
          <w:tcPr>
            <w:tcW w:w="90" w:type="dxa"/>
            <w:tcBorders/>
            <w:tcMar>
              <w:bottom w:w="0" w:type="dxa"/>
            </w:tcMar>
            <w:vAlign w:val="center"/>
          </w:tcPr>
          <w:p>
            <w:pPr>
              <w:pStyle w:val="TableContents"/>
              <w:bidi w:val="0"/>
              <w:spacing w:before="0" w:after="283"/>
              <w:jc w:val="left"/>
              <w:rPr/>
            </w:pPr>
            <w:r>
              <w:rPr/>
              <w:t> </w:t>
            </w:r>
          </w:p>
        </w:tc>
        <w:tc>
          <w:tcPr>
            <w:tcW w:w="9315"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sz w:val="20"/>
                </w:rPr>
                <w:t>Amended &amp; Restated Bylaws as of July 18, 2022</w:t>
              </w:r>
            </w:hyperlink>
          </w:p>
        </w:tc>
      </w:tr>
      <w:tr>
        <w:trPr/>
        <w:tc>
          <w:tcPr>
            <w:tcW w:w="8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3.3 (2)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15" w:type="dxa"/>
            <w:tcBorders/>
            <w:shd w:fill="CCEE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sz w:val="20"/>
                </w:rPr>
                <w:t>Certificate of Amendment dated June 1, 2021</w:t>
              </w:r>
            </w:hyperlink>
          </w:p>
        </w:tc>
      </w:tr>
      <w:tr>
        <w:trPr/>
        <w:tc>
          <w:tcPr>
            <w:tcW w:w="80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3.4 (6)</w:t>
            </w:r>
          </w:p>
        </w:tc>
        <w:tc>
          <w:tcPr>
            <w:tcW w:w="90" w:type="dxa"/>
            <w:tcBorders/>
            <w:tcMar>
              <w:bottom w:w="0" w:type="dxa"/>
            </w:tcMar>
            <w:vAlign w:val="center"/>
          </w:tcPr>
          <w:p>
            <w:pPr>
              <w:pStyle w:val="TableContents"/>
              <w:bidi w:val="0"/>
              <w:spacing w:before="0" w:after="283"/>
              <w:jc w:val="left"/>
              <w:rPr/>
            </w:pPr>
            <w:r>
              <w:rPr/>
              <w:t> </w:t>
            </w:r>
          </w:p>
        </w:tc>
        <w:tc>
          <w:tcPr>
            <w:tcW w:w="9315"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sz w:val="20"/>
                </w:rPr>
                <w:t>Certificate of Amendment to Amended and Restated Certificate of Incorporation as of July 18, 2022</w:t>
              </w:r>
            </w:hyperlink>
          </w:p>
        </w:tc>
      </w:tr>
      <w:tr>
        <w:trPr/>
        <w:tc>
          <w:tcPr>
            <w:tcW w:w="8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3.5 (7)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15" w:type="dxa"/>
            <w:tcBorders/>
            <w:shd w:fill="CCEE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sz w:val="20"/>
                </w:rPr>
                <w:t>Certificate of Amendment to Amended and Restated Certificate of Incorporation as of September 21, 2022</w:t>
              </w:r>
            </w:hyperlink>
          </w:p>
        </w:tc>
      </w:tr>
      <w:tr>
        <w:trPr/>
        <w:tc>
          <w:tcPr>
            <w:tcW w:w="80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3.6 (14)</w:t>
            </w:r>
          </w:p>
        </w:tc>
        <w:tc>
          <w:tcPr>
            <w:tcW w:w="90" w:type="dxa"/>
            <w:tcBorders/>
            <w:tcMar>
              <w:bottom w:w="0" w:type="dxa"/>
            </w:tcMar>
            <w:vAlign w:val="center"/>
          </w:tcPr>
          <w:p>
            <w:pPr>
              <w:pStyle w:val="TableContents"/>
              <w:bidi w:val="0"/>
              <w:spacing w:before="0" w:after="283"/>
              <w:jc w:val="left"/>
              <w:rPr/>
            </w:pPr>
            <w:r>
              <w:rPr/>
              <w:t> </w:t>
            </w:r>
          </w:p>
        </w:tc>
        <w:tc>
          <w:tcPr>
            <w:tcW w:w="9315"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sz w:val="20"/>
                </w:rPr>
                <w:t>Certificate of Amendment to the Amended and Restated Certificate of Incorporation dated June 26, 2023</w:t>
              </w:r>
            </w:hyperlink>
          </w:p>
        </w:tc>
      </w:tr>
      <w:tr>
        <w:trPr/>
        <w:tc>
          <w:tcPr>
            <w:tcW w:w="8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3.7(22)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15" w:type="dxa"/>
            <w:tcBorders/>
            <w:shd w:fill="CCEE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sz w:val="20"/>
                </w:rPr>
                <w:t>Certificate of Amendment to the Certificate of Incorporation</w:t>
              </w:r>
            </w:hyperlink>
          </w:p>
        </w:tc>
      </w:tr>
      <w:tr>
        <w:trPr/>
        <w:tc>
          <w:tcPr>
            <w:tcW w:w="80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 (2)</w:t>
            </w:r>
          </w:p>
        </w:tc>
        <w:tc>
          <w:tcPr>
            <w:tcW w:w="90" w:type="dxa"/>
            <w:tcBorders/>
            <w:tcMar>
              <w:bottom w:w="0" w:type="dxa"/>
            </w:tcMar>
            <w:vAlign w:val="center"/>
          </w:tcPr>
          <w:p>
            <w:pPr>
              <w:pStyle w:val="TableContents"/>
              <w:bidi w:val="0"/>
              <w:spacing w:before="0" w:after="283"/>
              <w:jc w:val="left"/>
              <w:rPr/>
            </w:pPr>
            <w:r>
              <w:rPr/>
              <w:t> </w:t>
            </w:r>
          </w:p>
        </w:tc>
        <w:tc>
          <w:tcPr>
            <w:tcW w:w="9315" w:type="dxa"/>
            <w:tcBorders/>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sz w:val="20"/>
                </w:rPr>
                <w:t>Form of Stock Option</w:t>
              </w:r>
            </w:hyperlink>
          </w:p>
        </w:tc>
      </w:tr>
      <w:tr>
        <w:trPr/>
        <w:tc>
          <w:tcPr>
            <w:tcW w:w="8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 (10)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15" w:type="dxa"/>
            <w:tcBorders/>
            <w:shd w:fill="CCEEFF" w:val="clear"/>
            <w:tcMar>
              <w:bottom w:w="0" w:type="dxa"/>
            </w:tcMar>
            <w:vAlign w:val="center"/>
          </w:tcPr>
          <w:p>
            <w:pPr>
              <w:pStyle w:val="TableContents"/>
              <w:bidi w:val="0"/>
              <w:spacing w:before="0" w:after="0"/>
              <w:ind w:left="0" w:right="0" w:hanging="0"/>
              <w:jc w:val="both"/>
              <w:rPr/>
            </w:pPr>
            <w:hyperlink r:id="rId11">
              <w:r>
                <w:rPr>
                  <w:rStyle w:val="InternetLink"/>
                </w:rPr>
                <w:t>Description of the Registrant’s Securities</w:t>
              </w:r>
            </w:hyperlink>
          </w:p>
        </w:tc>
      </w:tr>
      <w:tr>
        <w:trPr/>
        <w:tc>
          <w:tcPr>
            <w:tcW w:w="80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 (2)</w:t>
            </w:r>
          </w:p>
        </w:tc>
        <w:tc>
          <w:tcPr>
            <w:tcW w:w="90" w:type="dxa"/>
            <w:tcBorders/>
            <w:tcMar>
              <w:bottom w:w="0" w:type="dxa"/>
            </w:tcMar>
            <w:vAlign w:val="center"/>
          </w:tcPr>
          <w:p>
            <w:pPr>
              <w:pStyle w:val="TableContents"/>
              <w:bidi w:val="0"/>
              <w:spacing w:before="0" w:after="283"/>
              <w:jc w:val="left"/>
              <w:rPr/>
            </w:pPr>
            <w:r>
              <w:rPr/>
              <w:t> </w:t>
            </w:r>
          </w:p>
        </w:tc>
        <w:tc>
          <w:tcPr>
            <w:tcW w:w="9315" w:type="dxa"/>
            <w:tcBorders/>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sz w:val="20"/>
                </w:rPr>
                <w:t>Form of Director Agreement</w:t>
              </w:r>
            </w:hyperlink>
          </w:p>
        </w:tc>
      </w:tr>
      <w:tr>
        <w:trPr/>
        <w:tc>
          <w:tcPr>
            <w:tcW w:w="8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 (2)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15" w:type="dxa"/>
            <w:tcBorders/>
            <w:shd w:fill="CCEE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sz w:val="20"/>
                </w:rPr>
                <w:t>Form of Indemnification Agreement</w:t>
              </w:r>
            </w:hyperlink>
          </w:p>
        </w:tc>
      </w:tr>
      <w:tr>
        <w:trPr/>
        <w:tc>
          <w:tcPr>
            <w:tcW w:w="80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10.3 (3)</w:t>
            </w:r>
          </w:p>
        </w:tc>
        <w:tc>
          <w:tcPr>
            <w:tcW w:w="90" w:type="dxa"/>
            <w:tcBorders/>
            <w:tcMar>
              <w:bottom w:w="0" w:type="dxa"/>
            </w:tcMar>
            <w:vAlign w:val="center"/>
          </w:tcPr>
          <w:p>
            <w:pPr>
              <w:pStyle w:val="TableContents"/>
              <w:bidi w:val="0"/>
              <w:spacing w:before="0" w:after="283"/>
              <w:jc w:val="left"/>
              <w:rPr/>
            </w:pPr>
            <w:r>
              <w:rPr/>
              <w:t> </w:t>
            </w:r>
          </w:p>
        </w:tc>
        <w:tc>
          <w:tcPr>
            <w:tcW w:w="9315"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sz w:val="20"/>
                </w:rPr>
                <w:t>2017 Incentive Stock Plan</w:t>
              </w:r>
            </w:hyperlink>
          </w:p>
        </w:tc>
      </w:tr>
      <w:tr>
        <w:trPr/>
        <w:tc>
          <w:tcPr>
            <w:tcW w:w="8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 (2)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15" w:type="dxa"/>
            <w:tcBorders/>
            <w:shd w:fill="CCEE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sz w:val="20"/>
                </w:rPr>
                <w:t>Executive Retention Agreement entered between the Company and Thomas L. Thimot dated June 14, 2021</w:t>
              </w:r>
            </w:hyperlink>
          </w:p>
        </w:tc>
      </w:tr>
      <w:tr>
        <w:trPr/>
        <w:tc>
          <w:tcPr>
            <w:tcW w:w="80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10.5 (2)</w:t>
            </w:r>
          </w:p>
        </w:tc>
        <w:tc>
          <w:tcPr>
            <w:tcW w:w="90" w:type="dxa"/>
            <w:tcBorders/>
            <w:tcMar>
              <w:bottom w:w="0" w:type="dxa"/>
            </w:tcMar>
            <w:vAlign w:val="center"/>
          </w:tcPr>
          <w:p>
            <w:pPr>
              <w:pStyle w:val="TableContents"/>
              <w:bidi w:val="0"/>
              <w:spacing w:before="0" w:after="283"/>
              <w:jc w:val="left"/>
              <w:rPr/>
            </w:pPr>
            <w:r>
              <w:rPr/>
              <w:t> </w:t>
            </w:r>
          </w:p>
        </w:tc>
        <w:tc>
          <w:tcPr>
            <w:tcW w:w="9315"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sz w:val="20"/>
                </w:rPr>
                <w:t>Executive Retention Agreement entered between the Company and Cecil N. Smith III dated June 14, 2021</w:t>
              </w:r>
            </w:hyperlink>
          </w:p>
        </w:tc>
      </w:tr>
      <w:tr>
        <w:trPr/>
        <w:tc>
          <w:tcPr>
            <w:tcW w:w="800" w:type="dxa"/>
            <w:tcBorders/>
            <w:shd w:fill="CCEEFF" w:val="clear"/>
            <w:tcMar>
              <w:bottom w:w="0" w:type="dxa"/>
            </w:tcMar>
            <w:vAlign w:val="center"/>
          </w:tcPr>
          <w:p>
            <w:pPr>
              <w:pStyle w:val="TableContents"/>
              <w:bidi w:val="0"/>
              <w:spacing w:before="0" w:after="283"/>
              <w:jc w:val="both"/>
              <w:rPr/>
            </w:pPr>
            <w:r>
              <w:rPr/>
              <w:t>10.6 (4)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15" w:type="dxa"/>
            <w:tcBorders/>
            <w:shd w:fill="CCEEFF" w:val="clear"/>
            <w:tcMar>
              <w:bottom w:w="0" w:type="dxa"/>
            </w:tcMar>
            <w:vAlign w:val="center"/>
          </w:tcPr>
          <w:p>
            <w:pPr>
              <w:pStyle w:val="TableContents"/>
              <w:bidi w:val="0"/>
              <w:spacing w:before="0" w:after="283"/>
              <w:jc w:val="both"/>
              <w:rPr/>
            </w:pPr>
            <w:hyperlink r:id="rId17">
              <w:r>
                <w:rPr>
                  <w:rStyle w:val="InternetLink"/>
                </w:rPr>
                <w:t>AuthID Inc. 2021 Equity Incentive Plan</w:t>
              </w:r>
            </w:hyperlink>
          </w:p>
        </w:tc>
      </w:tr>
      <w:tr>
        <w:trPr/>
        <w:tc>
          <w:tcPr>
            <w:tcW w:w="800" w:type="dxa"/>
            <w:tcBorders/>
            <w:tcMar>
              <w:bottom w:w="0" w:type="dxa"/>
            </w:tcMar>
            <w:vAlign w:val="center"/>
          </w:tcPr>
          <w:p>
            <w:pPr>
              <w:pStyle w:val="TableContents"/>
              <w:bidi w:val="0"/>
              <w:spacing w:before="0" w:after="283"/>
              <w:jc w:val="both"/>
              <w:rPr/>
            </w:pPr>
            <w:r>
              <w:rPr/>
              <w:t>10.7 (5)</w:t>
            </w:r>
          </w:p>
        </w:tc>
        <w:tc>
          <w:tcPr>
            <w:tcW w:w="90" w:type="dxa"/>
            <w:tcBorders/>
            <w:tcMar>
              <w:bottom w:w="0" w:type="dxa"/>
            </w:tcMar>
            <w:vAlign w:val="center"/>
          </w:tcPr>
          <w:p>
            <w:pPr>
              <w:pStyle w:val="TableContents"/>
              <w:bidi w:val="0"/>
              <w:spacing w:before="0" w:after="283"/>
              <w:jc w:val="left"/>
              <w:rPr/>
            </w:pPr>
            <w:r>
              <w:rPr/>
              <w:t> </w:t>
            </w:r>
          </w:p>
        </w:tc>
        <w:tc>
          <w:tcPr>
            <w:tcW w:w="9315" w:type="dxa"/>
            <w:tcBorders/>
            <w:tcMar>
              <w:bottom w:w="0" w:type="dxa"/>
            </w:tcMar>
            <w:vAlign w:val="center"/>
          </w:tcPr>
          <w:p>
            <w:pPr>
              <w:pStyle w:val="TableContents"/>
              <w:bidi w:val="0"/>
              <w:spacing w:before="0" w:after="283"/>
              <w:jc w:val="both"/>
              <w:rPr/>
            </w:pPr>
            <w:hyperlink r:id="rId18">
              <w:r>
                <w:rPr>
                  <w:rStyle w:val="InternetLink"/>
                </w:rPr>
                <w:t>Letter Agreement between Annie Pham and AuthID Inc. dated April 25, 2022</w:t>
              </w:r>
            </w:hyperlink>
          </w:p>
        </w:tc>
      </w:tr>
      <w:tr>
        <w:trPr/>
        <w:tc>
          <w:tcPr>
            <w:tcW w:w="800" w:type="dxa"/>
            <w:tcBorders/>
            <w:shd w:fill="CCEEFF" w:val="clear"/>
            <w:tcMar>
              <w:bottom w:w="0" w:type="dxa"/>
            </w:tcMar>
            <w:vAlign w:val="center"/>
          </w:tcPr>
          <w:p>
            <w:pPr>
              <w:pStyle w:val="TableContents"/>
              <w:bidi w:val="0"/>
              <w:spacing w:before="0" w:after="283"/>
              <w:jc w:val="both"/>
              <w:rPr/>
            </w:pPr>
            <w:r>
              <w:rPr/>
              <w:t>10.8 (8)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15" w:type="dxa"/>
            <w:tcBorders/>
            <w:shd w:fill="CCEEFF" w:val="clear"/>
            <w:tcMar>
              <w:bottom w:w="0" w:type="dxa"/>
            </w:tcMar>
            <w:vAlign w:val="center"/>
          </w:tcPr>
          <w:p>
            <w:pPr>
              <w:pStyle w:val="TableContents"/>
              <w:bidi w:val="0"/>
              <w:spacing w:before="0" w:after="283"/>
              <w:jc w:val="both"/>
              <w:rPr/>
            </w:pPr>
            <w:hyperlink r:id="rId19">
              <w:r>
                <w:rPr>
                  <w:rStyle w:val="InternetLink"/>
                </w:rPr>
                <w:t>Amended and Restated Faculty Agreement between the Company and Stephen J. Garchik dated March 8, 2023.</w:t>
              </w:r>
            </w:hyperlink>
          </w:p>
        </w:tc>
      </w:tr>
      <w:tr>
        <w:trPr/>
        <w:tc>
          <w:tcPr>
            <w:tcW w:w="80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10.9 (8)</w:t>
            </w:r>
          </w:p>
        </w:tc>
        <w:tc>
          <w:tcPr>
            <w:tcW w:w="90" w:type="dxa"/>
            <w:tcBorders/>
            <w:tcMar>
              <w:bottom w:w="0" w:type="dxa"/>
            </w:tcMar>
            <w:vAlign w:val="center"/>
          </w:tcPr>
          <w:p>
            <w:pPr>
              <w:pStyle w:val="TableContents"/>
              <w:bidi w:val="0"/>
              <w:spacing w:before="0" w:after="283"/>
              <w:jc w:val="left"/>
              <w:rPr/>
            </w:pPr>
            <w:r>
              <w:rPr/>
              <w:t> </w:t>
            </w:r>
          </w:p>
        </w:tc>
        <w:tc>
          <w:tcPr>
            <w:tcW w:w="9315"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sz w:val="20"/>
                </w:rPr>
                <w:t>Promissory Note between the Company and Stephen J. Garchik dated March 9, 2023.</w:t>
              </w:r>
            </w:hyperlink>
          </w:p>
        </w:tc>
      </w:tr>
      <w:tr>
        <w:trPr/>
        <w:tc>
          <w:tcPr>
            <w:tcW w:w="8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10.10 (8)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15" w:type="dxa"/>
            <w:tcBorders/>
            <w:shd w:fill="CCEEFF" w:val="clear"/>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sz w:val="20"/>
                </w:rPr>
                <w:t>Guaranty Agreement by FIN Holdings Inc., Innovation in Motion, Inc. and ID Solutions, Inc. in favor of Stephen J. Garchik dated March 9, 2023.</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40"/>
        <w:gridCol w:w="90"/>
        <w:gridCol w:w="8975"/>
      </w:tblGrid>
      <w:tr>
        <w:trPr/>
        <w:tc>
          <w:tcPr>
            <w:tcW w:w="11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10.11 (8)</w:t>
            </w:r>
          </w:p>
        </w:tc>
        <w:tc>
          <w:tcPr>
            <w:tcW w:w="90" w:type="dxa"/>
            <w:tcBorders/>
            <w:shd w:fill="CCEEFF" w:val="clear"/>
            <w:vAlign w:val="center"/>
          </w:tcPr>
          <w:p>
            <w:pPr>
              <w:pStyle w:val="TableContents"/>
              <w:bidi w:val="0"/>
              <w:spacing w:before="0" w:after="283"/>
              <w:jc w:val="left"/>
              <w:rPr/>
            </w:pPr>
            <w:r>
              <w:rPr/>
              <w:t> </w:t>
            </w:r>
          </w:p>
        </w:tc>
        <w:tc>
          <w:tcPr>
            <w:tcW w:w="8975" w:type="dxa"/>
            <w:tcBorders/>
            <w:shd w:fill="CCEEFF" w:val="clear"/>
            <w:vAlign w:val="center"/>
          </w:tcPr>
          <w:p>
            <w:pPr>
              <w:pStyle w:val="TableContents"/>
              <w:bidi w:val="0"/>
              <w:spacing w:before="0" w:after="283"/>
              <w:jc w:val="both"/>
              <w:rPr/>
            </w:pPr>
            <w:hyperlink r:id="rId22">
              <w:r>
                <w:rPr>
                  <w:rStyle w:val="InternetLink"/>
                  <w:rFonts w:ascii="Times New Roman;Times;Serif" w:hAnsi="Times New Roman;Times;Serif"/>
                  <w:sz w:val="20"/>
                </w:rPr>
                <w:t>Release Agreement between the Company and Stephen J. Garchik dated March 9, 2023.</w:t>
              </w:r>
            </w:hyperlink>
          </w:p>
        </w:tc>
      </w:tr>
      <w:tr>
        <w:trPr/>
        <w:tc>
          <w:tcPr>
            <w:tcW w:w="1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10.12 (9)</w:t>
            </w:r>
          </w:p>
        </w:tc>
        <w:tc>
          <w:tcPr>
            <w:tcW w:w="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hyperlink r:id="rId23">
              <w:r>
                <w:rPr>
                  <w:rStyle w:val="InternetLink"/>
                  <w:rFonts w:ascii="Times New Roman;Times;Serif" w:hAnsi="Times New Roman;Times;Serif"/>
                  <w:sz w:val="20"/>
                </w:rPr>
                <w:t>Letter Agreement between Rhoniel Daguro and AuthID Inc. dated March 23, 2023</w:t>
              </w:r>
            </w:hyperlink>
          </w:p>
        </w:tc>
      </w:tr>
      <w:tr>
        <w:trPr/>
        <w:tc>
          <w:tcPr>
            <w:tcW w:w="11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10.13 (9)</w:t>
            </w:r>
          </w:p>
        </w:tc>
        <w:tc>
          <w:tcPr>
            <w:tcW w:w="90" w:type="dxa"/>
            <w:tcBorders/>
            <w:shd w:fill="CCEEFF" w:val="clear"/>
            <w:vAlign w:val="center"/>
          </w:tcPr>
          <w:p>
            <w:pPr>
              <w:pStyle w:val="TableContents"/>
              <w:bidi w:val="0"/>
              <w:spacing w:before="0" w:after="283"/>
              <w:jc w:val="left"/>
              <w:rPr/>
            </w:pPr>
            <w:r>
              <w:rPr/>
              <w:t> </w:t>
            </w:r>
          </w:p>
        </w:tc>
        <w:tc>
          <w:tcPr>
            <w:tcW w:w="8975" w:type="dxa"/>
            <w:tcBorders/>
            <w:shd w:fill="CCEEFF" w:val="clear"/>
            <w:vAlign w:val="center"/>
          </w:tcPr>
          <w:p>
            <w:pPr>
              <w:pStyle w:val="TableContents"/>
              <w:bidi w:val="0"/>
              <w:spacing w:before="0" w:after="283"/>
              <w:jc w:val="both"/>
              <w:rPr/>
            </w:pPr>
            <w:hyperlink r:id="rId24">
              <w:r>
                <w:rPr>
                  <w:rStyle w:val="InternetLink"/>
                  <w:rFonts w:ascii="Times New Roman;Times;Serif" w:hAnsi="Times New Roman;Times;Serif"/>
                  <w:sz w:val="20"/>
                </w:rPr>
                <w:t>Executive Retention Agreement between Rhoniel Daguro and AuthID Inc. dated March 23, 2023</w:t>
              </w:r>
            </w:hyperlink>
          </w:p>
        </w:tc>
      </w:tr>
      <w:tr>
        <w:trPr/>
        <w:tc>
          <w:tcPr>
            <w:tcW w:w="1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10.14 (9)</w:t>
            </w:r>
          </w:p>
        </w:tc>
        <w:tc>
          <w:tcPr>
            <w:tcW w:w="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hyperlink r:id="rId25">
              <w:r>
                <w:rPr>
                  <w:rStyle w:val="InternetLink"/>
                  <w:rFonts w:ascii="Times New Roman;Times;Serif" w:hAnsi="Times New Roman;Times;Serif"/>
                  <w:sz w:val="20"/>
                </w:rPr>
                <w:t>Confidential Separation Agreement and General Release between Thomas Thimot and authID Inc. Dated March 23, 2023</w:t>
              </w:r>
            </w:hyperlink>
          </w:p>
        </w:tc>
      </w:tr>
      <w:tr>
        <w:trPr/>
        <w:tc>
          <w:tcPr>
            <w:tcW w:w="11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10.15 (11)</w:t>
            </w:r>
          </w:p>
        </w:tc>
        <w:tc>
          <w:tcPr>
            <w:tcW w:w="90" w:type="dxa"/>
            <w:tcBorders/>
            <w:shd w:fill="CCEEFF" w:val="clear"/>
            <w:vAlign w:val="center"/>
          </w:tcPr>
          <w:p>
            <w:pPr>
              <w:pStyle w:val="TableContents"/>
              <w:bidi w:val="0"/>
              <w:spacing w:before="0" w:after="283"/>
              <w:jc w:val="left"/>
              <w:rPr/>
            </w:pPr>
            <w:r>
              <w:rPr/>
              <w:t> </w:t>
            </w:r>
          </w:p>
        </w:tc>
        <w:tc>
          <w:tcPr>
            <w:tcW w:w="8975" w:type="dxa"/>
            <w:tcBorders/>
            <w:shd w:fill="CCEEFF" w:val="clear"/>
            <w:vAlign w:val="center"/>
          </w:tcPr>
          <w:p>
            <w:pPr>
              <w:pStyle w:val="TableContents"/>
              <w:bidi w:val="0"/>
              <w:spacing w:before="0" w:after="283"/>
              <w:jc w:val="both"/>
              <w:rPr/>
            </w:pPr>
            <w:hyperlink r:id="rId26">
              <w:r>
                <w:rPr>
                  <w:rStyle w:val="InternetLink"/>
                  <w:rFonts w:ascii="Times New Roman;Times;Serif" w:hAnsi="Times New Roman;Times;Serif"/>
                  <w:sz w:val="20"/>
                </w:rPr>
                <w:t>Letter Agreement between Thomas Szoke and AuthID Inc. dated April 12, 2023</w:t>
              </w:r>
            </w:hyperlink>
          </w:p>
        </w:tc>
      </w:tr>
      <w:tr>
        <w:trPr/>
        <w:tc>
          <w:tcPr>
            <w:tcW w:w="1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10.16 (11)</w:t>
            </w:r>
          </w:p>
        </w:tc>
        <w:tc>
          <w:tcPr>
            <w:tcW w:w="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hyperlink r:id="rId27">
              <w:r>
                <w:rPr>
                  <w:rStyle w:val="InternetLink"/>
                  <w:rFonts w:ascii="Times New Roman;Times;Serif" w:hAnsi="Times New Roman;Times;Serif"/>
                  <w:sz w:val="20"/>
                </w:rPr>
                <w:t>Executive Retention Agreement between Thomas Szoke and AuthID Inc. dated April 12, 2023</w:t>
              </w:r>
            </w:hyperlink>
          </w:p>
        </w:tc>
      </w:tr>
      <w:tr>
        <w:trPr/>
        <w:tc>
          <w:tcPr>
            <w:tcW w:w="11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10.17 (12)</w:t>
            </w:r>
          </w:p>
        </w:tc>
        <w:tc>
          <w:tcPr>
            <w:tcW w:w="90" w:type="dxa"/>
            <w:tcBorders/>
            <w:shd w:fill="CCEEFF" w:val="clear"/>
            <w:vAlign w:val="center"/>
          </w:tcPr>
          <w:p>
            <w:pPr>
              <w:pStyle w:val="TableContents"/>
              <w:bidi w:val="0"/>
              <w:spacing w:before="0" w:after="283"/>
              <w:jc w:val="left"/>
              <w:rPr/>
            </w:pPr>
            <w:r>
              <w:rPr/>
              <w:t> </w:t>
            </w:r>
          </w:p>
        </w:tc>
        <w:tc>
          <w:tcPr>
            <w:tcW w:w="8975" w:type="dxa"/>
            <w:tcBorders/>
            <w:shd w:fill="CCEEFF" w:val="clear"/>
            <w:vAlign w:val="center"/>
          </w:tcPr>
          <w:p>
            <w:pPr>
              <w:pStyle w:val="TableContents"/>
              <w:bidi w:val="0"/>
              <w:spacing w:before="0" w:after="283"/>
              <w:jc w:val="both"/>
              <w:rPr/>
            </w:pPr>
            <w:hyperlink r:id="rId28">
              <w:r>
                <w:rPr>
                  <w:rStyle w:val="InternetLink"/>
                  <w:rFonts w:ascii="Times New Roman;Times;Serif" w:hAnsi="Times New Roman;Times;Serif"/>
                  <w:sz w:val="20"/>
                </w:rPr>
                <w:t>Executive Retention Agreement between Annie Pham and AuthID Inc. dated May 11, 2023</w:t>
              </w:r>
            </w:hyperlink>
          </w:p>
        </w:tc>
      </w:tr>
      <w:tr>
        <w:trPr/>
        <w:tc>
          <w:tcPr>
            <w:tcW w:w="1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10.18 (13)**</w:t>
            </w:r>
          </w:p>
        </w:tc>
        <w:tc>
          <w:tcPr>
            <w:tcW w:w="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hyperlink r:id="rId29">
              <w:r>
                <w:rPr>
                  <w:rStyle w:val="InternetLink"/>
                  <w:rFonts w:ascii="Times New Roman;Times;Serif" w:hAnsi="Times New Roman;Times;Serif"/>
                  <w:sz w:val="20"/>
                </w:rPr>
                <w:t>Form of Securities Purchase Agreement dated as of May 23, 2023 between the Company and accredited investors</w:t>
              </w:r>
            </w:hyperlink>
          </w:p>
        </w:tc>
      </w:tr>
      <w:tr>
        <w:trPr/>
        <w:tc>
          <w:tcPr>
            <w:tcW w:w="11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10.19 (13)</w:t>
            </w:r>
          </w:p>
        </w:tc>
        <w:tc>
          <w:tcPr>
            <w:tcW w:w="90" w:type="dxa"/>
            <w:tcBorders/>
            <w:shd w:fill="CCEEFF" w:val="clear"/>
            <w:vAlign w:val="center"/>
          </w:tcPr>
          <w:p>
            <w:pPr>
              <w:pStyle w:val="TableContents"/>
              <w:bidi w:val="0"/>
              <w:spacing w:before="0" w:after="283"/>
              <w:jc w:val="left"/>
              <w:rPr/>
            </w:pPr>
            <w:r>
              <w:rPr/>
              <w:t> </w:t>
            </w:r>
          </w:p>
        </w:tc>
        <w:tc>
          <w:tcPr>
            <w:tcW w:w="8975" w:type="dxa"/>
            <w:tcBorders/>
            <w:shd w:fill="CCEEFF" w:val="clear"/>
            <w:vAlign w:val="center"/>
          </w:tcPr>
          <w:p>
            <w:pPr>
              <w:pStyle w:val="TableContents"/>
              <w:bidi w:val="0"/>
              <w:spacing w:before="0" w:after="283"/>
              <w:jc w:val="both"/>
              <w:rPr/>
            </w:pPr>
            <w:hyperlink r:id="rId30">
              <w:r>
                <w:rPr>
                  <w:rStyle w:val="InternetLink"/>
                  <w:rFonts w:ascii="Times New Roman;Times;Serif" w:hAnsi="Times New Roman;Times;Serif"/>
                  <w:sz w:val="20"/>
                </w:rPr>
                <w:t>Engagement Agreement dated as of April 20, 2023 between the Company and Madison Global Partners LLC</w:t>
              </w:r>
            </w:hyperlink>
          </w:p>
        </w:tc>
      </w:tr>
      <w:tr>
        <w:trPr/>
        <w:tc>
          <w:tcPr>
            <w:tcW w:w="1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10.20 (13)</w:t>
            </w:r>
          </w:p>
        </w:tc>
        <w:tc>
          <w:tcPr>
            <w:tcW w:w="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hyperlink r:id="rId31">
              <w:r>
                <w:rPr>
                  <w:rStyle w:val="InternetLink"/>
                  <w:rFonts w:ascii="Times New Roman;Times;Serif" w:hAnsi="Times New Roman;Times;Serif"/>
                  <w:sz w:val="20"/>
                </w:rPr>
                <w:t>Stock Purchase Warrant dated May 26, 2023 issued to Madison Global Partners LLC</w:t>
              </w:r>
            </w:hyperlink>
          </w:p>
        </w:tc>
      </w:tr>
      <w:tr>
        <w:trPr/>
        <w:tc>
          <w:tcPr>
            <w:tcW w:w="11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10.21 (13)**</w:t>
            </w:r>
          </w:p>
        </w:tc>
        <w:tc>
          <w:tcPr>
            <w:tcW w:w="90" w:type="dxa"/>
            <w:tcBorders/>
            <w:shd w:fill="CCEEFF" w:val="clear"/>
            <w:vAlign w:val="center"/>
          </w:tcPr>
          <w:p>
            <w:pPr>
              <w:pStyle w:val="TableContents"/>
              <w:bidi w:val="0"/>
              <w:spacing w:before="0" w:after="283"/>
              <w:jc w:val="left"/>
              <w:rPr/>
            </w:pPr>
            <w:r>
              <w:rPr/>
              <w:t> </w:t>
            </w:r>
          </w:p>
        </w:tc>
        <w:tc>
          <w:tcPr>
            <w:tcW w:w="8975" w:type="dxa"/>
            <w:tcBorders/>
            <w:shd w:fill="CCEEFF" w:val="clear"/>
            <w:vAlign w:val="center"/>
          </w:tcPr>
          <w:p>
            <w:pPr>
              <w:pStyle w:val="TableContents"/>
              <w:bidi w:val="0"/>
              <w:spacing w:before="0" w:after="283"/>
              <w:jc w:val="both"/>
              <w:rPr/>
            </w:pPr>
            <w:hyperlink r:id="rId32">
              <w:r>
                <w:rPr>
                  <w:rStyle w:val="InternetLink"/>
                  <w:rFonts w:ascii="Times New Roman;Times;Serif" w:hAnsi="Times New Roman;Times;Serif"/>
                  <w:sz w:val="20"/>
                </w:rPr>
                <w:t>Form of Exchange Agreement dated as of May 23, 2023 between the Company and certain Holders</w:t>
              </w:r>
            </w:hyperlink>
          </w:p>
        </w:tc>
      </w:tr>
      <w:tr>
        <w:trPr/>
        <w:tc>
          <w:tcPr>
            <w:tcW w:w="1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10.22 (15)</w:t>
            </w:r>
          </w:p>
        </w:tc>
        <w:tc>
          <w:tcPr>
            <w:tcW w:w="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hyperlink r:id="rId33">
              <w:r>
                <w:rPr>
                  <w:rStyle w:val="InternetLink"/>
                  <w:rFonts w:ascii="Times New Roman;Times;Serif" w:hAnsi="Times New Roman;Times;Serif"/>
                  <w:sz w:val="20"/>
                </w:rPr>
                <w:t>Letter Agreement between Edward Sellitto and authID Inc. dated July 31, 2023</w:t>
              </w:r>
            </w:hyperlink>
          </w:p>
        </w:tc>
      </w:tr>
      <w:tr>
        <w:trPr/>
        <w:tc>
          <w:tcPr>
            <w:tcW w:w="11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10.23 (16)</w:t>
            </w:r>
          </w:p>
        </w:tc>
        <w:tc>
          <w:tcPr>
            <w:tcW w:w="90" w:type="dxa"/>
            <w:tcBorders/>
            <w:shd w:fill="CCEEFF" w:val="clear"/>
            <w:vAlign w:val="center"/>
          </w:tcPr>
          <w:p>
            <w:pPr>
              <w:pStyle w:val="TableContents"/>
              <w:bidi w:val="0"/>
              <w:spacing w:before="0" w:after="283"/>
              <w:jc w:val="left"/>
              <w:rPr/>
            </w:pPr>
            <w:r>
              <w:rPr/>
              <w:t> </w:t>
            </w:r>
          </w:p>
        </w:tc>
        <w:tc>
          <w:tcPr>
            <w:tcW w:w="8975" w:type="dxa"/>
            <w:tcBorders/>
            <w:shd w:fill="CCEEFF" w:val="clear"/>
            <w:vAlign w:val="center"/>
          </w:tcPr>
          <w:p>
            <w:pPr>
              <w:pStyle w:val="TableContents"/>
              <w:bidi w:val="0"/>
              <w:spacing w:before="0" w:after="283"/>
              <w:jc w:val="both"/>
              <w:rPr/>
            </w:pPr>
            <w:hyperlink r:id="rId34">
              <w:r>
                <w:rPr>
                  <w:rStyle w:val="InternetLink"/>
                  <w:rFonts w:ascii="Times New Roman;Times;Serif" w:hAnsi="Times New Roman;Times;Serif"/>
                  <w:sz w:val="20"/>
                </w:rPr>
                <w:t>Agreement dated October 25, 2023 between The Pipeline Group, Inc. and authID Inc.</w:t>
              </w:r>
            </w:hyperlink>
          </w:p>
        </w:tc>
      </w:tr>
      <w:tr>
        <w:trPr/>
        <w:tc>
          <w:tcPr>
            <w:tcW w:w="1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10.24 (18)</w:t>
            </w:r>
          </w:p>
        </w:tc>
        <w:tc>
          <w:tcPr>
            <w:tcW w:w="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hyperlink r:id="rId35">
              <w:r>
                <w:rPr>
                  <w:rStyle w:val="InternetLink"/>
                  <w:rFonts w:ascii="Times New Roman;Times;Serif" w:hAnsi="Times New Roman;Times;Serif"/>
                  <w:sz w:val="20"/>
                </w:rPr>
                <w:t>Form of Securities Purchase Agreement dated as of November 20, 2023 between the Company and accredited investor</w:t>
              </w:r>
            </w:hyperlink>
          </w:p>
        </w:tc>
      </w:tr>
      <w:tr>
        <w:trPr/>
        <w:tc>
          <w:tcPr>
            <w:tcW w:w="11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10.25 (18)</w:t>
            </w:r>
          </w:p>
        </w:tc>
        <w:tc>
          <w:tcPr>
            <w:tcW w:w="90" w:type="dxa"/>
            <w:tcBorders/>
            <w:shd w:fill="CCEEFF" w:val="clear"/>
            <w:vAlign w:val="center"/>
          </w:tcPr>
          <w:p>
            <w:pPr>
              <w:pStyle w:val="TableContents"/>
              <w:bidi w:val="0"/>
              <w:spacing w:before="0" w:after="283"/>
              <w:jc w:val="left"/>
              <w:rPr/>
            </w:pPr>
            <w:r>
              <w:rPr/>
              <w:t> </w:t>
            </w:r>
          </w:p>
        </w:tc>
        <w:tc>
          <w:tcPr>
            <w:tcW w:w="8975" w:type="dxa"/>
            <w:tcBorders/>
            <w:shd w:fill="CCEEFF" w:val="clear"/>
            <w:vAlign w:val="center"/>
          </w:tcPr>
          <w:p>
            <w:pPr>
              <w:pStyle w:val="TableContents"/>
              <w:bidi w:val="0"/>
              <w:spacing w:before="0" w:after="283"/>
              <w:jc w:val="both"/>
              <w:rPr/>
            </w:pPr>
            <w:hyperlink r:id="rId36">
              <w:r>
                <w:rPr>
                  <w:rStyle w:val="InternetLink"/>
                  <w:rFonts w:ascii="Times New Roman;Times;Serif" w:hAnsi="Times New Roman;Times;Serif"/>
                  <w:sz w:val="20"/>
                </w:rPr>
                <w:t>Engagement Agreement dated as of November 2, 2023 between the Company and Madison Global Partners, LLC</w:t>
              </w:r>
            </w:hyperlink>
          </w:p>
        </w:tc>
      </w:tr>
      <w:tr>
        <w:trPr/>
        <w:tc>
          <w:tcPr>
            <w:tcW w:w="1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10.26 (18)</w:t>
            </w:r>
          </w:p>
        </w:tc>
        <w:tc>
          <w:tcPr>
            <w:tcW w:w="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hyperlink r:id="rId37">
              <w:r>
                <w:rPr>
                  <w:rStyle w:val="InternetLink"/>
                  <w:rFonts w:ascii="Times New Roman;Times;Serif" w:hAnsi="Times New Roman;Times;Serif"/>
                  <w:sz w:val="20"/>
                </w:rPr>
                <w:t>Stock Purchase Warrant dated November 22, 2023 issued to Madison Global Partners, LLC</w:t>
              </w:r>
            </w:hyperlink>
          </w:p>
        </w:tc>
      </w:tr>
      <w:tr>
        <w:trPr/>
        <w:tc>
          <w:tcPr>
            <w:tcW w:w="11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10.27 (19)**</w:t>
            </w:r>
          </w:p>
        </w:tc>
        <w:tc>
          <w:tcPr>
            <w:tcW w:w="90" w:type="dxa"/>
            <w:tcBorders/>
            <w:shd w:fill="CCEEFF" w:val="clear"/>
            <w:vAlign w:val="center"/>
          </w:tcPr>
          <w:p>
            <w:pPr>
              <w:pStyle w:val="TableContents"/>
              <w:bidi w:val="0"/>
              <w:spacing w:before="0" w:after="283"/>
              <w:jc w:val="left"/>
              <w:rPr/>
            </w:pPr>
            <w:r>
              <w:rPr/>
              <w:t> </w:t>
            </w:r>
          </w:p>
        </w:tc>
        <w:tc>
          <w:tcPr>
            <w:tcW w:w="8975" w:type="dxa"/>
            <w:tcBorders/>
            <w:shd w:fill="CCEEFF" w:val="clear"/>
            <w:vAlign w:val="center"/>
          </w:tcPr>
          <w:p>
            <w:pPr>
              <w:pStyle w:val="TableContents"/>
              <w:bidi w:val="0"/>
              <w:spacing w:before="0" w:after="283"/>
              <w:jc w:val="both"/>
              <w:rPr/>
            </w:pPr>
            <w:hyperlink r:id="rId38">
              <w:r>
                <w:rPr>
                  <w:rStyle w:val="InternetLink"/>
                  <w:rFonts w:ascii="Times New Roman;Times;Serif" w:hAnsi="Times New Roman;Times;Serif"/>
                  <w:sz w:val="20"/>
                </w:rPr>
                <w:t>Agreement dated December 19, 2023 between The Pipeline Group, Inc and authID Inc.</w:t>
              </w:r>
            </w:hyperlink>
          </w:p>
        </w:tc>
      </w:tr>
      <w:tr>
        <w:trPr/>
        <w:tc>
          <w:tcPr>
            <w:tcW w:w="1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10.28 (20)</w:t>
            </w:r>
          </w:p>
        </w:tc>
        <w:tc>
          <w:tcPr>
            <w:tcW w:w="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hyperlink r:id="rId39">
              <w:r>
                <w:rPr>
                  <w:rStyle w:val="InternetLink"/>
                  <w:rFonts w:ascii="Times New Roman;Times;Serif" w:hAnsi="Times New Roman;Times;Serif"/>
                  <w:sz w:val="20"/>
                </w:rPr>
                <w:t>Letter Agreement between Kunal Mehta and authID Inc.</w:t>
              </w:r>
            </w:hyperlink>
          </w:p>
        </w:tc>
      </w:tr>
      <w:tr>
        <w:trPr/>
        <w:tc>
          <w:tcPr>
            <w:tcW w:w="11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10.29(22)**</w:t>
            </w:r>
          </w:p>
        </w:tc>
        <w:tc>
          <w:tcPr>
            <w:tcW w:w="90" w:type="dxa"/>
            <w:tcBorders/>
            <w:shd w:fill="CCEEFF" w:val="clear"/>
            <w:vAlign w:val="center"/>
          </w:tcPr>
          <w:p>
            <w:pPr>
              <w:pStyle w:val="TableContents"/>
              <w:bidi w:val="0"/>
              <w:spacing w:before="0" w:after="283"/>
              <w:jc w:val="left"/>
              <w:rPr/>
            </w:pPr>
            <w:r>
              <w:rPr/>
              <w:t> </w:t>
            </w:r>
          </w:p>
        </w:tc>
        <w:tc>
          <w:tcPr>
            <w:tcW w:w="8975" w:type="dxa"/>
            <w:tcBorders/>
            <w:shd w:fill="CCEEFF" w:val="clear"/>
            <w:vAlign w:val="center"/>
          </w:tcPr>
          <w:p>
            <w:pPr>
              <w:pStyle w:val="TableContents"/>
              <w:bidi w:val="0"/>
              <w:spacing w:before="0" w:after="283"/>
              <w:jc w:val="both"/>
              <w:rPr/>
            </w:pPr>
            <w:hyperlink r:id="rId40">
              <w:r>
                <w:rPr>
                  <w:rStyle w:val="InternetLink"/>
                  <w:rFonts w:ascii="Times New Roman;Times;Serif" w:hAnsi="Times New Roman;Times;Serif"/>
                  <w:sz w:val="20"/>
                </w:rPr>
                <w:t>Form of Securities Purchase Agreement dated as of June 24, 2024 between the Company and accredited investors</w:t>
              </w:r>
            </w:hyperlink>
          </w:p>
        </w:tc>
      </w:tr>
      <w:tr>
        <w:trPr/>
        <w:tc>
          <w:tcPr>
            <w:tcW w:w="1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10.30(22)</w:t>
            </w:r>
          </w:p>
        </w:tc>
        <w:tc>
          <w:tcPr>
            <w:tcW w:w="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hyperlink r:id="rId41">
              <w:r>
                <w:rPr>
                  <w:rStyle w:val="InternetLink"/>
                  <w:rFonts w:ascii="Times New Roman;Times;Serif" w:hAnsi="Times New Roman;Times;Serif"/>
                  <w:sz w:val="20"/>
                </w:rPr>
                <w:t>Engagement Agreement, dated as of June 24, 2024 between the Company and Madison Global Partners, LLC</w:t>
              </w:r>
            </w:hyperlink>
          </w:p>
        </w:tc>
      </w:tr>
      <w:tr>
        <w:trPr/>
        <w:tc>
          <w:tcPr>
            <w:tcW w:w="11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10.31(22)</w:t>
            </w:r>
          </w:p>
        </w:tc>
        <w:tc>
          <w:tcPr>
            <w:tcW w:w="90" w:type="dxa"/>
            <w:tcBorders/>
            <w:shd w:fill="CCEEFF" w:val="clear"/>
            <w:vAlign w:val="center"/>
          </w:tcPr>
          <w:p>
            <w:pPr>
              <w:pStyle w:val="TableContents"/>
              <w:bidi w:val="0"/>
              <w:spacing w:before="0" w:after="283"/>
              <w:jc w:val="left"/>
              <w:rPr/>
            </w:pPr>
            <w:r>
              <w:rPr/>
              <w:t> </w:t>
            </w:r>
          </w:p>
        </w:tc>
        <w:tc>
          <w:tcPr>
            <w:tcW w:w="8975" w:type="dxa"/>
            <w:tcBorders/>
            <w:shd w:fill="CCEEFF" w:val="clear"/>
            <w:vAlign w:val="center"/>
          </w:tcPr>
          <w:p>
            <w:pPr>
              <w:pStyle w:val="TableContents"/>
              <w:bidi w:val="0"/>
              <w:spacing w:before="0" w:after="283"/>
              <w:jc w:val="both"/>
              <w:rPr/>
            </w:pPr>
            <w:hyperlink r:id="rId42">
              <w:r>
                <w:rPr>
                  <w:rStyle w:val="InternetLink"/>
                  <w:rFonts w:ascii="Times New Roman;Times;Serif" w:hAnsi="Times New Roman;Times;Serif"/>
                  <w:sz w:val="20"/>
                </w:rPr>
                <w:t>Stock Purchase Warrant issued to Madison Global Partners LLC</w:t>
              </w:r>
            </w:hyperlink>
          </w:p>
        </w:tc>
      </w:tr>
      <w:tr>
        <w:trPr/>
        <w:tc>
          <w:tcPr>
            <w:tcW w:w="1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10.32(24)**</w:t>
            </w:r>
          </w:p>
        </w:tc>
        <w:tc>
          <w:tcPr>
            <w:tcW w:w="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hyperlink r:id="rId43">
              <w:r>
                <w:rPr>
                  <w:rStyle w:val="InternetLink"/>
                </w:rPr>
                <w:t>Agreement dated August 26, 2024 between The Pipeline Group, Inc. and authID Inc.</w:t>
              </w:r>
            </w:hyperlink>
          </w:p>
        </w:tc>
      </w:tr>
      <w:tr>
        <w:trPr/>
        <w:tc>
          <w:tcPr>
            <w:tcW w:w="11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10.33 (23)</w:t>
            </w:r>
          </w:p>
        </w:tc>
        <w:tc>
          <w:tcPr>
            <w:tcW w:w="90" w:type="dxa"/>
            <w:tcBorders/>
            <w:shd w:fill="CCEEFF" w:val="clear"/>
            <w:vAlign w:val="center"/>
          </w:tcPr>
          <w:p>
            <w:pPr>
              <w:pStyle w:val="TableContents"/>
              <w:bidi w:val="0"/>
              <w:spacing w:before="0" w:after="283"/>
              <w:jc w:val="left"/>
              <w:rPr/>
            </w:pPr>
            <w:r>
              <w:rPr/>
              <w:t> </w:t>
            </w:r>
          </w:p>
        </w:tc>
        <w:tc>
          <w:tcPr>
            <w:tcW w:w="8975" w:type="dxa"/>
            <w:tcBorders/>
            <w:shd w:fill="CCEEFF" w:val="clear"/>
            <w:vAlign w:val="center"/>
          </w:tcPr>
          <w:p>
            <w:pPr>
              <w:pStyle w:val="TableContents"/>
              <w:bidi w:val="0"/>
              <w:spacing w:before="0" w:after="283"/>
              <w:jc w:val="both"/>
              <w:rPr/>
            </w:pPr>
            <w:hyperlink r:id="rId44">
              <w:r>
                <w:rPr>
                  <w:rStyle w:val="InternetLink"/>
                </w:rPr>
                <w:t>Letter Agreement between Erick Soto and authID Inc. dated September 10, 2024</w:t>
              </w:r>
            </w:hyperlink>
          </w:p>
        </w:tc>
      </w:tr>
      <w:tr>
        <w:trPr/>
        <w:tc>
          <w:tcPr>
            <w:tcW w:w="1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10.34(23)</w:t>
            </w:r>
          </w:p>
        </w:tc>
        <w:tc>
          <w:tcPr>
            <w:tcW w:w="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hyperlink r:id="rId45">
              <w:r>
                <w:rPr>
                  <w:rStyle w:val="InternetLink"/>
                </w:rPr>
                <w:t>Executive Retention Agreement between Erick Soto and AuthID Inc. dated September 10, 2024</w:t>
              </w:r>
            </w:hyperlink>
          </w:p>
        </w:tc>
      </w:tr>
      <w:tr>
        <w:trPr/>
        <w:tc>
          <w:tcPr>
            <w:tcW w:w="11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10.35 (25)**</w:t>
            </w:r>
          </w:p>
        </w:tc>
        <w:tc>
          <w:tcPr>
            <w:tcW w:w="90" w:type="dxa"/>
            <w:tcBorders/>
            <w:shd w:fill="CCEEFF" w:val="clear"/>
            <w:vAlign w:val="center"/>
          </w:tcPr>
          <w:p>
            <w:pPr>
              <w:pStyle w:val="TableContents"/>
              <w:bidi w:val="0"/>
              <w:spacing w:before="0" w:after="283"/>
              <w:jc w:val="left"/>
              <w:rPr/>
            </w:pPr>
            <w:r>
              <w:rPr/>
              <w:t> </w:t>
            </w:r>
          </w:p>
        </w:tc>
        <w:tc>
          <w:tcPr>
            <w:tcW w:w="8975" w:type="dxa"/>
            <w:tcBorders/>
            <w:shd w:fill="CCEEFF" w:val="clear"/>
            <w:vAlign w:val="center"/>
          </w:tcPr>
          <w:p>
            <w:pPr>
              <w:pStyle w:val="TableContents"/>
              <w:bidi w:val="0"/>
              <w:spacing w:before="0" w:after="283"/>
              <w:jc w:val="both"/>
              <w:rPr/>
            </w:pPr>
            <w:hyperlink r:id="rId46">
              <w:r>
                <w:rPr>
                  <w:rStyle w:val="InternetLink"/>
                </w:rPr>
                <w:t>Form of Securities Purchase Agreement dated as of March 31, 2025 between the Company and accredited investors</w:t>
              </w:r>
            </w:hyperlink>
          </w:p>
        </w:tc>
      </w:tr>
      <w:tr>
        <w:trPr/>
        <w:tc>
          <w:tcPr>
            <w:tcW w:w="1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10.36 (25)</w:t>
            </w:r>
          </w:p>
        </w:tc>
        <w:tc>
          <w:tcPr>
            <w:tcW w:w="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hyperlink r:id="rId47">
              <w:r>
                <w:rPr>
                  <w:rStyle w:val="InternetLink"/>
                </w:rPr>
                <w:t>Form of Pre-Funded Warrant dated April 1, 2025</w:t>
              </w:r>
            </w:hyperlink>
          </w:p>
        </w:tc>
      </w:tr>
      <w:tr>
        <w:trPr/>
        <w:tc>
          <w:tcPr>
            <w:tcW w:w="11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10.37 (25)</w:t>
            </w:r>
          </w:p>
        </w:tc>
        <w:tc>
          <w:tcPr>
            <w:tcW w:w="90" w:type="dxa"/>
            <w:tcBorders/>
            <w:shd w:fill="CCEEFF" w:val="clear"/>
            <w:vAlign w:val="center"/>
          </w:tcPr>
          <w:p>
            <w:pPr>
              <w:pStyle w:val="TableContents"/>
              <w:bidi w:val="0"/>
              <w:spacing w:before="0" w:after="283"/>
              <w:jc w:val="left"/>
              <w:rPr/>
            </w:pPr>
            <w:r>
              <w:rPr/>
              <w:t> </w:t>
            </w:r>
          </w:p>
        </w:tc>
        <w:tc>
          <w:tcPr>
            <w:tcW w:w="8975" w:type="dxa"/>
            <w:tcBorders/>
            <w:shd w:fill="CCEEFF" w:val="clear"/>
            <w:vAlign w:val="center"/>
          </w:tcPr>
          <w:p>
            <w:pPr>
              <w:pStyle w:val="TableContents"/>
              <w:bidi w:val="0"/>
              <w:spacing w:before="0" w:after="283"/>
              <w:jc w:val="both"/>
              <w:rPr/>
            </w:pPr>
            <w:hyperlink r:id="rId48">
              <w:r>
                <w:rPr>
                  <w:rStyle w:val="InternetLink"/>
                </w:rPr>
                <w:t>Engagement Agreement dated as of March 12, 2025 between the Company and Madison Global Partners LLC</w:t>
              </w:r>
            </w:hyperlink>
          </w:p>
        </w:tc>
      </w:tr>
      <w:tr>
        <w:trPr/>
        <w:tc>
          <w:tcPr>
            <w:tcW w:w="1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10.38 (25)</w:t>
            </w:r>
          </w:p>
        </w:tc>
        <w:tc>
          <w:tcPr>
            <w:tcW w:w="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hyperlink r:id="rId49">
              <w:r>
                <w:rPr>
                  <w:rStyle w:val="InternetLink"/>
                </w:rPr>
                <w:t>Amendment to the Engagement Agreement dated as of March 26, 2025 between the Company and Madison Global Partners LLC</w:t>
              </w:r>
            </w:hyperlink>
          </w:p>
        </w:tc>
      </w:tr>
      <w:tr>
        <w:trPr/>
        <w:tc>
          <w:tcPr>
            <w:tcW w:w="11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10.39 (25)</w:t>
            </w:r>
          </w:p>
        </w:tc>
        <w:tc>
          <w:tcPr>
            <w:tcW w:w="90" w:type="dxa"/>
            <w:tcBorders/>
            <w:shd w:fill="CCEEFF" w:val="clear"/>
            <w:vAlign w:val="center"/>
          </w:tcPr>
          <w:p>
            <w:pPr>
              <w:pStyle w:val="TableContents"/>
              <w:bidi w:val="0"/>
              <w:spacing w:before="0" w:after="283"/>
              <w:jc w:val="left"/>
              <w:rPr/>
            </w:pPr>
            <w:r>
              <w:rPr/>
              <w:t> </w:t>
            </w:r>
          </w:p>
        </w:tc>
        <w:tc>
          <w:tcPr>
            <w:tcW w:w="8975" w:type="dxa"/>
            <w:tcBorders/>
            <w:shd w:fill="CCEEFF" w:val="clear"/>
            <w:vAlign w:val="center"/>
          </w:tcPr>
          <w:p>
            <w:pPr>
              <w:pStyle w:val="TableContents"/>
              <w:bidi w:val="0"/>
              <w:spacing w:before="0" w:after="283"/>
              <w:jc w:val="both"/>
              <w:rPr/>
            </w:pPr>
            <w:hyperlink r:id="rId50">
              <w:r>
                <w:rPr>
                  <w:rStyle w:val="InternetLink"/>
                </w:rPr>
                <w:t>Placement Agency Agreement between the Company and Dominari Securities LLC dated March 31, 2025</w:t>
              </w:r>
            </w:hyperlink>
          </w:p>
        </w:tc>
      </w:tr>
      <w:tr>
        <w:trPr/>
        <w:tc>
          <w:tcPr>
            <w:tcW w:w="1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10.40 (25)</w:t>
            </w:r>
          </w:p>
        </w:tc>
        <w:tc>
          <w:tcPr>
            <w:tcW w:w="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hyperlink r:id="rId51">
              <w:r>
                <w:rPr>
                  <w:rStyle w:val="InternetLink"/>
                </w:rPr>
                <w:t>Stock Purchase Warrant issued to Madison Global Partners LLC</w:t>
              </w:r>
            </w:hyperlink>
          </w:p>
        </w:tc>
      </w:tr>
      <w:tr>
        <w:trPr/>
        <w:tc>
          <w:tcPr>
            <w:tcW w:w="11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10.41 (25)</w:t>
            </w:r>
          </w:p>
        </w:tc>
        <w:tc>
          <w:tcPr>
            <w:tcW w:w="90" w:type="dxa"/>
            <w:tcBorders/>
            <w:shd w:fill="CCEEFF" w:val="clear"/>
            <w:vAlign w:val="center"/>
          </w:tcPr>
          <w:p>
            <w:pPr>
              <w:pStyle w:val="TableContents"/>
              <w:bidi w:val="0"/>
              <w:spacing w:before="0" w:after="283"/>
              <w:jc w:val="left"/>
              <w:rPr/>
            </w:pPr>
            <w:r>
              <w:rPr/>
              <w:t> </w:t>
            </w:r>
          </w:p>
        </w:tc>
        <w:tc>
          <w:tcPr>
            <w:tcW w:w="8975" w:type="dxa"/>
            <w:tcBorders/>
            <w:shd w:fill="CCEEFF" w:val="clear"/>
            <w:vAlign w:val="center"/>
          </w:tcPr>
          <w:p>
            <w:pPr>
              <w:pStyle w:val="TableContents"/>
              <w:bidi w:val="0"/>
              <w:spacing w:before="0" w:after="283"/>
              <w:jc w:val="both"/>
              <w:rPr/>
            </w:pPr>
            <w:hyperlink r:id="rId52">
              <w:r>
                <w:rPr>
                  <w:rStyle w:val="InternetLink"/>
                </w:rPr>
                <w:t>Stock Purchase Warrant issued to Dominari Securities LLC</w:t>
              </w:r>
            </w:hyperlink>
          </w:p>
        </w:tc>
      </w:tr>
      <w:tr>
        <w:trPr/>
        <w:tc>
          <w:tcPr>
            <w:tcW w:w="1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10.42 (26)</w:t>
            </w:r>
          </w:p>
        </w:tc>
        <w:tc>
          <w:tcPr>
            <w:tcW w:w="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hyperlink r:id="rId53">
              <w:r>
                <w:rPr>
                  <w:rStyle w:val="InternetLink"/>
                  <w:rFonts w:ascii="Times New Roman;Times;Serif" w:hAnsi="Times New Roman;Times;Serif"/>
                  <w:sz w:val="20"/>
                </w:rPr>
                <w:t>Form of Securities Purchase Agreement, dated as of May 6, 2025, between the Company and accredited investors</w:t>
              </w:r>
            </w:hyperlink>
          </w:p>
        </w:tc>
      </w:tr>
      <w:tr>
        <w:trPr/>
        <w:tc>
          <w:tcPr>
            <w:tcW w:w="114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10.43 (26)</w:t>
            </w:r>
          </w:p>
        </w:tc>
        <w:tc>
          <w:tcPr>
            <w:tcW w:w="90" w:type="dxa"/>
            <w:tcBorders/>
            <w:shd w:fill="CCEEFF" w:val="clear"/>
            <w:vAlign w:val="center"/>
          </w:tcPr>
          <w:p>
            <w:pPr>
              <w:pStyle w:val="TableContents"/>
              <w:bidi w:val="0"/>
              <w:spacing w:before="0" w:after="283"/>
              <w:jc w:val="left"/>
              <w:rPr/>
            </w:pPr>
            <w:r>
              <w:rPr/>
              <w:t> </w:t>
            </w:r>
          </w:p>
        </w:tc>
        <w:tc>
          <w:tcPr>
            <w:tcW w:w="8975" w:type="dxa"/>
            <w:tcBorders/>
            <w:shd w:fill="CCEEFF" w:val="clear"/>
            <w:vAlign w:val="center"/>
          </w:tcPr>
          <w:p>
            <w:pPr>
              <w:pStyle w:val="TableContents"/>
              <w:bidi w:val="0"/>
              <w:spacing w:before="0" w:after="283"/>
              <w:jc w:val="both"/>
              <w:rPr/>
            </w:pPr>
            <w:hyperlink r:id="rId54">
              <w:r>
                <w:rPr>
                  <w:rStyle w:val="InternetLink"/>
                  <w:rFonts w:ascii="Times New Roman;Times;Serif" w:hAnsi="Times New Roman;Times;Serif"/>
                  <w:sz w:val="20"/>
                </w:rPr>
                <w:t>Placement Agency Agreement between the Company and Dominari Securities LLC dated May 6, 2025</w:t>
              </w:r>
            </w:hyperlink>
          </w:p>
        </w:tc>
      </w:tr>
      <w:tr>
        <w:trPr/>
        <w:tc>
          <w:tcPr>
            <w:tcW w:w="1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10.44 (26)</w:t>
            </w:r>
          </w:p>
        </w:tc>
        <w:tc>
          <w:tcPr>
            <w:tcW w:w="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hyperlink r:id="rId55">
              <w:r>
                <w:rPr>
                  <w:rStyle w:val="InternetLink"/>
                  <w:rFonts w:ascii="Times New Roman;Times;Serif" w:hAnsi="Times New Roman;Times;Serif"/>
                  <w:sz w:val="20"/>
                </w:rPr>
                <w:t>Stock Purchase Warrant issued to Madison Global Partners, LLC</w:t>
              </w:r>
            </w:hyperlink>
          </w:p>
        </w:tc>
      </w:tr>
      <w:tr>
        <w:trPr/>
        <w:tc>
          <w:tcPr>
            <w:tcW w:w="114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10.45 (26)</w:t>
            </w:r>
          </w:p>
        </w:tc>
        <w:tc>
          <w:tcPr>
            <w:tcW w:w="90" w:type="dxa"/>
            <w:tcBorders/>
            <w:shd w:fill="CCEEFF" w:val="clear"/>
            <w:vAlign w:val="center"/>
          </w:tcPr>
          <w:p>
            <w:pPr>
              <w:pStyle w:val="TableContents"/>
              <w:bidi w:val="0"/>
              <w:spacing w:before="0" w:after="283"/>
              <w:jc w:val="left"/>
              <w:rPr/>
            </w:pPr>
            <w:r>
              <w:rPr/>
              <w:t> </w:t>
            </w:r>
          </w:p>
        </w:tc>
        <w:tc>
          <w:tcPr>
            <w:tcW w:w="8975" w:type="dxa"/>
            <w:tcBorders/>
            <w:shd w:fill="CCEEFF" w:val="clear"/>
            <w:vAlign w:val="center"/>
          </w:tcPr>
          <w:p>
            <w:pPr>
              <w:pStyle w:val="TableContents"/>
              <w:bidi w:val="0"/>
              <w:spacing w:before="0" w:after="283"/>
              <w:jc w:val="both"/>
              <w:rPr/>
            </w:pPr>
            <w:hyperlink r:id="rId56">
              <w:r>
                <w:rPr>
                  <w:rStyle w:val="InternetLink"/>
                  <w:rFonts w:ascii="Times New Roman;Times;Serif" w:hAnsi="Times New Roman;Times;Serif"/>
                  <w:sz w:val="20"/>
                </w:rPr>
                <w:t>Stock Purchase Warrant issued to Dominari Securities LLC</w:t>
              </w:r>
            </w:hyperlink>
          </w:p>
        </w:tc>
      </w:tr>
      <w:tr>
        <w:trPr/>
        <w:tc>
          <w:tcPr>
            <w:tcW w:w="1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14.1 (17)</w:t>
            </w:r>
          </w:p>
        </w:tc>
        <w:tc>
          <w:tcPr>
            <w:tcW w:w="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hyperlink r:id="rId57">
              <w:r>
                <w:rPr>
                  <w:rStyle w:val="InternetLink"/>
                  <w:rFonts w:ascii="Times New Roman;Times;Serif" w:hAnsi="Times New Roman;Times;Serif"/>
                  <w:sz w:val="20"/>
                </w:rPr>
                <w:t>Code of Ethics</w:t>
              </w:r>
            </w:hyperlink>
          </w:p>
        </w:tc>
      </w:tr>
      <w:tr>
        <w:trPr/>
        <w:tc>
          <w:tcPr>
            <w:tcW w:w="11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19 (24)</w:t>
            </w:r>
          </w:p>
        </w:tc>
        <w:tc>
          <w:tcPr>
            <w:tcW w:w="90" w:type="dxa"/>
            <w:tcBorders/>
            <w:shd w:fill="CCEEFF" w:val="clear"/>
            <w:vAlign w:val="center"/>
          </w:tcPr>
          <w:p>
            <w:pPr>
              <w:pStyle w:val="TableContents"/>
              <w:bidi w:val="0"/>
              <w:spacing w:before="0" w:after="283"/>
              <w:jc w:val="left"/>
              <w:rPr/>
            </w:pPr>
            <w:r>
              <w:rPr/>
              <w:t> </w:t>
            </w:r>
          </w:p>
        </w:tc>
        <w:tc>
          <w:tcPr>
            <w:tcW w:w="8975" w:type="dxa"/>
            <w:tcBorders/>
            <w:shd w:fill="CCEEFF" w:val="clear"/>
            <w:vAlign w:val="center"/>
          </w:tcPr>
          <w:p>
            <w:pPr>
              <w:pStyle w:val="TableContents"/>
              <w:bidi w:val="0"/>
              <w:spacing w:before="0" w:after="283"/>
              <w:jc w:val="both"/>
              <w:rPr/>
            </w:pPr>
            <w:hyperlink r:id="rId58">
              <w:r>
                <w:rPr>
                  <w:rStyle w:val="InternetLink"/>
                </w:rPr>
                <w:t>Insider Trading Policy</w:t>
              </w:r>
            </w:hyperlink>
          </w:p>
        </w:tc>
      </w:tr>
      <w:tr>
        <w:trPr/>
        <w:tc>
          <w:tcPr>
            <w:tcW w:w="1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21.1 (24)</w:t>
            </w:r>
          </w:p>
        </w:tc>
        <w:tc>
          <w:tcPr>
            <w:tcW w:w="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hyperlink r:id="rId59">
              <w:r>
                <w:rPr>
                  <w:rStyle w:val="InternetLink"/>
                  <w:rFonts w:ascii="Times New Roman;Times;Serif" w:hAnsi="Times New Roman;Times;Serif"/>
                  <w:sz w:val="20"/>
                </w:rPr>
                <w:t>List of Subsidiaries</w:t>
              </w:r>
            </w:hyperlink>
          </w:p>
        </w:tc>
      </w:tr>
      <w:tr>
        <w:trPr/>
        <w:tc>
          <w:tcPr>
            <w:tcW w:w="114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31.1*</w:t>
            </w:r>
          </w:p>
        </w:tc>
        <w:tc>
          <w:tcPr>
            <w:tcW w:w="90" w:type="dxa"/>
            <w:tcBorders/>
            <w:shd w:fill="CCEEFF" w:val="clear"/>
            <w:vAlign w:val="center"/>
          </w:tcPr>
          <w:p>
            <w:pPr>
              <w:pStyle w:val="TableContents"/>
              <w:bidi w:val="0"/>
              <w:spacing w:before="0" w:after="283"/>
              <w:jc w:val="left"/>
              <w:rPr/>
            </w:pPr>
            <w:r>
              <w:rPr/>
              <w:t> </w:t>
            </w:r>
          </w:p>
        </w:tc>
        <w:tc>
          <w:tcPr>
            <w:tcW w:w="8975" w:type="dxa"/>
            <w:tcBorders/>
            <w:shd w:fill="CCEEFF" w:val="clear"/>
            <w:vAlign w:val="center"/>
          </w:tcPr>
          <w:p>
            <w:pPr>
              <w:pStyle w:val="TableContents"/>
              <w:bidi w:val="0"/>
              <w:spacing w:before="0" w:after="283"/>
              <w:jc w:val="both"/>
              <w:rPr/>
            </w:pPr>
            <w:hyperlink w:anchor="ea0239560ex31-1_authid.htm">
              <w:r>
                <w:rPr>
                  <w:rStyle w:val="InternetLink"/>
                </w:rPr>
                <w:t>Certification of Chief Executive Officer pursuant to Rule 13a-14(a)/15d-14(a) of the Securities Exchange Act</w:t>
              </w:r>
            </w:hyperlink>
          </w:p>
        </w:tc>
      </w:tr>
      <w:tr>
        <w:trPr/>
        <w:tc>
          <w:tcPr>
            <w:tcW w:w="1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31.2*</w:t>
            </w:r>
          </w:p>
        </w:tc>
        <w:tc>
          <w:tcPr>
            <w:tcW w:w="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hyperlink w:anchor="ea0239560ex31-2_authid.htm">
              <w:r>
                <w:rPr>
                  <w:rStyle w:val="InternetLink"/>
                </w:rPr>
                <w:t>Certification of Chief Financial Officer pursuant to Rule 13a-14(a)/15d-14(a) of the Securities Exchange Act</w:t>
              </w:r>
            </w:hyperlink>
          </w:p>
        </w:tc>
      </w:tr>
      <w:tr>
        <w:trPr/>
        <w:tc>
          <w:tcPr>
            <w:tcW w:w="114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32.1*</w:t>
            </w:r>
          </w:p>
        </w:tc>
        <w:tc>
          <w:tcPr>
            <w:tcW w:w="90" w:type="dxa"/>
            <w:tcBorders/>
            <w:shd w:fill="CCEEFF" w:val="clear"/>
            <w:vAlign w:val="center"/>
          </w:tcPr>
          <w:p>
            <w:pPr>
              <w:pStyle w:val="TableContents"/>
              <w:bidi w:val="0"/>
              <w:spacing w:before="0" w:after="283"/>
              <w:jc w:val="left"/>
              <w:rPr/>
            </w:pPr>
            <w:r>
              <w:rPr/>
              <w:t> </w:t>
            </w:r>
          </w:p>
        </w:tc>
        <w:tc>
          <w:tcPr>
            <w:tcW w:w="8975" w:type="dxa"/>
            <w:tcBorders/>
            <w:shd w:fill="CCEEFF" w:val="clear"/>
            <w:vAlign w:val="center"/>
          </w:tcPr>
          <w:p>
            <w:pPr>
              <w:pStyle w:val="TableContents"/>
              <w:bidi w:val="0"/>
              <w:spacing w:before="0" w:after="283"/>
              <w:jc w:val="both"/>
              <w:rPr/>
            </w:pPr>
            <w:hyperlink w:anchor="ea0239560ex32-1_authid.htm">
              <w:r>
                <w:rPr>
                  <w:rStyle w:val="InternetLink"/>
                </w:rPr>
                <w:t>Certification of Chief Executive Officer and Chief Financial Officer pursuant to 18 U.S.C. §1350, as adopted pursuant to Section 906 of the Sarbanes-Oxley Act of 2002</w:t>
              </w:r>
            </w:hyperlink>
          </w:p>
        </w:tc>
      </w:tr>
      <w:tr>
        <w:trPr/>
        <w:tc>
          <w:tcPr>
            <w:tcW w:w="1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97.1 (17)</w:t>
            </w:r>
          </w:p>
        </w:tc>
        <w:tc>
          <w:tcPr>
            <w:tcW w:w="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hyperlink r:id="rId60">
              <w:r>
                <w:rPr>
                  <w:rStyle w:val="InternetLink"/>
                  <w:rFonts w:ascii="Times New Roman;Times;Serif" w:hAnsi="Times New Roman;Times;Serif"/>
                  <w:sz w:val="20"/>
                </w:rPr>
                <w:t>Policy for the Recovery of Erroneously Awarded Compensation adopted October 6, 2023</w:t>
              </w:r>
            </w:hyperlink>
          </w:p>
        </w:tc>
      </w:tr>
      <w:tr>
        <w:trPr/>
        <w:tc>
          <w:tcPr>
            <w:tcW w:w="11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99.1 (21)</w:t>
            </w:r>
          </w:p>
        </w:tc>
        <w:tc>
          <w:tcPr>
            <w:tcW w:w="90" w:type="dxa"/>
            <w:tcBorders/>
            <w:shd w:fill="CCEEFF" w:val="clear"/>
            <w:vAlign w:val="center"/>
          </w:tcPr>
          <w:p>
            <w:pPr>
              <w:pStyle w:val="TableContents"/>
              <w:bidi w:val="0"/>
              <w:spacing w:before="0" w:after="283"/>
              <w:jc w:val="both"/>
              <w:rPr/>
            </w:pPr>
            <w:r>
              <w:rPr/>
              <w:t> </w:t>
            </w:r>
          </w:p>
        </w:tc>
        <w:tc>
          <w:tcPr>
            <w:tcW w:w="8975" w:type="dxa"/>
            <w:tcBorders/>
            <w:shd w:fill="CCEEFF" w:val="clear"/>
            <w:vAlign w:val="center"/>
          </w:tcPr>
          <w:p>
            <w:pPr>
              <w:pStyle w:val="TableContents"/>
              <w:bidi w:val="0"/>
              <w:spacing w:before="0" w:after="283"/>
              <w:jc w:val="both"/>
              <w:rPr/>
            </w:pPr>
            <w:hyperlink r:id="rId61">
              <w:r>
                <w:rPr>
                  <w:rStyle w:val="InternetLink"/>
                  <w:rFonts w:ascii="Times New Roman;Times;Serif" w:hAnsi="Times New Roman;Times;Serif"/>
                  <w:sz w:val="20"/>
                </w:rPr>
                <w:t>Policy on Granting Equity Awards</w:t>
              </w:r>
            </w:hyperlink>
          </w:p>
        </w:tc>
      </w:tr>
      <w:tr>
        <w:trPr/>
        <w:tc>
          <w:tcPr>
            <w:tcW w:w="1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101.INS*</w:t>
            </w:r>
          </w:p>
        </w:tc>
        <w:tc>
          <w:tcPr>
            <w:tcW w:w="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Inline XBRL Instance Document </w:t>
            </w:r>
          </w:p>
        </w:tc>
      </w:tr>
      <w:tr>
        <w:trPr/>
        <w:tc>
          <w:tcPr>
            <w:tcW w:w="114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101.SCH*</w:t>
            </w:r>
          </w:p>
        </w:tc>
        <w:tc>
          <w:tcPr>
            <w:tcW w:w="90" w:type="dxa"/>
            <w:tcBorders/>
            <w:shd w:fill="CCEEFF" w:val="clear"/>
            <w:vAlign w:val="center"/>
          </w:tcPr>
          <w:p>
            <w:pPr>
              <w:pStyle w:val="TableContents"/>
              <w:bidi w:val="0"/>
              <w:spacing w:before="0" w:after="283"/>
              <w:jc w:val="left"/>
              <w:rPr/>
            </w:pPr>
            <w:r>
              <w:rPr/>
              <w:t> </w:t>
            </w:r>
          </w:p>
        </w:tc>
        <w:tc>
          <w:tcPr>
            <w:tcW w:w="89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Inline XBRL Taxonomy Extension Schema Document </w:t>
            </w:r>
          </w:p>
        </w:tc>
      </w:tr>
      <w:tr>
        <w:trPr/>
        <w:tc>
          <w:tcPr>
            <w:tcW w:w="1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101.CAL*</w:t>
            </w:r>
          </w:p>
        </w:tc>
        <w:tc>
          <w:tcPr>
            <w:tcW w:w="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Inline XBRL Taxonomy Extension Calculation Linkbase Document </w:t>
            </w:r>
          </w:p>
        </w:tc>
      </w:tr>
      <w:tr>
        <w:trPr/>
        <w:tc>
          <w:tcPr>
            <w:tcW w:w="114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101.DEF*</w:t>
            </w:r>
          </w:p>
        </w:tc>
        <w:tc>
          <w:tcPr>
            <w:tcW w:w="90" w:type="dxa"/>
            <w:tcBorders/>
            <w:shd w:fill="CCEEFF" w:val="clear"/>
            <w:vAlign w:val="center"/>
          </w:tcPr>
          <w:p>
            <w:pPr>
              <w:pStyle w:val="TableContents"/>
              <w:bidi w:val="0"/>
              <w:spacing w:before="0" w:after="283"/>
              <w:jc w:val="left"/>
              <w:rPr/>
            </w:pPr>
            <w:r>
              <w:rPr/>
              <w:t> </w:t>
            </w:r>
          </w:p>
        </w:tc>
        <w:tc>
          <w:tcPr>
            <w:tcW w:w="89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Inline XBRL Taxonomy Extension Definition Linkbase Document </w:t>
            </w:r>
          </w:p>
        </w:tc>
      </w:tr>
      <w:tr>
        <w:trPr/>
        <w:tc>
          <w:tcPr>
            <w:tcW w:w="1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101.LAB*</w:t>
            </w:r>
          </w:p>
        </w:tc>
        <w:tc>
          <w:tcPr>
            <w:tcW w:w="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Inline XBRL Taxonomy Extension Label Linkbase Document </w:t>
            </w:r>
          </w:p>
        </w:tc>
      </w:tr>
      <w:tr>
        <w:trPr/>
        <w:tc>
          <w:tcPr>
            <w:tcW w:w="114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101.PRE*</w:t>
            </w:r>
          </w:p>
        </w:tc>
        <w:tc>
          <w:tcPr>
            <w:tcW w:w="90" w:type="dxa"/>
            <w:tcBorders/>
            <w:shd w:fill="CCEEFF" w:val="clear"/>
            <w:vAlign w:val="center"/>
          </w:tcPr>
          <w:p>
            <w:pPr>
              <w:pStyle w:val="TableContents"/>
              <w:bidi w:val="0"/>
              <w:spacing w:before="0" w:after="283"/>
              <w:jc w:val="left"/>
              <w:rPr/>
            </w:pPr>
            <w:r>
              <w:rPr/>
              <w:t> </w:t>
            </w:r>
          </w:p>
        </w:tc>
        <w:tc>
          <w:tcPr>
            <w:tcW w:w="89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Inline XBRL Taxonomy Extension Presentation Linkbase Document </w:t>
            </w:r>
          </w:p>
        </w:tc>
      </w:tr>
      <w:tr>
        <w:trPr/>
        <w:tc>
          <w:tcPr>
            <w:tcW w:w="1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center"/>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170"/>
        <w:gridCol w:w="126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confidential portions of this exhibit were omitted by means of marking such portions with asterisks because the identified confidential portions (i) are not material and (ii) would be competitively harmful if publicly disclosed. A copy of any omitted portions will be furnished to the SEC upon request.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both"/>
              <w:rPr/>
            </w:pPr>
            <w:r>
              <w:rPr/>
              <w:t>(1)</w:t>
            </w:r>
          </w:p>
        </w:tc>
        <w:tc>
          <w:tcPr>
            <w:tcW w:w="9886" w:type="dxa"/>
            <w:tcBorders/>
            <w:vAlign w:val="center"/>
          </w:tcPr>
          <w:p>
            <w:pPr>
              <w:pStyle w:val="TableContents"/>
              <w:bidi w:val="0"/>
              <w:spacing w:before="0" w:after="283"/>
              <w:jc w:val="both"/>
              <w:rPr/>
            </w:pPr>
            <w:r>
              <w:rPr/>
              <w:t>Incorporated by reference to the Form 8-K Current Report filed with the Securities Exchange Commission on March 23, 2021.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7"/>
        <w:gridCol w:w="9818"/>
      </w:tblGrid>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June 15, 2021.</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10-Q Quarterly Report filed with the Securities Exchange Commission on May 4, 2018.</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S-8 Registration Statement filed with the Securities Exchange Commission on February 1, 2022.</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April 27, 2022.</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July 19, 2022.</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September 21, 2022.</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March 10, 2023.</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March 28, 2023.</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10-K Annual Report filed with the Securities Exchange Commission on March 30, 2023.</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April 18, 2023.</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May 16, 2023.</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May 26, 2023.</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June 27, 2023.</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August 3, 2023.</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October 26, 2023.</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(17)</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10-Q Quarterly Report filed with the Securities Exchange Commission on November 8, 2023.</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November 27, 2023.</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(19)</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December 21, 2023.</w:t>
            </w:r>
          </w:p>
        </w:tc>
      </w:tr>
      <w:tr>
        <w:trPr/>
        <w:tc>
          <w:tcPr>
            <w:tcW w:w="3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March 26, 2024.</w:t>
            </w:r>
          </w:p>
        </w:tc>
      </w:tr>
      <w:tr>
        <w:trPr/>
        <w:tc>
          <w:tcPr>
            <w:tcW w:w="3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10-Q Quarterly Report filed with the Securities Exchange Commission on May 15, 2024.</w:t>
            </w:r>
          </w:p>
        </w:tc>
      </w:tr>
      <w:tr>
        <w:trPr/>
        <w:tc>
          <w:tcPr>
            <w:tcW w:w="3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June 27, 2024.</w:t>
            </w:r>
          </w:p>
        </w:tc>
      </w:tr>
      <w:tr>
        <w:trPr/>
        <w:tc>
          <w:tcPr>
            <w:tcW w:w="3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10-Q Quarterly Report filed with the Securities Exchange Commission on November 7, 2024.</w:t>
            </w:r>
          </w:p>
        </w:tc>
      </w:tr>
      <w:tr>
        <w:trPr/>
        <w:tc>
          <w:tcPr>
            <w:tcW w:w="3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10-K Annual Report filed with the Securities Exchange Commission on March 13, 2025.</w:t>
            </w:r>
          </w:p>
        </w:tc>
      </w:tr>
      <w:tr>
        <w:trPr/>
        <w:tc>
          <w:tcPr>
            <w:tcW w:w="3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April 2, 2025.</w:t>
            </w:r>
          </w:p>
        </w:tc>
      </w:tr>
      <w:tr>
        <w:trPr/>
        <w:tc>
          <w:tcPr>
            <w:tcW w:w="3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May 7,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648"/>
        <w:jc w:val="left"/>
        <w:rPr>
          <w:caps w:val="false"/>
          <w:smallCaps w:val="false"/>
        </w:rPr>
      </w:pPr>
      <w:r>
        <w:rPr>
          <w:caps w:val="false"/>
          <w:smallCaps w:val="false"/>
        </w:rPr>
        <w:t> </w:t>
      </w:r>
    </w:p>
    <w:tbl>
      <w:tblPr>
        <w:tblW w:w="1145" w:type="dxa"/>
        <w:jc w:val="left"/>
        <w:tblInd w:w="0" w:type="dxa"/>
        <w:tblLayout w:type="fixed"/>
        <w:tblCellMar>
          <w:top w:w="0" w:type="dxa"/>
          <w:left w:w="0" w:type="dxa"/>
          <w:bottom w:w="0" w:type="dxa"/>
          <w:right w:w="0" w:type="dxa"/>
        </w:tblCellMar>
      </w:tblPr>
      <w:tblGrid>
        <w:gridCol w:w="105"/>
        <w:gridCol w:w="1040"/>
      </w:tblGrid>
      <w:tr>
        <w:trPr/>
        <w:tc>
          <w:tcPr>
            <w:tcW w:w="10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authID Inc.</w:t>
            </w:r>
          </w:p>
        </w:tc>
      </w:tr>
    </w:tbl>
    <w:p>
      <w:pPr>
        <w:pStyle w:val="TextBody"/>
        <w:bidi w:val="0"/>
        <w:spacing w:before="0" w:after="0"/>
        <w:ind w:left="0" w:right="0" w:hanging="0"/>
        <w:jc w:val="left"/>
        <w:rPr>
          <w:caps w:val="false"/>
          <w:smallCaps w:val="false"/>
        </w:rPr>
      </w:pPr>
      <w:r>
        <w:rPr>
          <w:caps w:val="false"/>
          <w:smallCaps w:val="false"/>
        </w:rPr>
        <w:t> </w:t>
      </w:r>
    </w:p>
    <w:tbl>
      <w:tblPr>
        <w:tblW w:w="5850" w:type="dxa"/>
        <w:jc w:val="left"/>
        <w:tblInd w:w="0" w:type="dxa"/>
        <w:tblLayout w:type="fixed"/>
        <w:tblCellMar>
          <w:top w:w="0" w:type="dxa"/>
          <w:left w:w="0" w:type="dxa"/>
          <w:bottom w:w="0" w:type="dxa"/>
          <w:right w:w="0" w:type="dxa"/>
        </w:tblCellMar>
      </w:tblPr>
      <w:tblGrid>
        <w:gridCol w:w="1790"/>
        <w:gridCol w:w="350"/>
        <w:gridCol w:w="3710"/>
      </w:tblGrid>
      <w:tr>
        <w:trPr/>
        <w:tc>
          <w:tcPr>
            <w:tcW w:w="1790" w:type="dxa"/>
            <w:tcBorders/>
            <w:vAlign w:val="center"/>
          </w:tcPr>
          <w:p>
            <w:pPr>
              <w:pStyle w:val="TableContents"/>
              <w:bidi w:val="0"/>
              <w:spacing w:before="0" w:after="283"/>
              <w:ind w:left="0" w:right="0" w:hanging="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By:</w:t>
            </w:r>
          </w:p>
        </w:tc>
        <w:tc>
          <w:tcPr>
            <w:tcW w:w="3710" w:type="dxa"/>
            <w:tcBorders>
              <w:bottom w:val="single" w:sz="12"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/s/ Rhoniel Daguro</w:t>
            </w:r>
          </w:p>
        </w:tc>
      </w:tr>
      <w:tr>
        <w:trPr/>
        <w:tc>
          <w:tcPr>
            <w:tcW w:w="1790" w:type="dxa"/>
            <w:tcBorders/>
            <w:vAlign w:val="center"/>
          </w:tcPr>
          <w:p>
            <w:pPr>
              <w:pStyle w:val="TableContents"/>
              <w:bidi w:val="0"/>
              <w:spacing w:before="0" w:after="283"/>
              <w:ind w:left="0" w:right="0" w:hanging="0"/>
              <w:jc w:val="left"/>
              <w:rPr/>
            </w:pPr>
            <w:r>
              <w:rPr/>
              <w:t> </w:t>
            </w:r>
          </w:p>
        </w:tc>
        <w:tc>
          <w:tcPr>
            <w:tcW w:w="350" w:type="dxa"/>
            <w:tcBorders/>
            <w:vAlign w:val="center"/>
          </w:tcPr>
          <w:p>
            <w:pPr>
              <w:pStyle w:val="TableContents"/>
              <w:bidi w:val="0"/>
              <w:spacing w:before="0" w:after="283"/>
              <w:ind w:left="0" w:right="0" w:hanging="0"/>
              <w:jc w:val="left"/>
              <w:rPr/>
            </w:pPr>
            <w:r>
              <w:rPr/>
              <w:t> </w:t>
            </w:r>
          </w:p>
        </w:tc>
        <w:tc>
          <w:tcPr>
            <w:tcW w:w="371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Rhoniel A. Daguro </w:t>
            </w:r>
          </w:p>
        </w:tc>
      </w:tr>
      <w:tr>
        <w:trPr/>
        <w:tc>
          <w:tcPr>
            <w:tcW w:w="1790" w:type="dxa"/>
            <w:tcBorders/>
            <w:vAlign w:val="center"/>
          </w:tcPr>
          <w:p>
            <w:pPr>
              <w:pStyle w:val="TableContents"/>
              <w:bidi w:val="0"/>
              <w:spacing w:before="0" w:after="283"/>
              <w:ind w:left="0" w:right="0" w:hanging="0"/>
              <w:jc w:val="left"/>
              <w:rPr/>
            </w:pPr>
            <w:r>
              <w:rPr/>
              <w:t> </w:t>
            </w:r>
          </w:p>
        </w:tc>
        <w:tc>
          <w:tcPr>
            <w:tcW w:w="350" w:type="dxa"/>
            <w:tcBorders/>
            <w:vAlign w:val="center"/>
          </w:tcPr>
          <w:p>
            <w:pPr>
              <w:pStyle w:val="TableContents"/>
              <w:bidi w:val="0"/>
              <w:spacing w:before="0" w:after="283"/>
              <w:ind w:left="0" w:right="0" w:hanging="0"/>
              <w:jc w:val="left"/>
              <w:rPr/>
            </w:pPr>
            <w:r>
              <w:rPr/>
              <w:t> </w:t>
            </w:r>
          </w:p>
        </w:tc>
        <w:tc>
          <w:tcPr>
            <w:tcW w:w="371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790" w:type="dxa"/>
            <w:tcBorders/>
            <w:vAlign w:val="center"/>
          </w:tcPr>
          <w:p>
            <w:pPr>
              <w:pStyle w:val="TableContents"/>
              <w:bidi w:val="0"/>
              <w:spacing w:before="0" w:after="283"/>
              <w:ind w:left="0" w:right="0" w:hanging="0"/>
              <w:jc w:val="left"/>
              <w:rPr/>
            </w:pPr>
            <w:r>
              <w:rPr/>
              <w:t> </w:t>
            </w:r>
          </w:p>
        </w:tc>
        <w:tc>
          <w:tcPr>
            <w:tcW w:w="350" w:type="dxa"/>
            <w:tcBorders/>
            <w:vAlign w:val="center"/>
          </w:tcPr>
          <w:p>
            <w:pPr>
              <w:pStyle w:val="TableContents"/>
              <w:bidi w:val="0"/>
              <w:spacing w:before="0" w:after="283"/>
              <w:ind w:left="0" w:right="0" w:hanging="0"/>
              <w:jc w:val="left"/>
              <w:rPr/>
            </w:pPr>
            <w:r>
              <w:rPr/>
              <w:t> </w:t>
            </w:r>
          </w:p>
        </w:tc>
        <w:tc>
          <w:tcPr>
            <w:tcW w:w="371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790" w:type="dxa"/>
            <w:tcBorders/>
            <w:vAlign w:val="center"/>
          </w:tcPr>
          <w:p>
            <w:pPr>
              <w:pStyle w:val="TableContents"/>
              <w:bidi w:val="0"/>
              <w:spacing w:before="0" w:after="283"/>
              <w:ind w:left="0" w:right="0" w:hanging="0"/>
              <w:jc w:val="left"/>
              <w:rPr/>
            </w:pPr>
            <w:r>
              <w:rPr/>
              <w:t> </w:t>
            </w:r>
          </w:p>
        </w:tc>
        <w:tc>
          <w:tcPr>
            <w:tcW w:w="350" w:type="dxa"/>
            <w:tcBorders/>
            <w:vAlign w:val="center"/>
          </w:tcPr>
          <w:p>
            <w:pPr>
              <w:pStyle w:val="TableContents"/>
              <w:bidi w:val="0"/>
              <w:spacing w:before="0" w:after="283"/>
              <w:ind w:left="0" w:right="0" w:hanging="0"/>
              <w:jc w:val="left"/>
              <w:rPr/>
            </w:pPr>
            <w:r>
              <w:rPr/>
              <w:t> </w:t>
            </w:r>
          </w:p>
        </w:tc>
        <w:tc>
          <w:tcPr>
            <w:tcW w:w="3710" w:type="dxa"/>
            <w:tcBorders/>
            <w:vAlign w:val="center"/>
          </w:tcPr>
          <w:p>
            <w:pPr>
              <w:pStyle w:val="TableContents"/>
              <w:bidi w:val="0"/>
              <w:spacing w:before="0" w:after="283"/>
              <w:ind w:left="0" w:right="0" w:hanging="0"/>
              <w:jc w:val="left"/>
              <w:rPr/>
            </w:pPr>
            <w:r>
              <w:rPr/>
              <w:t> </w:t>
            </w:r>
          </w:p>
        </w:tc>
      </w:tr>
      <w:tr>
        <w:trPr/>
        <w:tc>
          <w:tcPr>
            <w:tcW w:w="1790" w:type="dxa"/>
            <w:tcBorders/>
            <w:vAlign w:val="center"/>
          </w:tcPr>
          <w:p>
            <w:pPr>
              <w:pStyle w:val="TableContents"/>
              <w:bidi w:val="0"/>
              <w:spacing w:before="0" w:after="283"/>
              <w:ind w:left="0" w:right="0" w:hanging="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By:</w:t>
            </w:r>
          </w:p>
        </w:tc>
        <w:tc>
          <w:tcPr>
            <w:tcW w:w="3710" w:type="dxa"/>
            <w:tcBorders>
              <w:bottom w:val="single" w:sz="12"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/s/ Ed Sellitto</w:t>
            </w:r>
          </w:p>
        </w:tc>
      </w:tr>
      <w:tr>
        <w:trPr/>
        <w:tc>
          <w:tcPr>
            <w:tcW w:w="1790" w:type="dxa"/>
            <w:tcBorders/>
            <w:vAlign w:val="center"/>
          </w:tcPr>
          <w:p>
            <w:pPr>
              <w:pStyle w:val="TableContents"/>
              <w:bidi w:val="0"/>
              <w:spacing w:before="0" w:after="283"/>
              <w:ind w:left="0" w:right="0" w:hanging="0"/>
              <w:jc w:val="left"/>
              <w:rPr/>
            </w:pPr>
            <w:r>
              <w:rPr/>
              <w:t> </w:t>
            </w:r>
          </w:p>
        </w:tc>
        <w:tc>
          <w:tcPr>
            <w:tcW w:w="350" w:type="dxa"/>
            <w:tcBorders/>
            <w:vAlign w:val="center"/>
          </w:tcPr>
          <w:p>
            <w:pPr>
              <w:pStyle w:val="TableContents"/>
              <w:bidi w:val="0"/>
              <w:spacing w:before="0" w:after="283"/>
              <w:ind w:left="0" w:right="0" w:hanging="0"/>
              <w:jc w:val="left"/>
              <w:rPr/>
            </w:pPr>
            <w:r>
              <w:rPr/>
              <w:t> </w:t>
            </w:r>
          </w:p>
        </w:tc>
        <w:tc>
          <w:tcPr>
            <w:tcW w:w="371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Ed Sellitto</w:t>
            </w:r>
          </w:p>
        </w:tc>
      </w:tr>
      <w:tr>
        <w:trPr/>
        <w:tc>
          <w:tcPr>
            <w:tcW w:w="1790" w:type="dxa"/>
            <w:tcBorders/>
            <w:vAlign w:val="center"/>
          </w:tcPr>
          <w:p>
            <w:pPr>
              <w:pStyle w:val="TableContents"/>
              <w:bidi w:val="0"/>
              <w:spacing w:before="0" w:after="283"/>
              <w:ind w:left="0" w:right="0" w:hanging="0"/>
              <w:jc w:val="left"/>
              <w:rPr/>
            </w:pPr>
            <w:r>
              <w:rPr/>
              <w:t> </w:t>
            </w:r>
          </w:p>
        </w:tc>
        <w:tc>
          <w:tcPr>
            <w:tcW w:w="350" w:type="dxa"/>
            <w:tcBorders/>
            <w:vAlign w:val="center"/>
          </w:tcPr>
          <w:p>
            <w:pPr>
              <w:pStyle w:val="TableContents"/>
              <w:bidi w:val="0"/>
              <w:spacing w:before="0" w:after="283"/>
              <w:ind w:left="0" w:right="0" w:hanging="0"/>
              <w:jc w:val="left"/>
              <w:rPr/>
            </w:pPr>
            <w:r>
              <w:rPr/>
              <w:t> </w:t>
            </w:r>
          </w:p>
        </w:tc>
        <w:tc>
          <w:tcPr>
            <w:tcW w:w="371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90" w:type="dxa"/>
            <w:tcBorders/>
            <w:vAlign w:val="center"/>
          </w:tcPr>
          <w:p>
            <w:pPr>
              <w:pStyle w:val="TableContents"/>
              <w:bidi w:val="0"/>
              <w:spacing w:before="0" w:after="283"/>
              <w:ind w:left="0" w:right="0" w:hanging="0"/>
              <w:jc w:val="left"/>
              <w:rPr/>
            </w:pPr>
            <w:r>
              <w:rPr/>
              <w:t> </w:t>
            </w:r>
          </w:p>
        </w:tc>
        <w:tc>
          <w:tcPr>
            <w:tcW w:w="350" w:type="dxa"/>
            <w:tcBorders/>
            <w:vAlign w:val="center"/>
          </w:tcPr>
          <w:p>
            <w:pPr>
              <w:pStyle w:val="TableContents"/>
              <w:bidi w:val="0"/>
              <w:spacing w:before="0" w:after="283"/>
              <w:ind w:left="0" w:right="0" w:hanging="0"/>
              <w:jc w:val="left"/>
              <w:rPr/>
            </w:pPr>
            <w:r>
              <w:rPr/>
              <w:t> </w:t>
            </w:r>
          </w:p>
        </w:tc>
        <w:tc>
          <w:tcPr>
            <w:tcW w:w="371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Dated: May 13, 2025</w:t>
            </w:r>
          </w:p>
        </w:tc>
        <w:tc>
          <w:tcPr>
            <w:tcW w:w="350" w:type="dxa"/>
            <w:tcBorders/>
            <w:vAlign w:val="center"/>
          </w:tcPr>
          <w:p>
            <w:pPr>
              <w:pStyle w:val="TableContents"/>
              <w:bidi w:val="0"/>
              <w:spacing w:before="0" w:after="283"/>
              <w:ind w:left="0" w:right="0" w:hanging="0"/>
              <w:jc w:val="left"/>
              <w:rPr/>
            </w:pPr>
            <w:r>
              <w:rPr/>
              <w:t> </w:t>
            </w:r>
          </w:p>
        </w:tc>
        <w:tc>
          <w:tcPr>
            <w:tcW w:w="37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1" w:name="ea0239560ex31-1_authid.htm"/>
      <w:bookmarkStart w:id="22" w:name="ksea0239560ex311_authid"/>
      <w:bookmarkEnd w:id="21"/>
      <w:bookmarkEnd w:id="22"/>
      <w:r>
        <w:rPr/>
        <w:t> </w:t>
      </w:r>
      <w:r>
        <w:br w:type="page"/>
      </w:r>
    </w:p>
    <w:p>
      <w:pPr>
        <w:pStyle w:val="TextBody"/>
        <w:bidi w:val="0"/>
        <w:jc w:val="righ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jc w:val="center"/>
        <w:rPr>
          <w:caps w:val="false"/>
          <w:smallCaps w:val="false"/>
        </w:rPr>
      </w:pPr>
      <w:r>
        <w:rPr>
          <w:caps w:val="false"/>
          <w:smallCaps w:val="false"/>
        </w:rPr>
        <w:t> </w:t>
      </w:r>
      <w:r>
        <w:rPr>
          <w:rFonts w:ascii="Times New Roman;Times;Serif" w:hAnsi="Times New Roman;Times;Serif"/>
          <w:b/>
          <w:i w:val="false"/>
          <w:caps w:val="false"/>
          <w:smallCaps w:val="false"/>
          <w:sz w:val="20"/>
        </w:rPr>
        <w:t>CERTIFICATION OF PRINCIPAL EXECUTIVE OFFICER</w:t>
        <w:br/>
        <w:t>PURSUANT TO SECTION 302 OF THE</w:t>
        <w:br/>
        <w:t>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Rhoniel A. Daguro, Chief Executive Officer certify that:</w:t>
      </w:r>
    </w:p>
    <w:p>
      <w:pPr>
        <w:pStyle w:val="TextBody"/>
        <w:bidi w:val="0"/>
        <w:jc w:val="both"/>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185"/>
        <w:gridCol w:w="530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authID Inc;</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year that has materially affected, or is reasonably likely to materially affect, the registrant’s internal control over financial reporting;</w:t>
            </w:r>
          </w:p>
        </w:tc>
      </w:tr>
    </w:tbl>
    <w:p>
      <w:pPr>
        <w:pStyle w:val="TextBody"/>
        <w:bidi w:val="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tc>
      </w:tr>
    </w:tbl>
    <w:p>
      <w:pPr>
        <w:pStyle w:val="TextBody"/>
        <w:bidi w:val="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controls over financial reporting.</w:t>
            </w:r>
          </w:p>
        </w:tc>
      </w:tr>
    </w:tbl>
    <w:p>
      <w:pPr>
        <w:pStyle w:val="TextBody"/>
        <w:bidi w:val="0"/>
        <w:ind w:left="360" w:right="0" w:hanging="0"/>
        <w:jc w:val="both"/>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1655"/>
        <w:gridCol w:w="2360"/>
      </w:tblGrid>
      <w:tr>
        <w:trPr/>
        <w:tc>
          <w:tcPr>
            <w:tcW w:w="16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13, 2025</w:t>
            </w:r>
          </w:p>
        </w:tc>
        <w:tc>
          <w:tcPr>
            <w:tcW w:w="2360" w:type="dxa"/>
            <w:tcBorders>
              <w:bottom w:val="single" w:sz="12" w:space="0" w:color="000000"/>
            </w:tcBorders>
            <w:shd w:fill="FFFFFF" w:val="clear"/>
            <w:tcMar>
              <w:bottom w:w="28" w:type="dxa"/>
            </w:tcMar>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Rhoniel A. Daguro</w:t>
            </w:r>
          </w:p>
        </w:tc>
      </w:tr>
      <w:tr>
        <w:trPr/>
        <w:tc>
          <w:tcPr>
            <w:tcW w:w="165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Rhoniel A. Daguro</w:t>
            </w:r>
          </w:p>
        </w:tc>
      </w:tr>
      <w:tr>
        <w:trPr/>
        <w:tc>
          <w:tcPr>
            <w:tcW w:w="165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23" w:name="ea0239560ex31-2_authid.htm"/>
      <w:bookmarkStart w:id="24" w:name="ksea0239560ex312_authid"/>
      <w:bookmarkEnd w:id="23"/>
      <w:bookmarkEnd w:id="24"/>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AND ACCOUNTING OFFICER</w:t>
        <w:br/>
        <w:t>PURSUANT TO SECTION 302 OF THE</w:t>
        <w:br/>
        <w:t>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Edward Sellitto, Chief Financial Officer, certify that:</w:t>
      </w:r>
    </w:p>
    <w:p>
      <w:pPr>
        <w:pStyle w:val="TextBody"/>
        <w:bidi w:val="0"/>
        <w:jc w:val="both"/>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185"/>
        <w:gridCol w:w="534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authID Inc.;</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year that has materially affected, or is reasonably likely to materially affect, the registrant’s internal control over financial reporting;</w:t>
            </w:r>
          </w:p>
        </w:tc>
      </w:tr>
    </w:tbl>
    <w:p>
      <w:pPr>
        <w:pStyle w:val="TextBody"/>
        <w:bidi w:val="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tc>
      </w:tr>
    </w:tbl>
    <w:p>
      <w:pPr>
        <w:pStyle w:val="TextBody"/>
        <w:bidi w:val="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controls over financial reporting.</w:t>
            </w:r>
          </w:p>
        </w:tc>
      </w:tr>
    </w:tbl>
    <w:p>
      <w:pPr>
        <w:pStyle w:val="TextBody"/>
        <w:bidi w:val="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1655"/>
        <w:gridCol w:w="3650"/>
      </w:tblGrid>
      <w:tr>
        <w:trPr/>
        <w:tc>
          <w:tcPr>
            <w:tcW w:w="16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13, 2025</w:t>
            </w:r>
          </w:p>
        </w:tc>
        <w:tc>
          <w:tcPr>
            <w:tcW w:w="3650" w:type="dxa"/>
            <w:tcBorders>
              <w:bottom w:val="single" w:sz="12" w:space="0" w:color="000000"/>
            </w:tcBorders>
            <w:shd w:fill="FFFFFF" w:val="clear"/>
            <w:tcMar>
              <w:bottom w:w="28" w:type="dxa"/>
            </w:tcMar>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Ed Sellitto</w:t>
            </w:r>
          </w:p>
        </w:tc>
      </w:tr>
      <w:tr>
        <w:trPr/>
        <w:tc>
          <w:tcPr>
            <w:tcW w:w="165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 Sellitto</w:t>
            </w:r>
          </w:p>
        </w:tc>
      </w:tr>
      <w:tr>
        <w:trPr/>
        <w:tc>
          <w:tcPr>
            <w:tcW w:w="165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right"/>
        <w:rPr>
          <w:caps w:val="false"/>
          <w:smallCaps w:val="false"/>
        </w:rPr>
      </w:pPr>
      <w:bookmarkStart w:id="25" w:name="ea0239560ex32-1_authid.htm"/>
      <w:bookmarkStart w:id="26" w:name="ksea0239560ex321_authid"/>
      <w:bookmarkEnd w:id="25"/>
      <w:bookmarkEnd w:id="26"/>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authID Inc. (the “Company”) on Form 10-Q for the quarter ended March 31, 2025 as filed with the Securities and Exchange Commission (the “Report”), We, Rhoniel A. Daguro, Chief Executive Officer of the Company, and, Edward Sellitto, Chief Financial Officer of the Company, certify, pursuant to 18 U.S.C. SS. 1350, as adopted pursuant to SS. 906 of the Sarbanes-Oxley Act of 2002, that: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 of operations of the Company.</w:t>
      </w:r>
    </w:p>
    <w:p>
      <w:pPr>
        <w:pStyle w:val="TextBody"/>
        <w:bidi w:val="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1175"/>
        <w:gridCol w:w="2360"/>
      </w:tblGrid>
      <w:tr>
        <w:trPr/>
        <w:tc>
          <w:tcPr>
            <w:tcW w:w="1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13, 2025</w:t>
            </w:r>
          </w:p>
        </w:tc>
        <w:tc>
          <w:tcPr>
            <w:tcW w:w="2360" w:type="dxa"/>
            <w:tcBorders>
              <w:bottom w:val="single" w:sz="12" w:space="0" w:color="000000"/>
            </w:tcBorders>
            <w:tcMar>
              <w:bottom w:w="28" w:type="dxa"/>
            </w:tcMar>
            <w:vAlign w:val="center"/>
          </w:tcPr>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Rhoniel A. Daguro</w:t>
            </w:r>
          </w:p>
        </w:tc>
      </w:tr>
      <w:tr>
        <w:trPr/>
        <w:tc>
          <w:tcPr>
            <w:tcW w:w="117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Rhoniel A. Daguro</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17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1175"/>
        <w:gridCol w:w="3650"/>
      </w:tblGrid>
      <w:tr>
        <w:trPr/>
        <w:tc>
          <w:tcPr>
            <w:tcW w:w="1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13, 2025</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Ed Sellitto</w:t>
            </w:r>
          </w:p>
        </w:tc>
      </w:tr>
      <w:tr>
        <w:trPr/>
        <w:tc>
          <w:tcPr>
            <w:tcW w:w="117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 Sellitto, Chief Financial Officer</w:t>
            </w:r>
          </w:p>
        </w:tc>
      </w:tr>
      <w:tr>
        <w:trPr/>
        <w:tc>
          <w:tcPr>
            <w:tcW w:w="117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jc w:val="left"/>
        <w:rPr>
          <w:caps w:val="false"/>
          <w:smallCaps w:val="false"/>
        </w:rPr>
      </w:pPr>
      <w:r>
        <w:rPr>
          <w:caps w:val="false"/>
          <w:smallCaps w:val="false"/>
        </w:rPr>
        <w:t> </w:t>
      </w:r>
    </w:p>
    <w:p>
      <w:pPr>
        <w:pStyle w:val="TextBody"/>
        <w:bidi w:val="0"/>
        <w:spacing w:before="0" w:after="160"/>
        <w:jc w:val="left"/>
        <w:rPr>
          <w:caps w:val="false"/>
          <w:smallCaps w:val="false"/>
        </w:rPr>
      </w:pPr>
      <w:r>
        <w:rPr>
          <w:caps w:val="false"/>
          <w:smallCaps w:val="false"/>
        </w:rPr>
        <w:t> </w:t>
      </w:r>
    </w:p>
    <w:p>
      <w:pPr>
        <w:pStyle w:val="TextBody"/>
        <w:bidi w:val="0"/>
        <w:spacing w:before="0" w:after="160"/>
        <w:jc w:val="left"/>
        <w:rPr>
          <w:caps w:val="false"/>
          <w:smallCaps w:val="false"/>
        </w:rPr>
      </w:pPr>
      <w:r>
        <w:rPr>
          <w:caps w:val="false"/>
          <w:smallCaps w:val="false"/>
        </w:rPr>
        <w:t> </w:t>
      </w:r>
    </w:p>
    <w:p>
      <w:pPr>
        <w:pStyle w:val="TextBody"/>
        <w:bidi w:val="0"/>
        <w:spacing w:before="0" w:after="16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534154/000121390021017290/ea138222ex3-1_ipsidyinc.htm" TargetMode="External"/><Relationship Id="rId4" Type="http://schemas.openxmlformats.org/officeDocument/2006/relationships/hyperlink" Target="http://www.sec.gov/Archives/edgar/data/1534154/000121390022040296/ea162935ex3-2_authid.htm" TargetMode="External"/><Relationship Id="rId5" Type="http://schemas.openxmlformats.org/officeDocument/2006/relationships/hyperlink" Target="http://www.sec.gov/Archives/edgar/data/1534154/000121390021032569/ea142763ex3-1_ipsidyinc.htm" TargetMode="External"/><Relationship Id="rId6" Type="http://schemas.openxmlformats.org/officeDocument/2006/relationships/hyperlink" Target="http://www.sec.gov/Archives/edgar/data/1534154/000121390022040296/ea162935ex3-1_authid.htm" TargetMode="External"/><Relationship Id="rId7" Type="http://schemas.openxmlformats.org/officeDocument/2006/relationships/hyperlink" Target="http://www.sec.gov/Archives/edgar/data/1534154/000121390022057553/ea166087ex3-1_authid.htm" TargetMode="External"/><Relationship Id="rId8" Type="http://schemas.openxmlformats.org/officeDocument/2006/relationships/hyperlink" Target="http://www.sec.gov/Archives/edgar/data/1534154/000121390023052128/ea180976ex3-1_authidinc.htm" TargetMode="External"/><Relationship Id="rId9" Type="http://schemas.openxmlformats.org/officeDocument/2006/relationships/hyperlink" Target="http://www.sec.gov/Archives/edgar/data/1534154/000121390024056729/ea020866001ex3-1_authid.htm" TargetMode="External"/><Relationship Id="rId10" Type="http://schemas.openxmlformats.org/officeDocument/2006/relationships/hyperlink" Target="http://www.sec.gov/Archives/edgar/data/1534154/000121390021032569/ea142763ex4-1_ipsidyinc.htm" TargetMode="External"/><Relationship Id="rId11" Type="http://schemas.openxmlformats.org/officeDocument/2006/relationships/hyperlink" Target="http://www.sec.gov/Archives/edgar/data/1534154/000121390023024677/f10k2022ex4-7_authidinc.htm" TargetMode="External"/><Relationship Id="rId12" Type="http://schemas.openxmlformats.org/officeDocument/2006/relationships/hyperlink" Target="http://www.sec.gov/Archives/edgar/data/1534154/000121390021032569/ea142763ex10-6_ipsidyinc.htm" TargetMode="External"/><Relationship Id="rId13" Type="http://schemas.openxmlformats.org/officeDocument/2006/relationships/hyperlink" Target="http://www.sec.gov/Archives/edgar/data/1534154/000121390021032569/ea142763ex10-5_ipsidyinc.htm" TargetMode="External"/><Relationship Id="rId14" Type="http://schemas.openxmlformats.org/officeDocument/2006/relationships/hyperlink" Target="http://www.sec.gov/Archives/edgar/data/1534154/000161577418003344/s109839_ex10-27.htm" TargetMode="External"/><Relationship Id="rId15" Type="http://schemas.openxmlformats.org/officeDocument/2006/relationships/hyperlink" Target="http://www.sec.gov/Archives/edgar/data/1534154/000121390021032569/ea142763ex10-1_ipsidyinc.htm" TargetMode="External"/><Relationship Id="rId16" Type="http://schemas.openxmlformats.org/officeDocument/2006/relationships/hyperlink" Target="http://www.sec.gov/Archives/edgar/data/1534154/000121390021032569/ea142763ex10-2_ipsidyinc.htm" TargetMode="External"/><Relationship Id="rId17" Type="http://schemas.openxmlformats.org/officeDocument/2006/relationships/hyperlink" Target="http://www.sec.gov/Archives/edgar/data/1534154/000121390022004803/ea154748ex4-1_ipsidyinc.htm" TargetMode="External"/><Relationship Id="rId18" Type="http://schemas.openxmlformats.org/officeDocument/2006/relationships/hyperlink" Target="http://www.sec.gov/Archives/edgar/data/1534154/000121390022021805/ea158885ex10-1_ipsidyinc.htm" TargetMode="External"/><Relationship Id="rId19" Type="http://schemas.openxmlformats.org/officeDocument/2006/relationships/hyperlink" Target="http://www.sec.gov/Archives/edgar/data/1534154/000121390023018987/ea174977ex10-1_authid.htm" TargetMode="External"/><Relationship Id="rId20" Type="http://schemas.openxmlformats.org/officeDocument/2006/relationships/hyperlink" Target="http://www.sec.gov/Archives/edgar/data/1534154/000121390023018987/ea174977ex10-2_authid.htm" TargetMode="External"/><Relationship Id="rId21" Type="http://schemas.openxmlformats.org/officeDocument/2006/relationships/hyperlink" Target="http://www.sec.gov/Archives/edgar/data/1534154/000121390023018987/ea174977ex10-3_authid.htm" TargetMode="External"/><Relationship Id="rId22" Type="http://schemas.openxmlformats.org/officeDocument/2006/relationships/hyperlink" Target="http://www.sec.gov/Archives/edgar/data/1534154/000121390023018987/ea174977ex10-4_authid.htm" TargetMode="External"/><Relationship Id="rId23" Type="http://schemas.openxmlformats.org/officeDocument/2006/relationships/hyperlink" Target="http://www.sec.gov/Archives/edgar/data/1534154/000121390023023408/ea175837ex10-1_authid.htm" TargetMode="External"/><Relationship Id="rId24" Type="http://schemas.openxmlformats.org/officeDocument/2006/relationships/hyperlink" Target="http://www.sec.gov/Archives/edgar/data/1534154/000121390023023408/ea175837ex10-2_authid.htm" TargetMode="External"/><Relationship Id="rId25" Type="http://schemas.openxmlformats.org/officeDocument/2006/relationships/hyperlink" Target="http://www.sec.gov/Archives/edgar/data/1534154/000121390023023408/ea175837ex10-3_authid.htm" TargetMode="External"/><Relationship Id="rId26" Type="http://schemas.openxmlformats.org/officeDocument/2006/relationships/hyperlink" Target="http://www.sec.gov/Archives/edgar/data/1534154/000121390023030640/ea177091ex10-1_authid.htm" TargetMode="External"/><Relationship Id="rId27" Type="http://schemas.openxmlformats.org/officeDocument/2006/relationships/hyperlink" Target="http://www.sec.gov/Archives/edgar/data/1534154/000121390023030640/ea177091ex10-2_authid.htm" TargetMode="External"/><Relationship Id="rId28" Type="http://schemas.openxmlformats.org/officeDocument/2006/relationships/hyperlink" Target="http://www.sec.gov/Archives/edgar/data/1534154/000121390023040545/ea178743ex10-1_authid.htm" TargetMode="External"/><Relationship Id="rId29" Type="http://schemas.openxmlformats.org/officeDocument/2006/relationships/hyperlink" Target="http://www.sec.gov/Archives/edgar/data/1534154/000121390023043563/ea179371ex10-1_authidinc.htm" TargetMode="External"/><Relationship Id="rId30" Type="http://schemas.openxmlformats.org/officeDocument/2006/relationships/hyperlink" Target="http://www.sec.gov/Archives/edgar/data/1534154/000121390023043563/ea179371ex10-2_authidinc.htm" TargetMode="External"/><Relationship Id="rId31" Type="http://schemas.openxmlformats.org/officeDocument/2006/relationships/hyperlink" Target="http://www.sec.gov/Archives/edgar/data/1534154/000121390023043563/ea179371ex10-3_authidinc.htm" TargetMode="External"/><Relationship Id="rId32" Type="http://schemas.openxmlformats.org/officeDocument/2006/relationships/hyperlink" Target="http://www.sec.gov/Archives/edgar/data/1534154/000121390023043563/ea179371ex10-4_authidinc.htm" TargetMode="External"/><Relationship Id="rId33" Type="http://schemas.openxmlformats.org/officeDocument/2006/relationships/hyperlink" Target="http://www.sec.gov/Archives/edgar/data/1534154/000121390023062781/ea182763ex10-1_authidinc.htm" TargetMode="External"/><Relationship Id="rId34" Type="http://schemas.openxmlformats.org/officeDocument/2006/relationships/hyperlink" Target="http://www.sec.gov/Archives/edgar/data/1534154/000121390023081375/ea187301ex10-1_authid.htm" TargetMode="External"/><Relationship Id="rId35" Type="http://schemas.openxmlformats.org/officeDocument/2006/relationships/hyperlink" Target="http://www.sec.gov/Archives/edgar/data/1534154/000121390023090267/ea189066ex10-1_authidinc.htm" TargetMode="External"/><Relationship Id="rId36" Type="http://schemas.openxmlformats.org/officeDocument/2006/relationships/hyperlink" Target="http://www.sec.gov/Archives/edgar/data/1534154/000121390023090267/ea189066ex10-2_authidinc.htm" TargetMode="External"/><Relationship Id="rId37" Type="http://schemas.openxmlformats.org/officeDocument/2006/relationships/hyperlink" Target="http://www.sec.gov/Archives/edgar/data/1534154/000121390023090267/ea189066ex10-3_authidinc.htm" TargetMode="External"/><Relationship Id="rId38" Type="http://schemas.openxmlformats.org/officeDocument/2006/relationships/hyperlink" Target="http://www.sec.gov/Archives/edgar/data/1534154/000121390023097744/ea190517ex10-1_authidinc.htm" TargetMode="External"/><Relationship Id="rId39" Type="http://schemas.openxmlformats.org/officeDocument/2006/relationships/hyperlink" Target="http://www.sec.gov/Archives/edgar/data/1534154/000121390024026066/ea020260501ex10-1_authidinc.htm" TargetMode="External"/><Relationship Id="rId40" Type="http://schemas.openxmlformats.org/officeDocument/2006/relationships/hyperlink" Target="https://www.sec.gov/Archives/edgar/data/1534154/000121390024056729/ea020866001ex10-1_authid.htm" TargetMode="External"/><Relationship Id="rId41" Type="http://schemas.openxmlformats.org/officeDocument/2006/relationships/hyperlink" Target="http://www.sec.gov/Archives/edgar/data/1534154/000121390024056729/ea020866001ex10-2_authid.htm" TargetMode="External"/><Relationship Id="rId42" Type="http://schemas.openxmlformats.org/officeDocument/2006/relationships/hyperlink" Target="http://www.sec.gov/Archives/edgar/data/1534154/000121390024056729/ea020866001ex10-3_authid.htm" TargetMode="External"/><Relationship Id="rId43" Type="http://schemas.openxmlformats.org/officeDocument/2006/relationships/hyperlink" Target="http://www.sec.gov/Archives/edgar/data/1534154/000121390025023697/ea023186001ex10-32_authid.htm" TargetMode="External"/><Relationship Id="rId44" Type="http://schemas.openxmlformats.org/officeDocument/2006/relationships/hyperlink" Target="http://www.sec.gov/Archives/edgar/data/1534154/000121390024095394/ea021872901ex10-47_authid.htm" TargetMode="External"/><Relationship Id="rId45" Type="http://schemas.openxmlformats.org/officeDocument/2006/relationships/hyperlink" Target="http://www.sec.gov/Archives/edgar/data/1534154/000121390024095394/ea021872901ex10-48_authid.htm" TargetMode="External"/><Relationship Id="rId46" Type="http://schemas.openxmlformats.org/officeDocument/2006/relationships/hyperlink" Target="http://www.sec.gov/Archives/edgar/data/1534154/000121390025027527/ea023660501ex10-1_authid.htm" TargetMode="External"/><Relationship Id="rId47" Type="http://schemas.openxmlformats.org/officeDocument/2006/relationships/hyperlink" Target="http://www.sec.gov/Archives/edgar/data/1534154/000121390025027527/ea023660501ex10-2_authid.htm" TargetMode="External"/><Relationship Id="rId48" Type="http://schemas.openxmlformats.org/officeDocument/2006/relationships/hyperlink" Target="http://www.sec.gov/Archives/edgar/data/1534154/000121390025027527/ea023660501ex10-3_authid.htm" TargetMode="External"/><Relationship Id="rId49" Type="http://schemas.openxmlformats.org/officeDocument/2006/relationships/hyperlink" Target="http://www.sec.gov/Archives/edgar/data/1534154/000121390025027527/ea023660501ex10-4_authid.htm" TargetMode="External"/><Relationship Id="rId50" Type="http://schemas.openxmlformats.org/officeDocument/2006/relationships/hyperlink" Target="http://www.sec.gov/Archives/edgar/data/1534154/000121390025027527/ea023660501ex10-5_authid.htm" TargetMode="External"/><Relationship Id="rId51" Type="http://schemas.openxmlformats.org/officeDocument/2006/relationships/hyperlink" Target="http://www.sec.gov/Archives/edgar/data/1534154/000121390025027527/ea023660501ex10-6_authid.htm" TargetMode="External"/><Relationship Id="rId52" Type="http://schemas.openxmlformats.org/officeDocument/2006/relationships/hyperlink" Target="http://www.sec.gov/Archives/edgar/data/1534154/000121390025027527/ea023660501ex10-7_authid.htm" TargetMode="External"/><Relationship Id="rId53" Type="http://schemas.openxmlformats.org/officeDocument/2006/relationships/hyperlink" Target="https://www.sec.gov/Archives/edgar/data/1534154/000121390025040647/ea024124601ex10-1_authid.htm" TargetMode="External"/><Relationship Id="rId54" Type="http://schemas.openxmlformats.org/officeDocument/2006/relationships/hyperlink" Target="https://www.sec.gov/Archives/edgar/data/1534154/000121390025040647/ea024124601ex10-4_authid.htm" TargetMode="External"/><Relationship Id="rId55" Type="http://schemas.openxmlformats.org/officeDocument/2006/relationships/hyperlink" Target="https://www.sec.gov/Archives/edgar/data/1534154/000121390025040647/ea024124601ex10-5_authid.htm" TargetMode="External"/><Relationship Id="rId56" Type="http://schemas.openxmlformats.org/officeDocument/2006/relationships/hyperlink" Target="https://www.sec.gov/Archives/edgar/data/1534154/000121390025040647/ea024124601ex10-6_authid.htm" TargetMode="External"/><Relationship Id="rId57" Type="http://schemas.openxmlformats.org/officeDocument/2006/relationships/hyperlink" Target="http://www.sec.gov/Archives/edgar/data/1534154/000121390023084806/f10q0923ex14-1_authidinc.htm" TargetMode="External"/><Relationship Id="rId58" Type="http://schemas.openxmlformats.org/officeDocument/2006/relationships/hyperlink" Target="http://www.sec.gov/Archives/edgar/data/1534154/000121390025023697/ea023186001ex19_authid.htm" TargetMode="External"/><Relationship Id="rId59" Type="http://schemas.openxmlformats.org/officeDocument/2006/relationships/hyperlink" Target="http://www.sec.gov/Archives/edgar/data/1534154/000121390025023697/ea023186001ex21-1_authid.htm" TargetMode="External"/><Relationship Id="rId60" Type="http://schemas.openxmlformats.org/officeDocument/2006/relationships/hyperlink" Target="http://www.sec.gov/Archives/edgar/data/1534154/000121390023084806/f10q0923ex99-1_authidinc.htm" TargetMode="External"/><Relationship Id="rId61" Type="http://schemas.openxmlformats.org/officeDocument/2006/relationships/hyperlink" Target="http://www.sec.gov/Archives/edgar/data/1534154/000121390024043594/ea020525801ex99-1_authidinc.htm" TargetMode="External"/><Relationship Id="rId62" Type="http://schemas.openxmlformats.org/officeDocument/2006/relationships/fontTable" Target="fontTable.xml"/><Relationship Id="rId6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11543</Words>
  <Characters>64566</Characters>
  <CharactersWithSpaces>76982</CharactersWithSpaces>
  <Paragraphs>3468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