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4000" w:right="1340" w:hanging="2661"/>
        <w:spacing w:after="0" w:line="476" w:lineRule="auto"/>
        <w:tabs>
          <w:tab w:leader="none" w:pos="1531"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2021</w:t>
      </w:r>
    </w:p>
    <w:p>
      <w:pPr>
        <w:spacing w:after="0" w:line="33" w:lineRule="exact"/>
        <w:rPr>
          <w:rFonts w:ascii="MS PGothic" w:cs="MS PGothic" w:eastAsia="MS PGothic" w:hAnsi="MS PGothic"/>
          <w:sz w:val="18"/>
          <w:szCs w:val="18"/>
          <w:color w:val="auto"/>
        </w:rPr>
      </w:pPr>
    </w:p>
    <w:p>
      <w:pPr>
        <w:ind w:left="1380" w:hanging="204"/>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sz w:val="24"/>
          <w:szCs w:val="24"/>
          <w:color w:val="auto"/>
        </w:rPr>
      </w:pPr>
    </w:p>
    <w:p>
      <w:pPr>
        <w:ind w:left="4100"/>
        <w:spacing w:after="0"/>
        <w:tabs>
          <w:tab w:leader="none" w:pos="66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001-40747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151765</wp:posOffset>
            </wp:positionV>
            <wp:extent cx="1517015" cy="1011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10115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Ipsidy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20" w:type="dxa"/>
            <w:vAlign w:val="bottom"/>
          </w:tcPr>
          <w:p>
            <w:pPr>
              <w:jc w:val="center"/>
              <w:ind w:left="1410"/>
              <w:spacing w:after="0"/>
              <w:rPr>
                <w:sz w:val="20"/>
                <w:szCs w:val="20"/>
                <w:color w:val="auto"/>
              </w:rPr>
            </w:pPr>
            <w:r>
              <w:rPr>
                <w:rFonts w:ascii="Arial" w:cs="Arial" w:eastAsia="Arial" w:hAnsi="Arial"/>
                <w:sz w:val="18"/>
                <w:szCs w:val="18"/>
                <w:color w:val="auto"/>
                <w:w w:val="89"/>
              </w:rPr>
              <w:t>Delaware</w:t>
            </w:r>
          </w:p>
        </w:tc>
        <w:tc>
          <w:tcPr>
            <w:tcW w:w="7220" w:type="dxa"/>
            <w:vAlign w:val="bottom"/>
            <w:gridSpan w:val="3"/>
          </w:tcPr>
          <w:p>
            <w:pPr>
              <w:jc w:val="center"/>
              <w:ind w:left="1630"/>
              <w:spacing w:after="0"/>
              <w:rPr>
                <w:sz w:val="20"/>
                <w:szCs w:val="20"/>
                <w:color w:val="auto"/>
              </w:rPr>
            </w:pPr>
            <w:r>
              <w:rPr>
                <w:rFonts w:ascii="Arial" w:cs="Arial" w:eastAsia="Arial" w:hAnsi="Arial"/>
                <w:sz w:val="18"/>
                <w:szCs w:val="18"/>
                <w:color w:val="auto"/>
                <w:w w:val="89"/>
              </w:rPr>
              <w:t>46-2069547</w:t>
            </w:r>
          </w:p>
        </w:tc>
      </w:tr>
      <w:tr>
        <w:trPr>
          <w:trHeight w:val="202"/>
        </w:trPr>
        <w:tc>
          <w:tcPr>
            <w:tcW w:w="4020" w:type="dxa"/>
            <w:vAlign w:val="bottom"/>
            <w:tcBorders>
              <w:top w:val="single" w:sz="8" w:color="auto"/>
            </w:tcBorders>
          </w:tcPr>
          <w:p>
            <w:pPr>
              <w:jc w:val="center"/>
              <w:ind w:left="141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20" w:type="dxa"/>
            <w:vAlign w:val="bottom"/>
          </w:tcPr>
          <w:p>
            <w:pPr>
              <w:jc w:val="center"/>
              <w:ind w:left="141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020" w:type="dxa"/>
            <w:vAlign w:val="bottom"/>
          </w:tcPr>
          <w:p>
            <w:pPr>
              <w:spacing w:after="0"/>
              <w:rPr>
                <w:sz w:val="24"/>
                <w:szCs w:val="24"/>
                <w:color w:val="auto"/>
              </w:rPr>
            </w:pPr>
          </w:p>
        </w:tc>
        <w:tc>
          <w:tcPr>
            <w:tcW w:w="7220" w:type="dxa"/>
            <w:vAlign w:val="bottom"/>
            <w:gridSpan w:val="3"/>
          </w:tcPr>
          <w:p>
            <w:pPr>
              <w:jc w:val="center"/>
              <w:ind w:right="3910"/>
              <w:spacing w:after="0"/>
              <w:rPr>
                <w:sz w:val="20"/>
                <w:szCs w:val="20"/>
                <w:color w:val="auto"/>
              </w:rPr>
            </w:pPr>
            <w:r>
              <w:rPr>
                <w:rFonts w:ascii="Arial" w:cs="Arial" w:eastAsia="Arial" w:hAnsi="Arial"/>
                <w:sz w:val="18"/>
                <w:szCs w:val="18"/>
                <w:color w:val="auto"/>
                <w:w w:val="91"/>
              </w:rPr>
              <w:t>670 Long Beach Boulevard</w:t>
            </w:r>
          </w:p>
        </w:tc>
      </w:tr>
      <w:tr>
        <w:trPr>
          <w:trHeight w:val="216"/>
        </w:trPr>
        <w:tc>
          <w:tcPr>
            <w:tcW w:w="4020" w:type="dxa"/>
            <w:vAlign w:val="bottom"/>
          </w:tcPr>
          <w:p>
            <w:pPr>
              <w:spacing w:after="0"/>
              <w:rPr>
                <w:sz w:val="18"/>
                <w:szCs w:val="18"/>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color w:val="auto"/>
                <w:w w:val="91"/>
              </w:rPr>
              <w:t>Long Beach, New York 11561</w:t>
            </w:r>
          </w:p>
        </w:tc>
      </w:tr>
      <w:tr>
        <w:trPr>
          <w:trHeight w:val="230"/>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516-274-8700</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4300" w:type="dxa"/>
            <w:vAlign w:val="bottom"/>
            <w:gridSpan w:val="5"/>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460" w:type="dxa"/>
            <w:vAlign w:val="bottom"/>
          </w:tcPr>
          <w:p>
            <w:pPr>
              <w:spacing w:after="0"/>
              <w:rPr>
                <w:sz w:val="20"/>
                <w:szCs w:val="20"/>
                <w:color w:val="auto"/>
              </w:rPr>
            </w:pPr>
          </w:p>
        </w:tc>
      </w:tr>
      <w:tr>
        <w:trPr>
          <w:trHeight w:val="439"/>
        </w:trPr>
        <w:tc>
          <w:tcPr>
            <w:tcW w:w="3480" w:type="dxa"/>
            <w:vAlign w:val="bottom"/>
          </w:tcPr>
          <w:p>
            <w:pPr>
              <w:jc w:val="center"/>
              <w:ind w:left="50"/>
              <w:spacing w:after="0"/>
              <w:rPr>
                <w:sz w:val="20"/>
                <w:szCs w:val="20"/>
                <w:color w:val="auto"/>
              </w:rPr>
            </w:pPr>
            <w:r>
              <w:rPr>
                <w:rFonts w:ascii="Arial" w:cs="Arial" w:eastAsia="Arial" w:hAnsi="Arial"/>
                <w:sz w:val="18"/>
                <w:szCs w:val="18"/>
                <w:color w:val="auto"/>
                <w:w w:val="90"/>
              </w:rPr>
              <w:t>Title of each class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4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Trading Symbol</w:t>
            </w:r>
          </w:p>
        </w:tc>
        <w:tc>
          <w:tcPr>
            <w:tcW w:w="3460" w:type="dxa"/>
            <w:vAlign w:val="bottom"/>
          </w:tcPr>
          <w:p>
            <w:pPr>
              <w:jc w:val="center"/>
              <w:ind w:right="30"/>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48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0"/>
              </w:rPr>
              <w:t>Common Stock par value $0.0001 per share</w:t>
            </w: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AUID</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Exchange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$.0001 par value per share</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(Title of class)</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200" w:hanging="192"/>
        <w:spacing w:after="0" w:line="207" w:lineRule="exact"/>
        <w:tabs>
          <w:tab w:leader="none" w:pos="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 accelerated filer, or a smaller reporting company. See the definitions of “large accelerated filer”, “accelerated filer”, “non-accelerated filer”, “smaller reporting company” and “emerging growth” in Rule 12b-2 of the Exchange Act.</w:t>
      </w:r>
    </w:p>
    <w:p>
      <w:pPr>
        <w:sectPr>
          <w:pgSz w:w="11900" w:h="16869" w:orient="portrait"/>
          <w:cols w:equalWidth="0" w:num="1">
            <w:col w:w="11240"/>
          </w:cols>
          <w:pgMar w:left="320" w:top="517" w:right="339" w:bottom="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69" w:orient="portrait"/>
          <w:cols w:equalWidth="0" w:num="2">
            <w:col w:w="4900" w:space="720"/>
            <w:col w:w="5620"/>
          </w:cols>
          <w:pgMar w:left="320" w:top="517" w:right="339" w:bottom="0" w:gutter="0" w:footer="0" w:header="0"/>
          <w:type w:val="continuous"/>
        </w:sectPr>
      </w:pPr>
    </w:p>
    <w:p>
      <w:pPr>
        <w:spacing w:after="0" w:line="3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69" w:orient="portrait"/>
          <w:cols w:equalWidth="0" w:num="1">
            <w:col w:w="11240"/>
          </w:cols>
          <w:pgMar w:left="320" w:top="517" w:right="339" w:bottom="0" w:gutter="0" w:footer="0" w:header="0"/>
          <w:type w:val="continuous"/>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the last business day of the Registrant’s most recently completed second fiscal quarter, the market value of our common stock held by non-affiliates was $ 241,553,668 which is based on the average bid and ask price of such common equity, as of the last practical business day of the registrant’s most recently completed second fiscal quarter of $12.125.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Class</w:t>
            </w:r>
          </w:p>
        </w:tc>
        <w:tc>
          <w:tcPr>
            <w:tcW w:w="5500" w:type="dxa"/>
            <w:vAlign w:val="bottom"/>
          </w:tcPr>
          <w:p>
            <w:pPr>
              <w:jc w:val="center"/>
              <w:spacing w:after="0"/>
              <w:rPr>
                <w:sz w:val="20"/>
                <w:szCs w:val="20"/>
                <w:color w:val="auto"/>
              </w:rPr>
            </w:pPr>
            <w:r>
              <w:rPr>
                <w:rFonts w:ascii="Arial" w:cs="Arial" w:eastAsia="Arial" w:hAnsi="Arial"/>
                <w:sz w:val="18"/>
                <w:szCs w:val="18"/>
                <w:color w:val="auto"/>
                <w:w w:val="90"/>
              </w:rPr>
              <w:t>Outstanding at March 16, 2022</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23,451,179 shares</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Documents incorporated by reference:</w:t>
            </w:r>
          </w:p>
        </w:tc>
        <w:tc>
          <w:tcPr>
            <w:tcW w:w="550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202"/>
        </w:trPr>
        <w:tc>
          <w:tcPr>
            <w:tcW w:w="5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tcPr>
          <w:p>
            <w:pPr>
              <w:spacing w:after="0"/>
              <w:rPr>
                <w:sz w:val="17"/>
                <w:szCs w:val="17"/>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0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gridSpan w:val="14"/>
          </w:tcPr>
          <w:p>
            <w:pPr>
              <w:jc w:val="center"/>
              <w:ind w:right="2660"/>
              <w:spacing w:after="0"/>
              <w:rPr>
                <w:sz w:val="20"/>
                <w:szCs w:val="20"/>
                <w:color w:val="auto"/>
              </w:rPr>
            </w:pPr>
            <w:r>
              <w:rPr>
                <w:rFonts w:ascii="Arial" w:cs="Arial" w:eastAsia="Arial" w:hAnsi="Arial"/>
                <w:sz w:val="18"/>
                <w:szCs w:val="18"/>
                <w:b w:val="1"/>
                <w:bCs w:val="1"/>
                <w:color w:val="auto"/>
                <w:w w:val="98"/>
              </w:rPr>
              <w:t>TABLE OF CONTENTS</w:t>
            </w:r>
          </w:p>
        </w:tc>
        <w:tc>
          <w:tcPr>
            <w:tcW w:w="148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20" w:type="dxa"/>
            <w:vAlign w:val="bottom"/>
            <w:gridSpan w:val="14"/>
          </w:tcPr>
          <w:p>
            <w:pPr>
              <w:jc w:val="center"/>
              <w:ind w:right="2640"/>
              <w:spacing w:after="0"/>
              <w:rPr>
                <w:sz w:val="20"/>
                <w:szCs w:val="20"/>
                <w:color w:val="auto"/>
              </w:rPr>
            </w:pPr>
            <w:r>
              <w:rPr>
                <w:rFonts w:ascii="Arial" w:cs="Arial" w:eastAsia="Arial" w:hAnsi="Arial"/>
                <w:sz w:val="18"/>
                <w:szCs w:val="18"/>
                <w:b w:val="1"/>
                <w:bCs w:val="1"/>
                <w:color w:val="auto"/>
              </w:rPr>
              <w:t>GENERAL INFORMATION</w:t>
            </w:r>
          </w:p>
        </w:tc>
        <w:tc>
          <w:tcPr>
            <w:tcW w:w="1480" w:type="dxa"/>
            <w:vAlign w:val="bottom"/>
          </w:tcPr>
          <w:p>
            <w:pPr>
              <w:spacing w:after="0"/>
              <w:rPr>
                <w:sz w:val="20"/>
                <w:szCs w:val="20"/>
                <w:color w:val="auto"/>
              </w:rPr>
            </w:pPr>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6"/>
        </w:trPr>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60" w:type="dxa"/>
            <w:vAlign w:val="bottom"/>
            <w:gridSpan w:val="11"/>
            <w:shd w:val="clear" w:color="auto" w:fill="CCEEFF"/>
          </w:tcPr>
          <w:p>
            <w:pPr>
              <w:jc w:val="center"/>
              <w:ind w:right="3800"/>
              <w:spacing w:after="0" w:line="176" w:lineRule="exact"/>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480" w:type="dxa"/>
            <w:vAlign w:val="bottom"/>
            <w:shd w:val="clear" w:color="auto" w:fill="CCEEFF"/>
          </w:tcPr>
          <w:p>
            <w:pPr>
              <w:spacing w:after="0"/>
              <w:rPr>
                <w:sz w:val="17"/>
                <w:szCs w:val="17"/>
                <w:color w:val="auto"/>
              </w:rPr>
            </w:pP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480" w:type="dxa"/>
            <w:vAlign w:val="bottom"/>
            <w:shd w:val="clear" w:color="auto" w:fill="CCEEFF"/>
          </w:tcPr>
          <w:p>
            <w:pPr>
              <w:jc w:val="center"/>
              <w:ind w:left="390"/>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13</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1B.</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500" w:type="dxa"/>
            <w:vAlign w:val="bottom"/>
            <w:gridSpan w:val="12"/>
            <w:shd w:val="clear" w:color="auto" w:fill="CCEEFF"/>
          </w:tcPr>
          <w:p>
            <w:pPr>
              <w:jc w:val="center"/>
              <w:ind w:right="3760"/>
              <w:spacing w:after="0" w:line="17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1480" w:type="dxa"/>
            <w:vAlign w:val="bottom"/>
            <w:shd w:val="clear" w:color="auto" w:fill="CCEEFF"/>
          </w:tcPr>
          <w:p>
            <w:pPr>
              <w:spacing w:after="0"/>
              <w:rPr>
                <w:sz w:val="17"/>
                <w:szCs w:val="17"/>
                <w:color w:val="auto"/>
              </w:rPr>
            </w:pP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Market for Registrant’s Common Equity, Related Stockholder Matters and Issuer Purchases of Equity Securities</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Reserved</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43</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Changes in and Disagreements with Accountants on Accounting and Financial Disclosure</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43</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43</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43</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9C.</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Disclosure Regarding Foreign Jurisdictions that Prevent Inspection</w:t>
              </w:r>
            </w:hyperlink>
          </w:p>
        </w:tc>
        <w:tc>
          <w:tcPr>
            <w:tcW w:w="148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43</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500" w:type="dxa"/>
            <w:vAlign w:val="bottom"/>
            <w:gridSpan w:val="12"/>
            <w:shd w:val="clear" w:color="auto" w:fill="CCEEFF"/>
          </w:tcPr>
          <w:p>
            <w:pPr>
              <w:jc w:val="center"/>
              <w:ind w:right="3780"/>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III</w:t>
              </w:r>
            </w:hyperlink>
          </w:p>
        </w:tc>
        <w:tc>
          <w:tcPr>
            <w:tcW w:w="1480" w:type="dxa"/>
            <w:vAlign w:val="bottom"/>
            <w:shd w:val="clear" w:color="auto" w:fill="CCEEFF"/>
          </w:tcPr>
          <w:p>
            <w:pPr>
              <w:spacing w:after="0"/>
              <w:rPr>
                <w:sz w:val="17"/>
                <w:szCs w:val="17"/>
                <w:color w:val="auto"/>
              </w:rPr>
            </w:pP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Directors, Executive Officers and Corporate Governance</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44</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Executive Compensation</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49</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Security Ownership of Certain Beneficial Owners and Management and Related Stockholder Matters</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56</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Certain Relationships and Related Transactions, and Director Independence</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58</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Principal Accounting Fees and Services</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60</w:t>
            </w: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500" w:type="dxa"/>
            <w:vAlign w:val="bottom"/>
            <w:gridSpan w:val="12"/>
            <w:shd w:val="clear" w:color="auto" w:fill="CCEEFF"/>
          </w:tcPr>
          <w:p>
            <w:pPr>
              <w:jc w:val="center"/>
              <w:ind w:right="3780"/>
              <w:spacing w:after="0" w:line="17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PART IV</w:t>
              </w:r>
            </w:hyperlink>
          </w:p>
        </w:tc>
        <w:tc>
          <w:tcPr>
            <w:tcW w:w="1480" w:type="dxa"/>
            <w:vAlign w:val="bottom"/>
            <w:shd w:val="clear" w:color="auto" w:fill="CCEEFF"/>
          </w:tcPr>
          <w:p>
            <w:pPr>
              <w:spacing w:after="0"/>
              <w:rPr>
                <w:sz w:val="17"/>
                <w:szCs w:val="17"/>
                <w:color w:val="auto"/>
              </w:rPr>
            </w:pPr>
          </w:p>
        </w:tc>
      </w:tr>
      <w:tr>
        <w:trPr>
          <w:trHeight w:val="216"/>
        </w:trPr>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040" w:type="dxa"/>
            <w:vAlign w:val="bottom"/>
            <w:gridSpan w:val="28"/>
            <w:shd w:val="clear" w:color="auto" w:fill="CCEEFF"/>
          </w:tcPr>
          <w:p>
            <w:pPr>
              <w:ind w:left="8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Exhibits and Financial Statement Schedules</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61</w:t>
            </w:r>
          </w:p>
        </w:tc>
      </w:tr>
      <w:tr>
        <w:trPr>
          <w:trHeight w:val="216"/>
        </w:trPr>
        <w:tc>
          <w:tcPr>
            <w:tcW w:w="80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75"/>
        </w:trPr>
        <w:tc>
          <w:tcPr>
            <w:tcW w:w="9760" w:type="dxa"/>
            <w:vAlign w:val="bottom"/>
            <w:gridSpan w:val="29"/>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SIGNATURES</w:t>
              </w:r>
            </w:hyperlink>
          </w:p>
        </w:tc>
        <w:tc>
          <w:tcPr>
            <w:tcW w:w="14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89"/>
              </w:rPr>
              <w:t>62</w:t>
            </w:r>
          </w:p>
        </w:tc>
      </w:tr>
      <w:tr>
        <w:trPr>
          <w:trHeight w:val="21"/>
        </w:trPr>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Certain statements discussed in Item 1 (Business), Item 1A (Risk Factors), Item 3 (Legal Proceedings), Item 7 (Management’s Discussion and Analysis of Financial Condition and Results of Operations), Item 7A (Quantitative and Qualitative Disclosures About Market Risk) and elsewhere in this Annual Report on Form 10-K as well as in other materials and oral statements that the Company releases from time to time to the public constitute “forward-looking statements” within the meaning of the Private Securities Litigation Reform Act of 1995. Such forward-looking statements concerning management’s expectations, strategic objectives, business prospects, anticipated economic performance and financial condition and other similar matters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Such risks, uncertainties and other important factors are discussed in Item 1A (Risk Factors) and Item 7 Management’s Discussion and Analysis of Financial Condition and Results of Operations. In addition, these statements constitute the Company’s cautionary statements under the Private Securities Litigation Reform Act of 1995. It should be understood that it is not possible to predict or identify all such factors. Consequently, the following should not be considered to be a complete discussion of all potential risks or uncertainties. The words “anticipate,” “estimate,” “expect,” “project,” “intend,” “believe,” “plan,” “target,” “forecast” and similar expressions are intended to identify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Quarterly Reports on Form 10-Q and Current Reports on Form 8-K filed with the Securities and Exchange Commission.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We are an “emerging growth company,” as defined in the Jumpstart Our Business Startups Act enacted in April 2012, and, for as long as we continue to be an “emerging growth company,” we may choose to take advantage of exemptions from various reporting requirements applicable to other public companies including, but not limited to,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remain an “emerging growth company” until the earliest of (i) the last day of the fiscal year in which we have total annual gross revenues of $1 billion or more; (ii) the last day of the fiscal year following the fifth anniversary of the date of the first sale of our common equity securities pursuant to an effective registration statement; (iii) the date on which we have issued more than $1 billion in non-convertible debt during the prior three year period; and (iv) the date on which we are deemed to be a “large accelerated filer.” We may take advantage of the extended transition period until the first to occur of the date we (i) are no longer an “emerging growth company” or (ii) affirmatively and irrevocably opt out of the extended transition period. Consequently, our financial statements may not be comparable to companies that comply with public company effective dates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Ipsidy Inc. dba authID.ai (together with its subsidiaries, the “Company”, “authID.ai”, “we” or “our”) is a leading provider of secure, mobile, biometric identity verification software products delivered by an easy to integrate Identity as a Service (IDaaS) platform. Our mission is ultimately to eliminate all passwords and to be the preferred global platform for biometric identity authentication. Our vision is to enable every organization to “Recognise Your Customer” instantly, without friction or loss of privacy, powered by the most sophisticated biometric and artificial intelligence technologies.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explosive growth in online and mobile commerce, telemedicine, remote working and digital activities of all descriptions is self-evident to everyone who lived through the Covid 19 pandemic since 2020. Identity theft, phishing attacks, spear-phishing, password vulnerabilities, account takeovers, benefits fraud - it seems like these words have entered our daily lexicon overnight. These are significant impediments to the operations and growth of any business or organization, and dealing with the risks and consequences of these criminal activities has created significant friction in both time, cost and lost opportunity. Consider all the outdated methods that organizations have implemented in order to prevent fraud. The requests to receive and enter one-time passwords, that can be easily hijacked. The vulnerable security questions you get asked – whether on-line or when reaching out to a call center – what was your first pet’s name? who was your best friend in high school? These steps all add up to friction, making it difficult for consumers to login, transact and execute daily tasks, with little added protection from fraud. Surely there is a better way to address these challenges? authID.ai believes there is.</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authID.ai provides secure, facial biometric, identity verification, and strong customer authentication. We maintain a global, cloud-based IDaaS platform for our enterprise customers to enable their users to easily verify and authenticate their identity through a mobile device or desktop (with camera) of their choosing (without requiring dedicated hardware, or authentication apps). We can help our customers establish a proven identity, creating a root of trust that ensures the highest level of assurance for our passwordless login and step-up verification products. Our system enables participants to consent to transactions using their biometric information with a digitally signed authentication response, embedding the underlying transaction data and each user’s identity attributes within every electronic transaction message processed through our platform.</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Digital transformation across all market segments requires trusted identity. Our identity platform offers innovative solutions that are flexible, fast and easy to integrate and offer seamless user experiences. authID’s products help advance digital transformation efforts without the fear of identity fraud, while delivering frictionless user experiences. We believe that it is also essential that electronic transactions have an audit trail, proving that the identity of the individual was duly authenticated. Our platform provides biometric and multi-factor identity software, which are intended to establish, authenticate and verify identity across a wide range of use cases and electronic transactions.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authID’s products focus on the broad requirement for enabling frictionless commerce by allowing an entity to instantly “Recognise their Customer”. Organizations of all descriptions require cost-effective and secure means of growing their business while mitigating identity fraud. We aim to offer our enterprise customers products that can be integrated easily into each of their business and organizational operations, in order to facilitate their adoption and enhance the end user customer experience.</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management believes that some of the advantages of our IDaaS Platform approach are the ability to leverage the platform to support a variety of vertical markets and the adaptability of the platform to the requirements of new markets and new products requiring cost-effective, secure, and configurable mobile solutions. Our target markets include banking, fintech and other disrupters of traditional commerce, small and medium sized businesses, and system integrators working with government and Fortune 1000 enterprises. At its core, the Company’s offering, combining its proprietary and acquired biometric and artificial intelligence technologies (or AI), is intended to facilitate frictionless commerce, whether in the physical or digital world. The Company intends to increase its investment in developing, patenting and acquiring the various elements necessary to enhance the platform, which are intended to allow us to achieve our goals. One of the principal intended areas of investment is to enhance and expand our use of artificial intelligence in proprietary software, that we believe will increase our value to enterprise customers and stockholders alike.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both"/>
        <w:ind w:firstLine="648"/>
        <w:spacing w:after="0" w:line="255" w:lineRule="auto"/>
        <w:rPr>
          <w:sz w:val="20"/>
          <w:szCs w:val="20"/>
          <w:color w:val="auto"/>
        </w:rPr>
      </w:pPr>
      <w:r>
        <w:rPr>
          <w:rFonts w:ascii="Arial" w:cs="Arial" w:eastAsia="Arial" w:hAnsi="Arial"/>
          <w:sz w:val="18"/>
          <w:szCs w:val="18"/>
          <w:color w:val="auto"/>
        </w:rPr>
        <w:t>authid.ai is dedicated to developing advanced methods of protecting consumer privacy and deploying ethical and socially responsible AI. authID is developing a culture that proactively encourages and rewards our employees for considering the ethical implications of our products. We believe that a proactive commitment to ethical AI presents a strong business opportunity for authID and will enable us to bring more accurate products to market more quickly and with less risk to better serve our global user base. Our methods to achieve ethical AI include engaging the users of our products with informed consent, prioritizing the security of our user’s personal information, considering and avoiding potential bias in our algorithms, and monitoring of algorithm performance in our applications.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Company also owns an entity in South Africa Cards Plus which manufactures </w:t>
      </w:r>
      <w:r>
        <w:rPr>
          <w:rFonts w:ascii="Arial" w:cs="Arial" w:eastAsia="Arial" w:hAnsi="Arial"/>
          <w:sz w:val="16"/>
          <w:szCs w:val="16"/>
          <w:b w:val="1"/>
          <w:bCs w:val="1"/>
          <w:color w:val="auto"/>
        </w:rPr>
        <w:t>s</w:t>
      </w:r>
      <w:r>
        <w:rPr>
          <w:rFonts w:ascii="Arial" w:cs="Arial" w:eastAsia="Arial" w:hAnsi="Arial"/>
          <w:sz w:val="16"/>
          <w:szCs w:val="16"/>
          <w:color w:val="auto"/>
        </w:rPr>
        <w:t>ecure plastic identity credentials and loyalty card products.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was incorporated in the State of Delaware on September 21, 2011, and changed our name to Ipsidy Inc. on February 1, 2017. In order to better align the branding of our Company with our future focus and goals on June 14, 2021 we changed our business name to “authID.ai”. To that end, we registered domain names under that name and applied for a United States trademark registration in that name.</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Common Stock is traded on the Nasdaq Capital Market under the trading symbol “AUID”. Our corporate headquarters is located at 670 Long Beach Blvd., Long Beach, NY 11561 and our main phone number is (516) 274-8700. We maintain a website at www.authid.ai. The information contained on, or that can be accessed through, our websites is not incorporated by reference into this prospectus and is intended for informational purposes only.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Market Opportunity</w:t>
      </w:r>
    </w:p>
    <w:p>
      <w:pPr>
        <w:spacing w:after="0" w:line="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disruption caused by the global COVID-19 pandemic since 2020 has contributed significantly to several market trends driving growth and demand for stronger, more secure identity verification and authentication solutions and services such as those authID.ai provides. A key trend is the accelerated pace of digital transformation at the enterprise level, driven largely by the increased demands for online goods and sharing-economy services by consumers, The shift to working from home, and the remote IT challenges this lifestyle change presents is also driving opportunities for strong workforce identity and application access authentication. Today, even as companies begin to announce return to work policies, data show that millions of workers will continue to work remotely, a long-term shift that will require enhanced security across many industry sectors.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Unfortunately, the increase in remote work and digital, non-face-to-face commerce has also resulted in increased fraud, phishing scams and cyber security risks. These trends, as well as increased regulation mandates by governments, whether Federal, State, local or international, are key drivers of the need for improved processes to verify and authenticate identities.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Transformation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Digital transformation, or the integration of digital technology into all areas of a business, is fundamentally changing how organizations operate and deliver value to customers. The global disruption of the last two years dramatically increased the need for organizations to be more agile to meet changing markets, evolving technology and consumer demands. According to IBM research, more than 60% of surveyed executives are using this period of change to rapidly advance their enterprise’s transformation. (IBM Institute for Business Value “Digital Transformation Report” 2021) A McKinsey Global Survey of executives found that companies have accelerated the digitization of their customer and supply-chain interactions and of their internal operations by three to four years (McKinsey, October 2020). According to Statista, spending on digital transformation in 2022 will reach $1.8 trillion, growing to $2.8 trillion by 2025. Statista also forecasts that as much as 65% of the world’s gross domestic product will be digitalized by 2022. (Statista “Spending on digital transformation technologies and services worldwide from 2017 to 2025” 2022).</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Digital and mobile technologies have significantly changed people’s lives in a remarkably short time, including how we work, shop, socialize and bank. Escalating increases in mobile application downloads for digital goods and services by even the most reluctant consumers, dramatically altered service delivery across broad market segments, creating lasting effects that we believe are likely to stay.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Enterprises that were able to, scrambled to reduce reliance on physical outlets and to drive customers to remote digital channels offering seamless and secure user experiences. Electronic services—from mobile banking to online grocery shopping to tele-medicine—have increased multifold within the past year.</w:t>
      </w:r>
    </w:p>
    <w:p>
      <w:pPr>
        <w:spacing w:after="0" w:line="18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Key to realizing digital transformation goals and driving revenue growth is collaborative trust between buyers and sellers delivered through a positive user experience (UX). Strong identity assurance that is established from day one and spans the entire customer online or in-person journey ensures that service providers and consumers, employers and employees that operate within the digital economy are who they say they are. Efficient and reliable identity assurance, reduces friction and improves user experience in the process.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MarketsandMarkets, the B2B research firm, projects that the global digital identity solutions market will grow from $23 billion in 2021 to $49.5 billion by 2026, at a CAGR of 16.3%. The company attributes this significant growth to the increase in identity-related frauds and data breaches, as well as compliance with existing and upcoming regulations. The firm further predicts that the market for digital identity and document verification services, a subset of the digital identity market, offers significant potential for growth opportunities, with revenues to rise to US$15.8 billion by 2025. (MarketsandMarkets </w:t>
      </w:r>
      <w:r>
        <w:rPr>
          <w:rFonts w:ascii="Arial" w:cs="Arial" w:eastAsia="Arial" w:hAnsi="Arial"/>
          <w:sz w:val="18"/>
          <w:szCs w:val="18"/>
          <w:i w:val="1"/>
          <w:iCs w:val="1"/>
          <w:color w:val="auto"/>
        </w:rPr>
        <w:t>“Digital Identity Market”</w:t>
      </w:r>
      <w:r>
        <w:rPr>
          <w:rFonts w:ascii="Arial" w:cs="Arial" w:eastAsia="Arial" w:hAnsi="Arial"/>
          <w:sz w:val="18"/>
          <w:szCs w:val="18"/>
          <w:color w:val="auto"/>
        </w:rPr>
        <w:t xml:space="preserve"> 2020 </w:t>
      </w:r>
      <w:r>
        <w:rPr>
          <w:rFonts w:ascii="Arial" w:cs="Arial" w:eastAsia="Arial" w:hAnsi="Arial"/>
          <w:sz w:val="18"/>
          <w:szCs w:val="18"/>
          <w:i w:val="1"/>
          <w:iCs w:val="1"/>
          <w:color w:val="auto"/>
        </w:rPr>
        <w:t>and “Identity Verification Market”</w:t>
      </w:r>
      <w:r>
        <w:rPr>
          <w:rFonts w:ascii="Arial" w:cs="Arial" w:eastAsia="Arial" w:hAnsi="Arial"/>
          <w:sz w:val="18"/>
          <w:szCs w:val="18"/>
          <w:color w:val="auto"/>
        </w:rPr>
        <w:t xml:space="preserve"> 2020).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 w:name="page7"/>
    <w:bookmarkEnd w:id="6"/>
    <w:p>
      <w:pPr>
        <w:jc w:val="both"/>
        <w:ind w:firstLine="648"/>
        <w:spacing w:after="0" w:line="296" w:lineRule="auto"/>
        <w:rPr>
          <w:sz w:val="20"/>
          <w:szCs w:val="20"/>
          <w:color w:val="auto"/>
        </w:rPr>
      </w:pPr>
      <w:r>
        <w:rPr>
          <w:rFonts w:ascii="Arial" w:cs="Arial" w:eastAsia="Arial" w:hAnsi="Arial"/>
          <w:sz w:val="16"/>
          <w:szCs w:val="16"/>
          <w:color w:val="auto"/>
        </w:rPr>
        <w:t>Forrester Research has stated that the average help desk labor cost for a single password reset is about $70. (Forrester Research “</w:t>
      </w:r>
      <w:r>
        <w:rPr>
          <w:rFonts w:ascii="Arial" w:cs="Arial" w:eastAsia="Arial" w:hAnsi="Arial"/>
          <w:sz w:val="16"/>
          <w:szCs w:val="16"/>
          <w:i w:val="1"/>
          <w:iCs w:val="1"/>
          <w:color w:val="auto"/>
        </w:rPr>
        <w:t>Best Practices:</w:t>
      </w:r>
      <w:r>
        <w:rPr>
          <w:rFonts w:ascii="Arial" w:cs="Arial" w:eastAsia="Arial" w:hAnsi="Arial"/>
          <w:sz w:val="16"/>
          <w:szCs w:val="16"/>
          <w:color w:val="auto"/>
        </w:rPr>
        <w:t xml:space="preserve"> </w:t>
      </w:r>
      <w:r>
        <w:rPr>
          <w:rFonts w:ascii="Arial" w:cs="Arial" w:eastAsia="Arial" w:hAnsi="Arial"/>
          <w:sz w:val="16"/>
          <w:szCs w:val="16"/>
          <w:i w:val="1"/>
          <w:iCs w:val="1"/>
          <w:color w:val="auto"/>
        </w:rPr>
        <w:t>Selecting, Deploying, And Managing Enterprise Password Managers</w:t>
      </w:r>
      <w:r>
        <w:rPr>
          <w:rFonts w:ascii="Arial" w:cs="Arial" w:eastAsia="Arial" w:hAnsi="Arial"/>
          <w:sz w:val="16"/>
          <w:szCs w:val="16"/>
          <w:color w:val="auto"/>
        </w:rPr>
        <w:t>” 2018) Forrester Research determined that large organizations spend up to $1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per year on staffing and infrastructure to handle password resets alone. Passwords are the leading cause of major security breaches and Verizon’s 2021 Data Breach report estimates that over 80% of breaches are caused by weak or stolen passwords. The ability to eliminate the need for passwords by enabling the consumer to easily and securely authenticate with their own biometrics represents a significant cost savings opportunity across all industries.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Remote Working</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Over the last two years, the pandemic’s stay-at-home mandates accelerated the transition to remote and hybrid work across many industries. According to the Pew Research Institute, roughly six-in-ten U.S. workers who say their jobs can mainly be done from home are working from home all or most of the time. This compares to the 23% who say they teleworked frequently before the coronavirus outbreak. (Pew Research Center “COVID-19 Pandemic Continues To Reshape Work in America” Feb 2022 ).With workers’ preferences for flexibility, companies are adapting their operations to meet the IT, security and mobility needs of a workforce that may never fully return to the traditional office setting. According to estimates by Gartner Inc, remote workers will represent 32% of all employees worldwide by the end of 2021, almost doubling in two years from 17% of employees in 2019. Gartner also estimates that 51% of all knowledge workers- those involved in knowledge-intensive occupations, such as writers, accountants, or engineers will be working remotely at least one day a week by the end of 2021, (Gartner, “Gartner Forecasts 51% of Global Knowledge Workers Will Be Remote by the End of 2021”, 2021 ).</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remote, decentralized teams can boost morale and productivity, remote work can also increase opportunities for hackers to infiltrate corporate networks. Enterprise IT organizations must now address new IT requirements and cyber challenges generated in the work from home environment. Studies have also shown that employees are more likely be distracted when working from home and more susceptible to phishing scams. According to Equifax, cyber-attacks are much more likely to occur through mundane errors like a user choosing an easy-to-guess password or not changing the default password on something like a router.</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To meet the increased enterprise security and mobility needs of this expanded remote workforce, IT decision makers are reassessing their data protection strategies in an effort to secure these remote workers and protect company assets. While IT continues to drive password hygiene through security training sessions, we believe legacy tools like one-time pin codes and knowledge-based authentication are no longer effective in mitigating risks.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result is increased demand for next-generation biometric authentication technology and a greater urgency to transform quickly. According to Ranjit Atwal, Senior Research Director at Gartner, “Through 2024, organizations will be forced to bring forward digital business transformation plans by at least five years. Those plans will have to adapt to a post-COVID-19 world that involves permanently higher adoption of remote work and digital touchpoints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Increase in Identity Fraud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Unfortunately, with this increased demand for online services, remote working and digital convenience, organizations also face another proliferating challenge – the need to improve cybersecurity measures. We believe that never before, have criminals been so active in using stolen data or credential-stuffing attacks in attempts to infiltrate corporate networks.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According to Statista, over 11,000 data breaches have occurred in the United States since 2005 with more than 1.7 billion individual records breached (Statista “</w:t>
      </w:r>
      <w:r>
        <w:rPr>
          <w:rFonts w:ascii="Arial" w:cs="Arial" w:eastAsia="Arial" w:hAnsi="Arial"/>
          <w:sz w:val="17"/>
          <w:szCs w:val="17"/>
          <w:i w:val="1"/>
          <w:iCs w:val="1"/>
          <w:color w:val="auto"/>
        </w:rPr>
        <w:t>Annual number of data breaches and exposed records in the United States from 2005 to 1st half 2020”</w:t>
      </w:r>
      <w:r>
        <w:rPr>
          <w:rFonts w:ascii="Arial" w:cs="Arial" w:eastAsia="Arial" w:hAnsi="Arial"/>
          <w:sz w:val="17"/>
          <w:szCs w:val="17"/>
          <w:color w:val="auto"/>
        </w:rPr>
        <w:t xml:space="preserve"> 2021). Recent research conducted by the Identity Theft Resource Center reported a total of 1,862 data breaches in 2021, surpassing both 2020’s total of 1,108 and 23% higher than the previous record of 1,506 set in 2017. (Identity Theft Resource Center “2021 Data Breach Report”, 2022).</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Verizon’s 2021 Data Breach Investigations Report found that phishing efforts by hackers to entice users to ‘reveal’ passwords were present in 36% of breaches in 2020, up from 25% in 2019. Ransomware attacks are also on the rise, with almost 85% of ransomware attacks showing evidence of credential theft activity (Coveware “Quarterly Ransomware Report”,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Digital transformation efforts must address these risks.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The Drive for Zero Trust Security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First coined in 2010, by Forrester analyst John Kindervag, the term ‘Zero Trust’ declares that all network traffic is untrusted and that any request to access any resource must be done securely. (Forrester Research “Build Security Into Your Network’s DNA: The Zero Trust Network Architecture”, 2010). Zero Trust requires that all users, both inside or outside the organization’s network, be authenticated before being allowed to access applications and data.</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2021, as the rate of cybercrime, digital fraud and ransomware spiraled upward, the Biden Administration issued an executive order (the “Biden Order”) calling on the U.S. government to institute “bold changes and significant investments” in security measures to better insulate federal networks from attack. This was followed by the White House Office of Management and Budget in October 2021 defining a “zero trust” strategy, outlining the security architecture required to overhaul federal cybersecurity practices. In January 2022, the Administration gave federal agencies until the end of the fiscal year 2024 to “achieve specific zero trust security goals.”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Zero Trust approach will likely further drive nationwide adoption of multi-factor authentication (MFA), the requirement of additional verification factors, so users cannot log in with just a username and password. Solutions for achieving zero trust are not likely to include legacy MFA options like vulnerable one-time pin codes or easy-to-discover, knowledge-based questions like “What was the make of your first car?” The Biden Order specifically stated that “agency systems must discontinue support for authentication methods that fail to resist phishing, including protocols that register phone numbers for SMS or voice calls, supply one-time codes, or receive push notifications” Attacks on these legacy methods have proven enterprises will need stronger authentication alternatives to establish trust and defend against highly sophisticated cybercriminal networks.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Biden Order is expected to drive deployment of upgraded security methods by both the federal government and private sector businesses that contract with the government. We may also expect to see a change from security vendors and enterprise organizations across a range of market segments, as they look to the Biden Order for guidance. In the post-COVID-19 scenario, the global zero trust security market size is projected to grow from USD 19.6 billion in 2020 to USD 51.6 billion by 2026, recording a compound annual growth rate (CAGR) of 17.4% from 2020 to 2026 (MarketsandMarkets, “Zero-Trust Security Market”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Identity Verification Impact Across Sectors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Financial services, ecommerce and the shared economy, and healthcare are confronted by the challenges of identifying their customers, patients and benefits recipients with ease and certainty in the digital world. Organizations across all sectors need to control access to their data and technology systems by their employees. Governments around the world are imposing new data privacy and authentication regulations, which also impose a “call to action” for many of these businesses and organizations. authID.ai’s approach is to offer our products to enterprises and organizations for their customers in a Customer Identity &amp; Access Management (“CIAM”) model as well as for their employees in a workforce model.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 &amp; Fintech</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Financial services institutions are facing a range of digital transformation challenges and a growth in the embrace of non-traditional fin-tech providers, such as non-bank lending companies, peer-to-peer mobile payment apps and the rapid emergence of cryptocurrencies, NFT’s and other digital assets exchanges. Key to this effort is providing enhanced digital customer experience while balancing the need for high assurance identity authentication to prevent fraud and account take-over throughout the customer journey,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both"/>
        <w:ind w:firstLine="648"/>
        <w:spacing w:after="0" w:line="290" w:lineRule="auto"/>
        <w:rPr>
          <w:sz w:val="20"/>
          <w:szCs w:val="20"/>
          <w:color w:val="auto"/>
        </w:rPr>
      </w:pPr>
      <w:r>
        <w:rPr>
          <w:rFonts w:ascii="Arial" w:cs="Arial" w:eastAsia="Arial" w:hAnsi="Arial"/>
          <w:sz w:val="16"/>
          <w:szCs w:val="16"/>
          <w:color w:val="auto"/>
        </w:rPr>
        <w:t>Convenience, however, traditionally opposes stronger identity assurance – the easier it is to open or access an account, the less safeguards there may be to prevent fraud. Javelin Strategy &amp; Research found that in 2020 identity fraud losses in the financial services industry grew to $56 billion. (Javelin Strategy &amp; Research “2020 Identity Fraud Report” 2020). The study reported that identity fraud scams that targeted consumers directly to steal passwords and other personally identifiable information accounted for $43 billion of that cost. LexisNexis found that the cost of fraud for U.S. financial services and lending firms has increased, with every $1 of fraud loss now costing U.S. financial services firms $4, up 25% from 2019. Their study also found that fraudsters followed consumer’s pandemic shift towards mobile transactions, with more than half of surveyed financial services firms reporting a 10% or greater increase in fraud in the mobile channel. (“LexisNexis® True Cost of Fraud™ Study: Financial Services &amp; Lending”, 2021). And with 40% of all fraudulent activity related to account takeover reported to occur within a day after the attack, the need for strong customer authentication is critical.</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Experts recommend that efforts to combat this fraud must focus on moving consumers from static passwords to safer authentication methods. According to Gartner, their clients are increasingly seeking “passwordless” authentication methods such as FIDO2 Strong Authentication to improve user experience (UX) and enhance security by eliminating centrally stored passwords—a key target for cyber criminals (Gartner Research Ibid). Goode Intelligence believes that mobile biometrics are key to securely effecting this transformation and forecasts that over $5.8 trillion of mobile biometric payments will be made annually and over three billion biometric payment users by 2026. (Goode Intelligence “Mobile Biometrics for Financial Services; Market and Technology Analysis, Adoption Strategies and Forecasts 2021-2026”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&amp; Shared Economy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Good consumer experience and personalization is key to driving revenue growth in e-commerce and the shared economy. Biometric identity verification seamlessly integrated into online experiences can reduce friction for first-time buyers who are uninterested in opening accounts before completing their orders or for return customers who expect online purchases to be seamless and secure. A survey of 7,000 North American and European consumers indicated that 92 percent expect digital retail experiences to be fast, frictionless and secure, and 73 percent believe account creation or online transactions should happen instantly. Allowing users to identify themselves with their trusted biometrics not only foils the scammers, but it is also a more effortless and elegant user interface.</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last year, both traditional and online retailers were driven by the COVID-19 pandemic to meet the surge in demand for online fulfilment. According to Digital Commerce360 estimates, consumers spent more than $860 billion online with U.S. merchants in 2020, up 44.0% year over year. That increase is purported to be the highest annual U.S. ecommerce growth in at least two decades, and is nearly triple the 15.1% increase in 2019 over 2018.</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sharing economy is expected to grow to $335 billion by 2025 (Statista, “</w:t>
      </w:r>
      <w:r>
        <w:rPr>
          <w:rFonts w:ascii="Arial" w:cs="Arial" w:eastAsia="Arial" w:hAnsi="Arial"/>
          <w:sz w:val="17"/>
          <w:szCs w:val="17"/>
          <w:i w:val="1"/>
          <w:iCs w:val="1"/>
          <w:color w:val="auto"/>
        </w:rPr>
        <w:t>Value of the sharing economy worldwide in 2014 and 2025</w:t>
      </w:r>
      <w:r>
        <w:rPr>
          <w:rFonts w:ascii="Arial" w:cs="Arial" w:eastAsia="Arial" w:hAnsi="Arial"/>
          <w:sz w:val="17"/>
          <w:szCs w:val="17"/>
          <w:color w:val="auto"/>
        </w:rPr>
        <w:t>” 2020). In the sharing economy where assets owned by members of a network can be temporarily accessed by other members of the network, collaborative trust between buyers and sellers is paramount. Identity verification is critical for security and adherence to regulatory requirements such as validating driving or criminal history, age verification, and credit history. Secure biometric identification ensures that service providers and consumers within the sharing economy are who they say they are, reduces friction and improves user experience in the process.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Since 2020, remote healthcare services have expanded exponentially - virtual urgent-care visits spiked by 683% between March and April 2020, while virtual, nonurgent care visits grew by an unprecedented 4,345%. (Journal of the American Medical Informatics Association “COVID-19 transforms health care through telemedicine: Evidence from the field” 2020). ResearchAndMarkets predicts that the global telemedicine market will increase to a value of $144.2 billion by 2030, from $27.8 billion in 2019. (ResearchAndMarkets “Telemedicine Market Research Report to 2030”. 2020).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 w:name="page10"/>
    <w:bookmarkEnd w:id="9"/>
    <w:p>
      <w:pPr>
        <w:jc w:val="both"/>
        <w:ind w:firstLine="648"/>
        <w:spacing w:after="0" w:line="311" w:lineRule="auto"/>
        <w:rPr>
          <w:sz w:val="20"/>
          <w:szCs w:val="20"/>
          <w:color w:val="auto"/>
        </w:rPr>
      </w:pPr>
      <w:r>
        <w:rPr>
          <w:rFonts w:ascii="Arial" w:cs="Arial" w:eastAsia="Arial" w:hAnsi="Arial"/>
          <w:sz w:val="16"/>
          <w:szCs w:val="16"/>
          <w:color w:val="auto"/>
        </w:rPr>
        <w:t>Unfortunately, with this shift to remote care, a record of weak authentication practices such as shared passwords, and a trove of rich personal data, the healthcare market is believed to be even more susceptible to identity fraud. Further, IBM reported that data breaches in the healthcare sector had the highest average cost amounting to $7.13 million per breach amid the COVID-19 pandemic (IBM Security “Cost of Data Breach Report 2020” 2020).</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Medical identity theft has an annual economic impact of around $41 billion a year and the value of stolen medical information is 10 times the value of stolen credit cards. Identity thieves can use compromised medical records to acquire medical treatment, receive elective surgery, and even fill prescriptions using the victim’s personal details. In one study, 20 percent of victims indicated they got the wrong diagnosis or treatment, or that their care was delayed because there was confusion about what was true in their records due to identity theft. In addition, because there are currently no regulatory consumer protections in place that limit the financial liabilities for medical identity fraud, the average out-of-pocket cost to victims is $13,500 (Medical Identity Fraud Alliance).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FIDO Alliance – The Mission To Eliminate Passwords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reliance on passwords has long been acknowledged as highly frustrating for users, costly for organizations to maintain and reset quickly, as well as one of the weakest security practices for user authentication. The reuse of the same passwords by individuals across multiple sites, the massive data breaches targeting user credentials, and widespread phishing efforts by hackers to entice users to ‘reveal’ passwords create security risks for every organization.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FIDO (Fast Identity Online) Alliance was formed in 2012 to address the security risks to enterprises and the problems individual users face in creating and remembering multiple usernames and passwords. FIDO compliant solutions eliminate passwords by using the combination of biometric verification and device authentication via cryptographic security, thereby speeding up and securing user login. FIDO Alliance members include global leaders and household names in technology and across enterprise software, payments, banking, telecom, ecommerce, identity, government, and healthcare (https://fidoalliance.org/members/). This cross-industry coalition works jointly to develop interoperable authentication standards that reduce reliance on passwords with authentication that is more secure, private, and easier to use.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Privacy Regulations (Ethical AI)</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business, governmental and other sectors of society are impacted by the need for organizations to comply with increasing data privacy and authentication regulations. The European Union has led the way with its General Data Protection Regulation, or GDPR, widely considered the gold standard of data privacy regulation, and other jurisdictions around the world are scrambling to catch up. The United States has been slow and has only limited regulation at the federal level, which applies only to specific industries such as the Health Insurance Portability and Accountability Act, or HIPAA. It is therefore falling to the States and local authorities to adopt data privacy requirements such as the California Consumer Privacy Act or CCP and Illinois’ Biometric Information Privacy Act or BIPA, which are being cloned by other jurisdictions. We believe that this growing trend will impose an urgency on organizations of all descriptions to improve their data security and privacy processes, and we believe that biometric identity verification will be a key part of the solution.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dedicated to developing advanced methods of protecting consumer privacy and deploying ethical and socially responsible AI. authID is developing a culture that proactively encourages and rewards our employees for considering the ethical implications of our products. Our products are critical to onboarding consumers globally into the digital economy, while better securing their assets and privacy.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a proactive commitment to ethical AI presents a strong business opportunity for authID and will enable us to bring more accurate products to market more quickly and with less risk to better serve our global user base. Our methods to achieve ethical AI include engaging the users of our products with informed consent, prioritizing the security of our user’s personal information, considering and avoiding potential bias in our algorithms, and monitoring of algorithm performance in our applications.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Solutions and Products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established our Identity as a Service Platform with internally developed software as well as acquired and licensed technology, which provide the following services: (1) biometric capture and matching (e.g. for faces, voices and fingerprints); (2) remote document collection and authentication; (3) multi-factor authentication and passwordless login; and (4) step-up verification for electronic transactions (e.g. for high value payment transactions).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Verified</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Identity as a Service (IDaaS) Platform Solutions</w:t>
      </w:r>
    </w:p>
    <w:p>
      <w:pPr>
        <w:spacing w:after="0" w:line="13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authID’s customers can leverage our Verified IDaaS Platform by using a simple API integration</w:t>
      </w:r>
      <w:r>
        <w:rPr>
          <w:rFonts w:ascii="Arial" w:cs="Arial" w:eastAsia="Arial" w:hAnsi="Arial"/>
          <w:sz w:val="16"/>
          <w:szCs w:val="16"/>
          <w:b w:val="1"/>
          <w:bCs w:val="1"/>
          <w:color w:val="auto"/>
        </w:rPr>
        <w:t>.</w:t>
      </w:r>
      <w:r>
        <w:rPr>
          <w:rFonts w:ascii="Arial" w:cs="Arial" w:eastAsia="Arial" w:hAnsi="Arial"/>
          <w:sz w:val="16"/>
          <w:szCs w:val="16"/>
          <w:color w:val="auto"/>
        </w:rPr>
        <w:t xml:space="preserve"> The product suite includes a range of developer integration tools and documentation that help our customers and systems integrator partners easily configure their identity and transaction authentication solutions via integration to our secure RESTful API’s. Our platform is designed to support a wide variety of identity and electronic transactions across a broad range of verticals. Our technical implementation team can assist our customers and systems integrators to configure the API calls to our platform, and mobile biometric identity authentication services to meet a specific commercial, geographic or market need. We can thereby provide the next level of transaction security, control and certainty for everyday transactions. We also make certain services available without integration, using our CloudConnect integrations to identity access management (IAM) and financial services technology vendors. The Company has the following IDaaS platform capabilities:</w:t>
      </w:r>
    </w:p>
    <w:p>
      <w:pPr>
        <w:spacing w:after="0" w:line="165" w:lineRule="exact"/>
        <w:rPr>
          <w:sz w:val="20"/>
          <w:szCs w:val="20"/>
          <w:color w:val="auto"/>
        </w:rPr>
      </w:pPr>
    </w:p>
    <w:p>
      <w:pPr>
        <w:jc w:val="both"/>
        <w:ind w:left="980" w:hanging="324"/>
        <w:spacing w:after="0" w:line="229" w:lineRule="auto"/>
        <w:tabs>
          <w:tab w:leader="none" w:pos="98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b w:val="1"/>
          <w:bCs w:val="1"/>
          <w:color w:val="auto"/>
        </w:rPr>
        <w:t>VERIFIED</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Our cloud-based multi-factor authentication solution, provides any bank, enterprise or government department a secure,</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convenient application for identity verification and transaction consent as part of any type of electronic transaction, for example when device-based authentication is not available or sufficient. Integration to the authID platform allows an enterprise to utilize biometric authentication solution that meets their needs to secure high-risk transactions with higher level of certainty. The authID APIs provide a simple and secure way to access our IDaaS Platform with a user experience that seamlessly integrates into our customers’ applications. Users can authenticate their identity through a mobile phone or portable device of their choosing (as opposed to dedicated hardware). The solution includes a detailed audit trail created for each transaction, containing the digitally signed transaction details with proof of identity authentication and consent.</w:t>
      </w:r>
    </w:p>
    <w:p>
      <w:pPr>
        <w:spacing w:after="0" w:line="207" w:lineRule="exact"/>
        <w:rPr>
          <w:rFonts w:ascii="Arial" w:cs="Arial" w:eastAsia="Arial" w:hAnsi="Arial"/>
          <w:sz w:val="36"/>
          <w:szCs w:val="36"/>
          <w:color w:val="auto"/>
          <w:vertAlign w:val="superscript"/>
        </w:rPr>
      </w:pPr>
    </w:p>
    <w:p>
      <w:pPr>
        <w:jc w:val="both"/>
        <w:ind w:left="980" w:hanging="324"/>
        <w:spacing w:after="0" w:line="246" w:lineRule="auto"/>
        <w:tabs>
          <w:tab w:leader="none" w:pos="980" w:val="left"/>
        </w:tabs>
        <w:numPr>
          <w:ilvl w:val="0"/>
          <w:numId w:val="3"/>
        </w:numPr>
        <w:rPr>
          <w:rFonts w:ascii="Arial" w:cs="Arial" w:eastAsia="Arial" w:hAnsi="Arial"/>
          <w:sz w:val="34"/>
          <w:szCs w:val="34"/>
          <w:color w:val="auto"/>
          <w:vertAlign w:val="superscript"/>
        </w:rPr>
      </w:pPr>
      <w:r>
        <w:rPr>
          <w:rFonts w:ascii="Arial" w:cs="Arial" w:eastAsia="Arial" w:hAnsi="Arial"/>
          <w:sz w:val="17"/>
          <w:szCs w:val="17"/>
          <w:b w:val="1"/>
          <w:bCs w:val="1"/>
          <w:color w:val="auto"/>
        </w:rPr>
        <w:t>PROOF</w:t>
      </w:r>
      <w:r>
        <w:rPr>
          <w:rFonts w:ascii="Arial" w:cs="Arial" w:eastAsia="Arial" w:hAnsi="Arial"/>
          <w:sz w:val="27"/>
          <w:szCs w:val="27"/>
          <w:b w:val="1"/>
          <w:bCs w:val="1"/>
          <w:color w:val="auto"/>
          <w:vertAlign w:val="superscript"/>
        </w:rPr>
        <w:t>TM</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establishes the trusted identity of users based on a variety of ground truth sources, including chip based electronic machine-readable travel documents (or eMRTDs), national IDs, driver’s licenses, as well as through direct verification by national registries and other international databases. Using government issued identity documents, Proof can evaluate the validity of the document and biometrically match the reference picture of the document with a live user’s selfie (or, a photograph that one has taken of oneself, typically using a smartphone). Proof ensures that the person presenting the identity is its legitimate owner and is physically present, thereby establishing trust that the enterprise is interacting with the true account owner. This product can eliminate the need for costly face-to-face, in-person ID checks and instead can provide a verified identity in seconds. In a world of increasing fraud and security threats, Proof offers our customers confidence in the identities of customers, employees or visitors. In 2021 an international bank and a Credit Union Platform in the US launched services with us to use Proof to securely onboard new retail customers.</w:t>
      </w:r>
    </w:p>
    <w:p>
      <w:pPr>
        <w:spacing w:after="0" w:line="196" w:lineRule="exact"/>
        <w:rPr>
          <w:rFonts w:ascii="Arial" w:cs="Arial" w:eastAsia="Arial" w:hAnsi="Arial"/>
          <w:sz w:val="34"/>
          <w:szCs w:val="34"/>
          <w:color w:val="auto"/>
          <w:vertAlign w:val="superscript"/>
        </w:rPr>
      </w:pPr>
    </w:p>
    <w:p>
      <w:pPr>
        <w:jc w:val="both"/>
        <w:ind w:left="980" w:hanging="324"/>
        <w:spacing w:after="0" w:line="229" w:lineRule="auto"/>
        <w:tabs>
          <w:tab w:leader="none" w:pos="98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b w:val="1"/>
          <w:bCs w:val="1"/>
          <w:color w:val="auto"/>
        </w:rPr>
        <w:t>AUTHENTIFID</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delivers trusted FIDO2 strong authentication for device-based passwordless login and transaction authentication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tied to a trusted identity. AuthentifID establishes a digital chain of trust between biometrically verified individuals, their accounts, and their devices. AuthentifID eliminates password vulnerabilities and stops phishing attacks to protect users and systems against account takeovers, sim swap attacks, and man-in-the-middle attacks. The service can reduce costs of expensive password resets and increase customer satisfaction by getting rid of often forgotten or detectable secret questions (knowledge-based authentication or KBA) or one-time passcodes (or OTP). AuthentifID leverages the digital chain of trust between the user’s proven identity and biometrics, thereby enabling seamless, self-service identity affirmation when a user adds, or replaces their device a more cost-effective solution that does not require live support desk assistance.</w:t>
      </w:r>
    </w:p>
    <w:p>
      <w:pPr>
        <w:spacing w:after="0" w:line="207" w:lineRule="exact"/>
        <w:rPr>
          <w:rFonts w:ascii="Arial" w:cs="Arial" w:eastAsia="Arial" w:hAnsi="Arial"/>
          <w:sz w:val="36"/>
          <w:szCs w:val="36"/>
          <w:color w:val="auto"/>
          <w:vertAlign w:val="superscript"/>
        </w:rPr>
      </w:pPr>
    </w:p>
    <w:p>
      <w:pPr>
        <w:jc w:val="both"/>
        <w:ind w:left="980"/>
        <w:spacing w:after="0" w:line="301" w:lineRule="auto"/>
        <w:rPr>
          <w:rFonts w:ascii="Arial" w:cs="Arial" w:eastAsia="Arial" w:hAnsi="Arial"/>
          <w:sz w:val="36"/>
          <w:szCs w:val="36"/>
          <w:color w:val="auto"/>
          <w:vertAlign w:val="superscript"/>
        </w:rPr>
      </w:pPr>
      <w:r>
        <w:rPr>
          <w:rFonts w:ascii="Arial" w:cs="Arial" w:eastAsia="Arial" w:hAnsi="Arial"/>
          <w:sz w:val="16"/>
          <w:szCs w:val="16"/>
          <w:color w:val="auto"/>
        </w:rPr>
        <w:t>Using public-key cryptography united with “one-touch” biometrics and/or security keys, AuthentifID also enables convenient and secure compliance with European Union-wide PSD2 strong customer authentication requirements. AuthentifID enables consumers to use biometric authentication with any FIDO2 registered device and AuthentifID can help organizations comply with applicable privacy laws. In 2021 Hamilton Reserve Bank launched services with us to use AuthentifID in order to provide added security to users of its banking systems.</w:t>
      </w:r>
    </w:p>
    <w:p>
      <w:pPr>
        <w:spacing w:after="0" w:line="153" w:lineRule="exact"/>
        <w:rPr>
          <w:rFonts w:ascii="Arial" w:cs="Arial" w:eastAsia="Arial" w:hAnsi="Arial"/>
          <w:sz w:val="36"/>
          <w:szCs w:val="36"/>
          <w:color w:val="auto"/>
          <w:vertAlign w:val="superscript"/>
        </w:rPr>
      </w:pPr>
    </w:p>
    <w:p>
      <w:pPr>
        <w:jc w:val="both"/>
        <w:ind w:left="980" w:hanging="324"/>
        <w:spacing w:after="0" w:line="266"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IDENTITY - PORTAL </w:t>
      </w:r>
      <w:r>
        <w:rPr>
          <w:rFonts w:ascii="Arial" w:cs="Arial" w:eastAsia="Arial" w:hAnsi="Arial"/>
          <w:sz w:val="18"/>
          <w:szCs w:val="18"/>
          <w:color w:val="auto"/>
        </w:rPr>
        <w:t>enables enterprises to get started with our identity products without any integration. The portal allows our enterprise</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to biometrically verify identity of their users or authenticate transactions with a biometric audit trail simply by initiating transactions from the Portal.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Other Identity Products</w:t>
      </w:r>
    </w:p>
    <w:p>
      <w:pPr>
        <w:spacing w:after="0" w:line="225" w:lineRule="exact"/>
        <w:rPr>
          <w:sz w:val="20"/>
          <w:szCs w:val="20"/>
          <w:color w:val="auto"/>
        </w:rPr>
      </w:pPr>
    </w:p>
    <w:p>
      <w:pPr>
        <w:jc w:val="both"/>
        <w:ind w:left="980" w:hanging="324"/>
        <w:spacing w:after="0" w:line="213" w:lineRule="auto"/>
        <w:tabs>
          <w:tab w:leader="none" w:pos="98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b w:val="1"/>
          <w:bCs w:val="1"/>
          <w:color w:val="auto"/>
        </w:rPr>
        <w:t>SEARCH</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Our biometric matching software, comprising front-end application software for desktop fingerprint capture, and image</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as well as a back-end fingerprint matching software solution using our own proprietary algorithms and includes an identity management system SEARCH has been successfully used for public elections in Africa, as well as for a governmental application in the United States.</w:t>
      </w:r>
    </w:p>
    <w:p>
      <w:pPr>
        <w:spacing w:after="0" w:line="198" w:lineRule="exact"/>
        <w:rPr>
          <w:rFonts w:ascii="Arial" w:cs="Arial" w:eastAsia="Arial" w:hAnsi="Arial"/>
          <w:sz w:val="36"/>
          <w:szCs w:val="36"/>
          <w:color w:val="auto"/>
          <w:vertAlign w:val="superscript"/>
        </w:rPr>
      </w:pPr>
    </w:p>
    <w:p>
      <w:pPr>
        <w:ind w:left="980" w:right="20" w:hanging="324"/>
        <w:spacing w:after="0" w:line="28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CARDSPLUS </w:t>
      </w:r>
      <w:r>
        <w:rPr>
          <w:rFonts w:ascii="Arial" w:cs="Arial" w:eastAsia="Arial" w:hAnsi="Arial"/>
          <w:sz w:val="18"/>
          <w:szCs w:val="18"/>
          <w:color w:val="auto"/>
        </w:rPr>
        <w:t>Secure plastic identity credentials and loyalty card products, currently being sold in Africa. Opportunities exist to expand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w:t>
      </w:r>
    </w:p>
    <w:p>
      <w:pPr>
        <w:spacing w:after="0" w:line="225" w:lineRule="exact"/>
        <w:rPr>
          <w:sz w:val="20"/>
          <w:szCs w:val="20"/>
          <w:color w:val="auto"/>
        </w:rPr>
      </w:pPr>
    </w:p>
    <w:p>
      <w:pPr>
        <w:jc w:val="both"/>
        <w:ind w:left="980" w:hanging="324"/>
        <w:spacing w:after="0" w:line="203" w:lineRule="auto"/>
        <w:tabs>
          <w:tab w:leader="none" w:pos="98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b w:val="1"/>
          <w:bCs w:val="1"/>
          <w:color w:val="auto"/>
        </w:rPr>
        <w:t>TRANXA</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Multi-application payment gateway and switch that provides payment solutions for online retailers and physical merchant</w:t>
      </w:r>
      <w:r>
        <w:rPr>
          <w:rFonts w:ascii="Arial" w:cs="Arial" w:eastAsia="Arial" w:hAnsi="Arial"/>
          <w:sz w:val="18"/>
          <w:szCs w:val="18"/>
          <w:b w:val="1"/>
          <w:bCs w:val="1"/>
          <w:color w:val="auto"/>
        </w:rPr>
        <w:t xml:space="preserve"> </w:t>
      </w:r>
      <w:r>
        <w:rPr>
          <w:rFonts w:ascii="Arial" w:cs="Arial" w:eastAsia="Arial" w:hAnsi="Arial"/>
          <w:sz w:val="18"/>
          <w:szCs w:val="18"/>
          <w:color w:val="auto"/>
        </w:rPr>
        <w:t>locations, currently being offered in Colombia. The Tranxa gateway platform operates in Colombia and powers the Company’s bill payment and money transmission services for customers of the Colombian Post Office 4/72.</w:t>
      </w:r>
    </w:p>
    <w:p>
      <w:pPr>
        <w:spacing w:after="0" w:line="204" w:lineRule="exact"/>
        <w:rPr>
          <w:rFonts w:ascii="Arial" w:cs="Arial" w:eastAsia="Arial" w:hAnsi="Arial"/>
          <w:sz w:val="36"/>
          <w:szCs w:val="36"/>
          <w:color w:val="auto"/>
          <w:vertAlign w:val="superscript"/>
        </w:rPr>
      </w:pPr>
    </w:p>
    <w:p>
      <w:pPr>
        <w:ind w:left="980" w:hanging="324"/>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unattended kiosk application and backend management system, which when integrated with a transit ticketing system, facilitates fare collection and electronic ticketing for transit systems. The Company is currently discussing the termination of the lease with the lessee.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achieve our goals of increasing our product penetration in the identity authentication market, the following plans comprise our growth strategy. authID intends to expand our focus on channel partners, by signing payment processors, system integrators and additional software suppliers. We are also working to augment our go-to-market model with a new self-service fulfilment model to enable our customers to directly purchase and integrate our identity software products. The Company also intends to increase its investment in developing, patenting and acquiring the various elements necessary to enhance our IDaaS platform, which are intended to allow us to achieve our growth goals.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Channel Strategy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intend to expand upon our channel strategy in order to bring our products to a broad market in an efficient and cost-effective way. We have signed and are pursuing channel partners that play a key role in their respective verticals, including become a member of the Temenos Marketplace, a digital technology provider for banks and the Auth0 Marketplace, a catalog of trusted technology integrations that extend the functionality of Auth0’s identity management platform. Our agreement with CU Next Gen provides integration to technology for credit unions in the United States. We are also pursuing additional strategic partners, including payment processors, system integrators and software suppliers.</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These channel partners provide access to their wide-ranging enterprise customer portfolios, including new fintech disruptors, merchant services, ecommerce and sharing economy businesses, all of whom we believe could benefit from the use of our identity verification and authentication software products. By entering into agreements with such channel partners and leveraging their relationships, we believe we can expand our footprint much more rapidly and cost effectively, as compared to pursuing direct sales efforts with each customer. Moving forward, we intend to build a small, high-touch, strategic sales team to identify new use cases and drive expansion and standardization on authID within our partners’ customer portfolios.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Self-Service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intend to enhance our sales model by enabling self-service options for our identity authentication products to efficiently reach the small and medium sized business segment in the United States as well as technology disruptors who require quick and easy use of our platform for authenticating their users. Our planned self-service offerings are intended to increase software developer and IT operator familiarity with our products and lead to quicker deployment of our products by our customers. Customers can then expand the use-cases of our services either through self-service deployment, or with the assistance of our customer success team. We also intend to expand our digital marketing efforts to drive prospective customers to the self-service portal, and therefore limit the need for extensive outbound sales efforts.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banking, fintech, traditional retailer, online e-tailers, and sharing economy providers continue to drive digital transformation across their channels, we aim to be at the forefront by developing new software products that leverage our platform and core competencies in biometric identity authentication. Our focus on innovation, is intended to add value to and retain our existing customers, as well as attract new customers. authID intends to build on its patent pending solutions by using machine learning to enhance the artificial intelligence capabilities of our IDaaS software and platform. We intend to build a team focused on artificial intelligence, employing leading data scientists and machine learning experts. Their mission will be to make the authID biometric authentication platform the fastest and most accurate in the market, and then to continually improve our platform to maintain our leading position.</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Consumer frustration with passwords, along with phishing attacks, social engineering and data breaches have driven the need to eliminate passwords and accelerate adoption of multifactor security across all channels. Today there are more than 5 billion smartphones, laptops and tablets around the world that can be used as secure authentication devices to access online services and authorize transactions. These trends are driving the need for a simple, secure, and fast way to manage device registration and deregistration. By combining our patent pending methods for single message authentication, authorization, and audit, and for device registration through strong identity verification, authID has created an Identity Recovery (IDR) software product that puts device management in the control of the account owner. By eliminating the need for users to contact a support center, this product helps our enterprise customers reduce their systems and personnel costs for supporting users attempting to recover their identity or register a new device for authentication.</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an agreement with LoginID, under which we have jointly developed a FIDO2 compliant strong authentication solution, which we offer as AuthentifID. The AuthentifID service is intended to address the growing demand across all verticals for eliminating the security risks, operational costs, and consumer dissatisfaction with passwords. We also became a member of the FIDO Alliance, the leading international organization comprising global leaders in technology that help establish best practices for FIDO authentication deployment. FIDO compliant solutions eliminate passwords by using the combination of biometric verification and device authentication via cryptographic security, thereby speeding up and securing user login. By combining our core technologies, we have enhanced our IDaaS platform to offer device-based multi-factor identity software to complement our biometric multi-factor authentication product in order to support secure login as well as a broader set of electronic transactions.</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November 2021, the Company received a US patent for </w:t>
      </w:r>
      <w:r>
        <w:rPr>
          <w:rFonts w:ascii="Arial" w:cs="Arial" w:eastAsia="Arial" w:hAnsi="Arial"/>
          <w:sz w:val="17"/>
          <w:szCs w:val="17"/>
          <w:i w:val="1"/>
          <w:iCs w:val="1"/>
          <w:color w:val="auto"/>
        </w:rPr>
        <w:t>Systems and Methods Using a Primary Account Number to Represent Identity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Attributes </w:t>
      </w:r>
      <w:r>
        <w:rPr>
          <w:rFonts w:ascii="Arial" w:cs="Arial" w:eastAsia="Arial" w:hAnsi="Arial"/>
          <w:sz w:val="17"/>
          <w:szCs w:val="17"/>
          <w:color w:val="auto"/>
        </w:rPr>
        <w:t>(the ’777 Patent”). The ’777 Patent is for a method that enables various attributes of the individual, to be securely linked to a Primary Account</w:t>
      </w:r>
      <w:r>
        <w:rPr>
          <w:rFonts w:ascii="Arial" w:cs="Arial" w:eastAsia="Arial" w:hAnsi="Arial"/>
          <w:sz w:val="17"/>
          <w:szCs w:val="17"/>
          <w:i w:val="1"/>
          <w:iCs w:val="1"/>
          <w:color w:val="auto"/>
        </w:rPr>
        <w:t xml:space="preserve"> </w:t>
      </w:r>
      <w:r>
        <w:rPr>
          <w:rFonts w:ascii="Arial" w:cs="Arial" w:eastAsia="Arial" w:hAnsi="Arial"/>
          <w:sz w:val="17"/>
          <w:szCs w:val="17"/>
          <w:color w:val="auto"/>
        </w:rPr>
        <w:t>Number (PAN) to authenticate the user’s identity. The PAN of a user may then be used for identifying a user, without any sensitive data being released, as well as used to provide access, such as accessing a bank account, or other payment method of the user. The PAN has become the most ubiquitous way of processing credit card and other payment transactions, which can be sent over established communications networks between banks and merchants anywhere in the world. Using this invention, identity authentication transactions can be authorized via the individual’s biometrics, such as the user’s unique facial features and routed over the same networks in the same way as payment transactions.</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February 2022, the Company received a Notice of Allowance for its US patent application “</w:t>
      </w:r>
      <w:r>
        <w:rPr>
          <w:rFonts w:ascii="Arial" w:cs="Arial" w:eastAsia="Arial" w:hAnsi="Arial"/>
          <w:sz w:val="16"/>
          <w:szCs w:val="16"/>
          <w:i w:val="1"/>
          <w:iCs w:val="1"/>
          <w:color w:val="auto"/>
        </w:rPr>
        <w:t>A Method and System for Transaction Authorization</w:t>
      </w:r>
      <w:r>
        <w:rPr>
          <w:rFonts w:ascii="Arial" w:cs="Arial" w:eastAsia="Arial" w:hAnsi="Arial"/>
          <w:sz w:val="16"/>
          <w:szCs w:val="16"/>
          <w:color w:val="auto"/>
        </w:rPr>
        <w:t xml:space="preserve"> </w:t>
      </w:r>
      <w:r>
        <w:rPr>
          <w:rFonts w:ascii="Arial" w:cs="Arial" w:eastAsia="Arial" w:hAnsi="Arial"/>
          <w:sz w:val="16"/>
          <w:szCs w:val="16"/>
          <w:i w:val="1"/>
          <w:iCs w:val="1"/>
          <w:color w:val="auto"/>
        </w:rPr>
        <w:t>Based on a Parallel Autonomous Channel Multi-User and Multi-Factor Authentication</w:t>
      </w:r>
      <w:r>
        <w:rPr>
          <w:rFonts w:ascii="Arial" w:cs="Arial" w:eastAsia="Arial" w:hAnsi="Arial"/>
          <w:sz w:val="16"/>
          <w:szCs w:val="16"/>
          <w:color w:val="auto"/>
        </w:rPr>
        <w:t>”. The patent protects a core component of authID’s intellectual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relating to its Verified identity verification platform. The patent comprises a method that enables an account holder to authorize a transaction, and at the same time a third-party identity verifier (such as authID) to validate the identity of the account holder, for example through a personal code or biometrics, and confirm the account holder’s consent for the transaction. By orchestrating authentication transactions, authID.ai’s method combines explicit consent for the transaction with identity verification, and creates a permanent record of both, for all parties, secured with a unique digital signature.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Select Acquisitions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we have done in the past, we intend to selectively pursue acquisitions that will help us achieve our strategic goals, enhance our technology capabilities and accelerate growth. We believe pursuing these types of acquisitions will increase our ability to work with existing customers, add new customers, enter new markets, develop new services and enhance our processing platform capabilities. However, we have no commitments with respect to any such acquisitions at this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will primarily target these market segments: 1) fintech and other disrupters of traditional commerce, 2) businesses requiring zero-trust authentication for their workforce and 3) Fortune 1000 enterprises via channel and OEM partnerships established with some of the largest identity access management providers (IAM), risk engines, payment providers, and adjacent software providers. To serve these segments, we have begun to offer turn-key solutions via authID’s CloudConnect program, supporting industry leading IAM, banking and ecommerce platforms to allow our software to be easily deployed with low-code or even no-code implementations.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branding and messaging will focus on the fact that all three segments understand the critical requirement to recognize the customer instantly without friction. The Company’s marketing will emphasize the high return on investment that any businesses selling to consumers can achieve if they replace password models with biometric authentication software. We intend to draw prospects to authID by our ability to empower them to fight synthetic identities, account takeovers, phishing attacks while achieving their digital transformation goals. The contracts we seek will be of a recurring nature where we receive an annual fee for every active user (who logs into an application, changes their account profile, or attempts a high value transaction).</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order to achieve these goals and thereby drive sales and new revenue, the Company intends to build our sales and marketing team, expand our sales and marketing activities, as well as invest in innovative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Model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Identity Management Solutions and Products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biometric software products are priced based on a multi-year licensing model which is driven by the number of enrollees in the system and the volume of authentications required (for example the number of times a consumer is required to present proof of identity). The Company provides its new IDaaS platform services based on a subscription model, with tiered fees per enrolled user Verified Workforce) or active user (Verified Consumer), comprising a periodic subscription and where applicable a per transaction fee. The Company’s CardsPlus plastic and credentials card products are sold at a per unit price which will vary based on the configuration of the features and functionality of the product, as well as the services provided. Additionally, the Company receives an annual maintenance fee for support for an identity product previously sold to one of its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Solutions and Products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electronic payment gateway services are volume priced on a per transaction or monthly minimum basis The pricing for the Company’s closed loop financial payment platform is based on a combination of transaction fee and a subscription model based on numbers of cardholders and merchants enrolled. The Company also earned leasing income from the rental of unattended kiosks but does not expect this revenue stream to continue in the future.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authID offers its Verified™ IDaaS platform allowing the Company to on-board customers who wish to deploy our services and solutions in order to know with biometric certainty who is engaging with them. authID’s solutions include the ability to verify the identity of a user, via remote identity proofing, then enable digital access, as well as transaction and device authentication, all digitally signed by the user’s identity. The Company’s platform utilizes commodity, consumer grade mobile devices for customer deployment with users engaging with the platform via a web-browser or corresponding Android or iOS smartphone app.</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also offer certain payment processing solutions and smart card products manufacturing and printing. The industry sectors in which these products compete are characterized by rapid change and new entrants. We will need to consistently develop and improve our products in order to remain competitive.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proprietary, patent pending Verified IDaaS platform allows our customers to establish trust in identity, authenticate and verify an identity without a password but with both device and biometric certainty, and not with just a password or one-time pin code. authID.ai’s IDaaS platform has several identity verification and authentication products each facing different competitors and incumbent technologies we can replace.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onboarding users, employees or customers remotely, Verified delivers seamless identity verification with quick, mobile identity document verification and facial biometric matching of a selfie to the identity credential photo with liveness confirmation. Our FIDO2 strong customer authentication and passwordless login product, leverages strong identity verification during device authenticator registration to create a digital chain of trust between biometrically verified individuals, their accounts, and their devices. Rooted to a trusted identity obtained during the identity verification and onboarding process, Verified’s biometric multi-factor authentication offers high-assurance, biometric, cloud-based, multi-factor authentication to secure high-risk transactions.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reviewing the competitors that exist for the Company’s current and planned platform products relating to the three main elements of identity management: the establishing of identity, use of identity through device-based authentication, and use of identity through cloud-based biometric verification, the Company considers a number of factors. authID’s platform utilizes an Identity as a Service (IDaaS) approach which combines the three elements into a single fast, secure, and fully automated, platform. authID believes that this full stack platform approach is exceptional in that it offers documentary identity verification, FIDO device authentication, and cloud based, biometric, multi-factor verification covering digital account access and transaction confirmation use cases. The competitive landscape includes several companies that mainly address only one element, with some addressing multiple elements independently without a seamless integration between them.</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looking further at our competition, the Company does not consider providers which are major conglomerates with vertically integrated cybersecurity companies, due to the vast array of services which they offer. Furthermore, some of the competitors which do offer solutions for digital use cases, are major legacy providers offering hardware heavy solutions principally for governmental users. These include Idemia, Thales, and Supercom. This is in contrast to authID’s IDaaS approach which is based on offering app and browser-based software products which are usable on mobile and desktop computing devices without additional hardware requirements.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further breakdown the competitive landscape into companies that provide identity proofing we consider the following competitors: Jumio, Au10Tix, OnFido, Mitek, Trulioo, ID.me, Veriff, and Acuant. Companies that provide only a single solution may be seeking to combine with authentication and biometric verification technology providers to expand their ID proofing solutions’ capabilities. While authID will continue to offer Proofing (especially for SMBs that need a complete IDaaS solution) Proof is used once at enrollment, whereas our authentication service is used over and over in a recurring revenue model. In appropriate cases we may decide to cooperate with these entities and yield the one-time revenue to gain the recurring authentication revenue.</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Another aspect of the competitive landscape is device-based authentication products using the FIDO standard. Companies that are believed to be competing with authID in this area are: HYPR, Strongkey, Daon, Trusona, Callsign, Duo and Transmit Security.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ind w:firstLine="648"/>
        <w:spacing w:after="0" w:line="277" w:lineRule="auto"/>
        <w:rPr>
          <w:sz w:val="20"/>
          <w:szCs w:val="20"/>
          <w:color w:val="auto"/>
        </w:rPr>
      </w:pPr>
      <w:r>
        <w:rPr>
          <w:rFonts w:ascii="Arial" w:cs="Arial" w:eastAsia="Arial" w:hAnsi="Arial"/>
          <w:sz w:val="18"/>
          <w:szCs w:val="18"/>
          <w:color w:val="auto"/>
        </w:rPr>
        <w:t>authID believes that the simplicity and elegance of simply looking at your phone to “trust your selfie” should compete well against these incumbents, and offer a more ubiquitous, cost-effective solution without dedicated hardware.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Finally, looking at the competitive landscape for cloud-based biometric identity verification applications the companies that are believed to be competing with authID in this area are Jumio, Aware, Acuant, Au10Tix, NEC, and Idemia.</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are new entrants into each of these markets continually. Each competitor may have a different offering or approach to solve similar problems, which overlap with those of the Company. Some competitors also include manufacturers who provide systems, or platform solutions to third party operators and, therefore, do not directly compete with the Company, which operates its own systems. For example, Stripe announced in June 2021 that they are entering the proofing market, but it is not possible to say what impact that may have on competition.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Cards Plus business faces competition both locally in South Africa and internationally. China has become a source of imports of card products at highly competitive pricing and some local suppliers are reliant on Chinese card manufacturers. Local competitors include Card Technology Services, Easy Card and Open Gate, Cardz Group and XH Smart Technology (Africa). That said, we believe that we are the only significant manufacturer in South Africa using digital print technology.</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payment processing industry has many competitors who provide gateway services, closed loop end-to-end solutions, payment processing, peer-to-peer payments and bill payments. As these types of services are usually supplied by regional or country specific companies, the following summary of this competitive landscape, is focused on those countries or regions the Company is actively pursuing business in today. In Colombia and elsewhere in Latin America where the Company is focused, major competitors include PayU, Credibanco, Redeban, Mercado Pago, Nequi, and QPagos. Some of these companies may on the other hand be potential customers for our identify transaction platform and biometric authentication services. Companies in this region that also compete in those sectors include Veritran, Certicamaras, Olimpia IT, Evertec-Processa and Indra.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does not need or require any approval from government authorities or agencies in order to operate its regular business and operations. However, it is possible that any proposed expansion to the Company’s business and operations in the future would require government approvals.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 security applications and biometric technology associated with the Company’s products and platforms, the activities and operations of the Company are subject to license restrictions and other regulations, such as (without limitation) export controls and other security regulation by government agencies. Expansion of the Company’s activities in payment processing may in due course require government licensing in different jurisdictions and may subject it to additional regulation and oversight.</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Data protection legislation in various countries in which the Company does business (including Colombia and the United Kingdom) may require it to register its databases with governmental authorities in those countries and to comply with additional disclosure and consent requirements with regard to the collection, storage and use of personal information of individuals resident in those countries. In addition, a new privacy law took effect in California at the beginning of 2020, and in Maine in July 2020, and other states, such as New York are considering additional regulations. Specifically, several states are considering adopting a Biometric Information Privacy Act, or BIPA modelled on the Illinois statute, which governs the collection, processing, storage and distribution of biometric information such as facial biometric templates and fingerprints. Several of these new statutes give individuals rights of action to sue violators, which have resulted in a number of class action law suits. These regulations could have a significant impact on our businesses.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Human Capital - Employees and Organization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is dedicated to offering an exciting career to the best and brightest technical talent around the globe. As of December 31, 2021, the Company had a total of approximately 60 employees who are located in four countries: Colombia, South Africa, the United Kingdom and the United States as well as outsourced service providers. There are approximately 20 employees in the United States who provide overall Company strategic, business and technological leadership. Employees in the U.S. receive health benefits on a cost-sharing basis and employees in Colombia and South Africa are provided the respective Government required benefits. The Company plans to expand its presence in the United States building a team experienced in artificial intelligence and biometric authentication technologies and hiring experienced sales and marketing talent in key target markets in the United States. Additionally, the Company may enhance or offer additional fringe and welfare benefits in the future as the Company secures additional financing.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Currently, the Company has three U.S. subsidiaries: Innovation in Motion Inc., Fin Holdings, Inc., and ID Solutions Inc. The Company has three subsidiaries in Colombia: MultiPay S.A.S., IDGS LATAM S.A.S., and IDGS S.A.S.. The Company has one subsidiary in South Africa: CardsPlus Pty Ltd. The Company has one subsidiary in the United Kingdom: Ipsidy Enterprises Limited and a subsidiary in Peru, Ipsidy Perú, SAC. The Company is the sole shareholder of all of its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we may not be able to achieve profitability going forward.</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an accumulated deficit of approximately $115.9 million as of December 31, 2021 and incurred an operating loss of approximately $18,1 million for the year ended December 31, 2021. We have had net losses in most of our quarters since our inception. We expect that we will continue to incur net losses in 2022. We may incur losses in the future for a number of reasons, including the other risks described in this report, and we may encounter unforeseen expenses, difficulties, complications, delays and other unknown events. Accordingly, we may not be able to achieve or maintain profitability. Our management is developing plans and executing certain programs to alleviate the negative trends and conditions described above, however there is no guarantee that such plans will be successfully implemented. Our ability to curtail our operating losses or generate a profit may be further impacted by the fact that our business plan is largely unproven. There is no assurance that even if we successfully implement our business plan, that we will be able to curtail our losses. If we incur significant additional operating losses, our stock price may decline, perhaps significantly and the Company will need to raise substantial additional capital in order to be able to continue to operate, which will dilute the existing stockholders and such dilution may be significant. Additional capital may not be available on terms acceptable to the Company, or at all.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yet to achieve positive cash flow and, given our projected funding needs, our ability to generate positive cash flow is uncertain.</w:t>
      </w:r>
    </w:p>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had negative cash flow from operating activities of approximately $8.8 million and approximately $4.7 million for the years ended December 31, 2021 and 2020, respectively. We anticipate that we will continue to have negative cash flows from operating activities through at least late 2023 we expect to incur increased research and development, sales and marketing, and general and administrative expenses. Our business will require significant amounts of working capital to support our growth, particularly as we seek to introduce our new offered products. An inability to generate positive cash flow from operations may adversely affect our ability to raise needed capital for our business on reasonable terms, if at all. It may also diminish supplier or customer willingness to enter into transactions with us, and have other adverse effects that may impact our long-term viability. There can be no assurance we will achieve positive cash flows in the foreseeable future.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need access to additional financing, which may not be available to us on acceptable terms, or at all. If we cannot access additional financing when we need it and on acceptable terms, our business, prospects, financial condition, operating results and ability to continue as a going concern will be adversely affected.</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growth-oriented business plan to offer products to our customers will require continued capital investment. Our research and development activities will also require continued investment. We raised approximately $11.1 million and $8.2 million in 2021 and 2020, respectively, through equity and debt financing at varying terms. In order to implement and grow our operations through December 31, 2023, and achieve an expected annual revenue stream from our products we expect that we will need to raise between $17.5 and $22.5 million dollars. There is no guarantee that our current business plan will not change, and as a result of such change, we will need additional capital to implement such business plan. Further, assuming we achieve our expected growth plan, of which there is no guarantee, we will need additional capital to implement growth beyond our current business plan.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spacing w:after="0" w:line="282" w:lineRule="auto"/>
        <w:rPr>
          <w:sz w:val="20"/>
          <w:szCs w:val="20"/>
          <w:color w:val="auto"/>
        </w:rPr>
      </w:pPr>
      <w:r>
        <w:rPr>
          <w:rFonts w:ascii="Arial" w:cs="Arial" w:eastAsia="Arial" w:hAnsi="Arial"/>
          <w:sz w:val="18"/>
          <w:szCs w:val="18"/>
          <w:b w:val="1"/>
          <w:bCs w:val="1"/>
          <w:color w:val="auto"/>
        </w:rPr>
        <w:t>Our limited operating history makes it difficult for us to evaluate our future business prospects and make decisions based on those estimates of our future performance</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been an emerging growth company since beginning operations. As an emerging growth company, we may take advantage of reduced reporting requirements that are otherwise applicable to public companies. We may take advantage of these provisions until December 31, 2023. However, if certain events occur prior to such date, including if we are deemed a “large accelerated filer” under the Exchange Act, our annual gross revenues exceed $1.07 billion or we issue more than $1.0 billion of non-convertible debt in any three-year period, we may cease to be an emerging growth company prior to such date. We have a limited operating history and have generated limited revenue. As we look to further expand our existing products it is difficult, if not impossible, to forecast our future results based upon our historical data. Because of the uncertainties related to our lack of historical operations, we may be hindered in our ability to anticipate and timely adapt to increases or decreases in revenues or expenses. If we make poor budgetary decisions as a result of unreliable historical data, we could be less profitable or incur losses, which may result in a decline in our stock price.</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There can be no assurance that we will successfully commercialize our products that are currently in development or that our existing products will sustain market acceptance.</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There is no assurance that we will ever successfully commercialize our platform and related solutions that are under development or that we will experience market reception for our products in development or increased market reception for our existing products. Although our acquisitions have generated revenue, there is no guarantee that we will be able to successfully implement our new products utilizing the acquired technology, products, and customer base. There is no assurance that our existing products or solutions will achieve market acceptance or that our new products or solutions will achieve market acceptance. Further, there can be no guarantee that we will not lose business to our existing or potential new competitors.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upon key personnel and need additional personnel.</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success depends on the continuing services of Thomas L. Thimot, CEO, and Cecil N. Smith III, President and Chief Technology Officer, as well as certain other members of the current management team. Our executive team are incentivized by stock compensation grants that align the interests of investors with the executive team and certain executives have employment retention agreements. The loss of key management, engineering employees or third-party contractors could have a material and adverse effect on our business operations. Additionally, the success of our operations will largely depend upon our ability to successfully attract and maintain competent and qualified key management personnel. As with any company with limited resources, there can be no guarantee that we will be able to attract such individuals or that the presence of such individuals will necessarily translate into profitability for our company. If we are successful in attracting and retaining such individuals, it is likely that our payroll costs and related expenses will increase significantly and that there will be additional dilution to existing stockholders as a result of equity incentives that may need to be issued to such management personnel. Our inability to attract and retain key personnel may materially and adversely affect our business operations. Any failure by our management to effectively anticipate, implement, and manage personnel required to sustain our growth would have a material adverse effect on our business, financial condition, and results of operations.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for our products is characterized by changing technology, requirements, standards and products, and we may be adversely affected if we do not respond promptly and effectively to these changes.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market for our identity management products and payment processing services is characterized by evolving technologies, changing industry standards, changing political and regulatory environments, frequent new product introductions and rapid changes in customer requirements. The introduction of products embodying new technologies and the emergence of new industry standards and practices can render existing products obsolete and unmarketable. Our future success will depend on our ability to enhance our existing products and to develop and introduce, on a timely and cost-effective basis, new products and product features that keep pace with technological developments and emerging industry standards and address the increasingly sophisticated needs of our customers. In the future:</w:t>
      </w:r>
    </w:p>
    <w:p>
      <w:pPr>
        <w:spacing w:after="0" w:line="178"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successful in developing and marketing new products or product features that respond to technological change or evolving industry standards;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that could delay or prevent the successful development, introduction and marketing of these new products and features;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new products and product features may not adequately meet the requirements of the marketplace and achieve market acceptance.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unable to respond promptly and effectively to changing technologies and market requirements, we will be unable to compete effectively in the future.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There can be no assurance that we will successfully identify new product opportunities and develop and bring new products to market in a timely manner, or that the products and technologies developed by others will not render our products or technologies obsolete or noncompetitive. The failure of our new product development efforts could have a material adverse effect on our business, results of operations and future growth.</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technology and solutions cease to be adopted and used by governmental and public and private organizations, we may lose some of our existing customers and our operations will be negatively affected.</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ability to grow depends significantly on whether governmental and public and private organizations adopt our technology and solutions as part of their new standards and whether we will be able to leverage our expertise in governmental solutions into commercial solutions. If these organizations do not adopt our technology, we may not be able to penetrate some of the new markets we are targeting, or we may lose some of our existing customer base.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order for us to achieve our growth objectives, our identity management technologies and solutions must be adapted to and adopted in a variety of areas including, among others, computer and online systems access control, physical access control, biometric fingerprint matching and identity card issuance and verification.</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cannot accurately predict the future growth rate, if any, or the ultimate size of these markets. The growth of the market for our products and services depends on a number of factors such as the cost, performance and reliability of our products and services compared to the products and services of our competitors, customer perception of the benefits of our products and solutions, public perception of the intrusiveness of these solutions and the manner in which organizations use the information collected, customer satisfaction with our products and services and marketing efforts and publicity for our products and services. Our products and services may not adequately address market requirements and may not gain wide market acceptance. If our solutions or our products and services do not gain wide market acceptance, our business and our financial results will suffer.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9" w:name="page20"/>
    <w:bookmarkEnd w:id="19"/>
    <w:p>
      <w:pPr>
        <w:jc w:val="both"/>
        <w:ind w:right="20"/>
        <w:spacing w:after="0" w:line="282" w:lineRule="auto"/>
        <w:rPr>
          <w:sz w:val="20"/>
          <w:szCs w:val="20"/>
          <w:color w:val="auto"/>
        </w:rPr>
      </w:pPr>
      <w:r>
        <w:rPr>
          <w:rFonts w:ascii="Arial" w:cs="Arial" w:eastAsia="Arial" w:hAnsi="Arial"/>
          <w:sz w:val="18"/>
          <w:szCs w:val="18"/>
          <w:b w:val="1"/>
          <w:bCs w:val="1"/>
          <w:color w:val="auto"/>
        </w:rPr>
        <w:t>We have sought in the past and will seek in the future to enter into contracts with governments, as well as state and local governmental agencies and municipalities, which subjects us to certain risks associated with such types of contracts.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Most contracts with governments or with state or local agencies or municipalities, or Governmental Contracts, are awarded through a competitive bidding process, and some of the business that we expect to seek in the future will likely be subject to a competitive bidding process. Competitive bidding presents a number of risks, including:</w:t>
      </w:r>
    </w:p>
    <w:p>
      <w:pPr>
        <w:spacing w:after="0" w:line="184"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frequent need to compete against companies or teams of companies with more financial and marketing resources and more experience than we have in bidding on and performing major contracts;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substantial cost and managerial time and effort necessary to prepare bids and proposals for contracts that may not be awarded to us;</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accurately estimate the resources and cost structure that will be required to service any fixed-price contract that we are awarded;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expense and delay that may arise if our competitors protest or challenge new contract awards made to us pursuant to competitive bidding or subsequent contract modifications, and the risk that any of these protests or challenges could result in the resubmission of bids on modified specifications, or in termination, reduction or modification of the awarded contract.</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may not be afforded the opportunity in the future to bid on contracts that are held by other companies and are scheduled to expire, if the governments, or the applicable state or local agency or municipality determines to extend the existing contract. If we are unable to win particular contracts that are awarded through the competitive bidding process, we may not be able to operate in the market for the products and services that are provided under those contracts for a number of years. If we are unable to win new contract awards or retain those contracts, if any, that we are awarded over any extended period, our business, prospects, financial condition and results of operations will be adversely affected.</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Governmental Contracts subject us to risks associated with public budgetary restrictions and uncertainties, actual contracts that are less than awarded contract amounts, the requirement for posting a performance bond and the related cost and cancellation at any time at the option of the governmental agency. Any failure to comply with the terms of any Governmental Contracts could result in substantial civil and criminal fines and penalties, as well as suspension from future contracts for a significant period of time, any of which could adversely affect our business by requiring us to pay significant fines and penalties or prevent us from earning revenues from Governmental Contracts during the suspension period. Cancellation of any one of our major Governmental Contracts could have a material adverse effect on our financial condition.</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Governments may be in a position to obtain greater rights with respect to our intellectual property than we would grant to other entities. Governmental agencies also have the power, based on financial difficulties or investigations of their contractors, to deem contractors unsuitable for new contract awards. Because we will engage in the government contracting business, we will be subject to additional regulatory and legal compliance requirements, as well as audits, and may be subject to investigation, by governmental entities. Compliance with such additional regulatory requirements are likely to result in additional operational costs in performing such Governmental Contracts which may impact our profitability. Failure to comply with the terms of any Governmental Contract could result in substantial civil and criminal fines and penalties, as well as suspension from future contracts for a significant period of time, any of which could adversely affect our business by requiring us to pay the fines and penalties and prohibiting us from earning revenues from Governmental Contracts during the suspension period.</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Furthermore, governmental programs can experience delays or cancellation of funding and suspension of appropriations has occurred, for example the partial United States government shutdown in 2018/19, which can be unpredictable; this may make it difficult to forecast our revenues on a quarter-by-quarter basis.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We rely in part on third-party software to develop and provide our solutions.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in part on software licensed from third parties to develop and offer some of our solutions. Any loss of the right to use any such software or other intellectual property required for the development and maintenance of our solutions, or any defects or other issues with such software could result in problems or delays in the provision of our solutions until equivalent technology is either developed by us, or, if available from others, is identified, obtained, and integrated, which could harm our business.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the emergence of the coronavirus disease (COVID-19) could impact any or all of the third party providers and suppliers on whom we rely. While the continuing impact of this disease in the United States and worldwide is still unknown, any disruption of such providers and suppliers caused by this disease could have a material adverse effect on our business, financial condition, results of operations, and cash flows.</w:t>
      </w:r>
    </w:p>
    <w:p>
      <w:pPr>
        <w:spacing w:after="0" w:line="16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We have historically depended upon a small number of large system sales ranging from $50,000 to $1,500,000 and we may fail to achieve one or more large system sales in the future, or fail to successfully transition to new products generating recurring revenues.</w:t>
      </w:r>
    </w:p>
    <w:p>
      <w:pPr>
        <w:spacing w:after="0" w:line="1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Historically, we have derived a substantial portion of our revenues from a small number of sales of large, relatively expensive systems, typically ranging in price from $50,000 to $1,500,000. If we fail to receive orders for these large systems in a given sales cycle on a consistent basis, our business could be significantly harmed. We are trying to reduce such dependence by developing a range of products and solutions, which are in a lower price range and intended to generate recurring revenue from a large number of customers. We have invested heavily in developing and launching such products but there is no guarantee that such efforts will be successful and that a satisfactory return on such investment will be achieved. Further, our quarterly results are difficult to predict because we cannot predict in which quarter, if any, large system sales will occur in a given year, nor when (if at all), or at what rate the ramp in sales of new products will occur. As a result, we believe that quarter-to-quarter comparisons of our results of operations are not a good indication of our future performance. In some future quarters, our operating results may be below the expectations of securities analysts and investors, in which case the market price of our Common Stock may decrease significantly.</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efforts to expand our international operations are subject to a number of risks, any of which could adversely reduce our future international sales and increase our losses</w:t>
      </w:r>
      <w:r>
        <w:rPr>
          <w:rFonts w:ascii="Arial" w:cs="Arial" w:eastAsia="Arial" w:hAnsi="Arial"/>
          <w:sz w:val="18"/>
          <w:szCs w:val="18"/>
          <w:b w:val="1"/>
          <w:bCs w:val="1"/>
          <w:i w:val="1"/>
          <w:iCs w:val="1"/>
          <w:color w:val="auto"/>
        </w:rPr>
        <w:t>.</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Most of our revenues to date are attributable to sales and business operations in jurisdictions other than the United States. Our international operations could be subject to a number of risks, any of which could adversely affect our future international sales and operating results, including:</w:t>
      </w:r>
    </w:p>
    <w:p>
      <w:pPr>
        <w:spacing w:after="0" w:line="146"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restrictions;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export duties and tariffs;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export regulations or restrictions including sanctions;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 political, regulatory and economic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and social unrest;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protect our intellectual property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highly aggressive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issues, including currency exchange risk;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managing and supporting foreign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collection risks;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impact of the Coronavirus or other pandemics;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ind w:firstLine="648"/>
        <w:spacing w:after="0" w:line="263" w:lineRule="auto"/>
        <w:rPr>
          <w:sz w:val="20"/>
          <w:szCs w:val="20"/>
          <w:color w:val="auto"/>
        </w:rPr>
      </w:pPr>
      <w:r>
        <w:rPr>
          <w:rFonts w:ascii="Arial" w:cs="Arial" w:eastAsia="Arial" w:hAnsi="Arial"/>
          <w:sz w:val="18"/>
          <w:szCs w:val="18"/>
          <w:color w:val="auto"/>
        </w:rPr>
        <w:t>Negative developments in any of these areas in one or more countries could result in a reduction in demand for our products, the cancellation or delay of orders already placed, difficulty in collecting receivables, and a higher cost of doing business, any of which could adversely affect our business, results of operations or financial condition.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exposed to risks in operating in foreign markets, which may make operating in those markets difficult and thereby force us to curtail our business operations.</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conducting our business in foreign countries, we are subject to political, economic, legal, operational and other risks that are inherent in operating in other countries. Risks inherent to operating in other countries range from difficulties in settling transactions in emerging markets to possible nationalization, expropriation, price controls and other restrictive governmental actions. We also face the risk that exchange controls or similar restrictions imposed by foreign governmental authorities may restrict our ability to convert local currency received or held by us in their countries into U.S. dollars or other currencies, or to take those dollars or other currencies out of those countries.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It is possible that countries in which we do or intend to do business, or companies and their principals become subject to sanctions under U.S. law. This would prevent us from doing business with those countries or with those entities or individuals. We could be exposed to fines and penalties in the event of breach any applicable sanctions legislation or orders. In addition, we might be required to suspend or terminate existing contracts in order to comply with such sanctions legislation or orders, which would adversely impact our future revenues and cash flows.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we are subject to the U.S. Foreign Corrupt Practices Act, or the FCPA, and other laws in the United States and elsewhere that prohibit improper payments or offers of payments to foreign governments and their officials and political parties for the purpose of obtaining or retaining business. We have operations in and deal with governments and officials in foreign countries. Our activities in these countries create the risk of unauthorized payments or offers of payments by one of our employees, contractors or customers that could be in violation of various laws, including the FCPA, even though these parties are not always subject to our control. We have implemented safeguards to discourage these practices by our employees, consultants and customers. However, our existing safeguards and any future improvements may prove to be less than effective, and our employees, contractors or customers may engage in conduct for which we might be held responsible. Violations of the FCPA or similar laws may result in severe criminal or civil sanctions and we may be subject to other liabilities, which could adversely affect our business, financial condition and results of operations.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Breaches of network or information technology security, presentation attacks, natural disasters or terrorist attacks could have an adverse effect on our business.</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Cyber-attacks or other breaches of network or information technology (IT) security, natural disasters, terrorist acts or acts of war may cause equipment failures or disrupt our systems and operations. We may be subject to attempts to breach the security of our networks and IT infrastructure through cyber-attack, presentation attacks to biometric data capture systems, malware, computer viruses and other means of unauthorized access. While we regularly review our security policies, protocols, controls and systems to determine their effectiveness for detection and prevention of such attacks, and to make improvements and fix any known vulnerabilities where necessary, new means and methods for such attacks are constantly being developed by bad actors and we may not become aware of such new attacks or vulnerabilities prior to being subject to such an attack. There is no guarantee that we can prevent all such attacks, even if we become aware of their potential. While we maintain insurance coverage for some of these events, the potential liabilities associated with these events could exceed the insurance coverage we maintain. A failure to protect the privacy of customer and employee confidential data against breaches of network or IT security could result in damage to our reputation. To date, we have not been subject to cyber-attacks or other cyber incidents that we are aware of which, individually or in the aggregate, resulted in a material impact to our operations or financial condition.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jc w:val="both"/>
        <w:ind w:firstLine="648"/>
        <w:spacing w:after="0" w:line="272" w:lineRule="auto"/>
        <w:rPr>
          <w:sz w:val="20"/>
          <w:szCs w:val="20"/>
          <w:color w:val="auto"/>
        </w:rPr>
      </w:pPr>
      <w:r>
        <w:rPr>
          <w:rFonts w:ascii="Arial" w:cs="Arial" w:eastAsia="Arial" w:hAnsi="Arial"/>
          <w:sz w:val="17"/>
          <w:szCs w:val="17"/>
          <w:color w:val="auto"/>
        </w:rPr>
        <w:t>For us to further penetrate the marketplace, the marketplace must be confident that we provide effective security protection for national and other secured identification documents and cards and other personally identifiable information or protected personal information, or PII. Although we are not aware that we have experienced any act of sabotage or unauthorized access by a third party of our software or technology to date, if an actual or perceived breach of security occurs in our internal systems or those of our customers, regardless of whether we caused the breach, it could adversely affect the market’s perception of our products and services. This could cause us to lose customers, resellers, alliance partners or other business partners, thereby causing our revenues to decline. If we or our customers were to experience a breach of our internal systems, our business could be severely harmed by adversely affecting the market’s perception of our products and services.</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Most recently, we have considered the impact of the coronavirus pandemic (COVID-19) on our overall operations. The continuing impact of this disease in the United States and worldwide are unknown, and the widespread growth in infections, or travel restrictions, quarantines or site closures imposed as a result of the disease, is among other things, impacting the ability of our employees, sub-contractors, or our customers’ employees and sub-contractors to attend places of work, to meet with potential customers, or undertake implementations at our customer’s locations. In addition, the disease could lead to disruptions in our supply chain, causing shortages or unavailability of software updates, or necessary equipment. Any of these outcomes could have a material adverse effect on our business, financial condition, results of operations, and cash flows.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War in the Ukraine may impact the business of the Company, the markets in which it operates and the financial markets, in which the Company needs to raise capital.</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war in the Ukraine may impact the Company and its operations in a number of different ways, which are yet to be fully assessed and are therefore uncertain. The Company’s principal concern is for the safety of the personnel who support from that region. The Company works with third party sub-contractors for outsourced services, including software engineering and development, some of whom are based in Eastern Europe, including Russia and Ukraine. The Company also works with outsourced engineers and developers and third-party providers in other parts of the world, including the United States, Europe, India, South Africa and South America. While the continuing impact of this conflict and the response of the United States and other countries to it by means of trade and economic sanctions, or other actions is still unknown, it could disrupt our ability to work with certain contractors The Company has taken steps to diversify its sub-contractor base, which may in the short term give rise to additional costs and delays in delivering software and product upgrades.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uncertainty impacting and potential interruption in energy and other supply chains resulting from military hostilities in Europe and the response of the United States and other countries to it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Russia and other countries may prompt enterprises to adopt additional security measures such as those offered by the Company.</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so long as the hostilities continue and perhaps even thereafter as the situation in Europe unfolds, we may see increased volatility in financial markets and a flight to safety by investors, which may impact our stock price and make it more difficult for the Company to raise additional capital at the time when it needs to do so, or for financing to be available upon acceptable terms. All or any of these risks separately, or in combination could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Interruptions, delays in service or defects in our systems could impair the delivery of our services and harm our business.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depend on the efficient and uninterrupted operation of our computer network systems, software, telecommunications networks, and processing centers, as well as the systems and services of third parties, in order to provide services to our customers. Almost all of our network systems are hosted “in the cloud” by internationally recognized third party service providers such as Amazon Web Services and Microsoft Azure. Our systems and data centers are vulnerable to damage or interruption from, among other things, fire, natural disaster, power loss, telecommunications failure, terrorist acts, war, unauthorized entry, human error, and computer viruses or other defects. They may also be subject to break-ins, sabotage, intentional acts of vandalism and similar misconduct. We have security, backup and recovery systems in place, and we are in the process of implementing business continuity plans that will be designed to ensure our systems will not be inoperable. However, there is still a risk that a system outage or data loss may occur which would not only damage our reputation but could also require the payment of penalties or damages to our clients if our systems do not meet certain operating standards. Despite precautions taken at these facilities, the occurrence of a natural disaster or an act of sabotage or terrorism, a decision to close the facilities without adequate notice or other unanticipated problems at these facilities could result in lengthy interruptions in our service. Our property and business interruption insurance may not be applicable or adequate to compensate us for all losses or failures that may occur.</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damage to, failure of, or defects, bugs or errors in our systems or those of third parties, errors or delays in the processing of payment or other transactions, telecommunications failures or other difficulties could result in loss of revenue, loss of customers, loss of customer and consumer data, harm to our business or reputation, exposure to fraud losses or other liabilities, negative publicity, additional operating and development costs, and diversion of technical and other resources.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parties could obtain access to our proprietary information or could independently develop similar technologies.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success depends in part on our ability to protect our core technology and intellectual property. To date, we have relied primarily on a combination of patents, patent applications, trade secret and copyright laws, as well as nondisclosure and other contractual restrictions on copying, reverse engineering and distribution to protect our proprietary technology. There can be no assurance that any of our patent applications will result in the issuance of a patent or that the examination process will not require us to narrow our claims in any application. In addition, any patents may be contested, circumvented, found unenforceable or invalid and we may not be able to prevent third parties from infringing on them.</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929" w:gutter="0" w:footer="0" w:header="0"/>
        </w:sectPr>
      </w:pPr>
    </w:p>
    <w:bookmarkStart w:id="23" w:name="page24"/>
    <w:bookmarkEnd w:id="23"/>
    <w:p>
      <w:pPr>
        <w:jc w:val="both"/>
        <w:ind w:firstLine="648"/>
        <w:spacing w:after="0" w:line="255" w:lineRule="auto"/>
        <w:rPr>
          <w:sz w:val="20"/>
          <w:szCs w:val="20"/>
          <w:color w:val="auto"/>
        </w:rPr>
      </w:pPr>
      <w:r>
        <w:rPr>
          <w:rFonts w:ascii="Arial" w:cs="Arial" w:eastAsia="Arial" w:hAnsi="Arial"/>
          <w:sz w:val="18"/>
          <w:szCs w:val="18"/>
          <w:color w:val="auto"/>
        </w:rPr>
        <w:t>Despite the precautions we take, third parties may copy or obtain and use our technologies, ideas, know-how and other proprietary information without authorization or may independently develop technologies similar or superior to our technologies. In addition, the confidentiality and non-competition agreements between us and most of our employees, distributors and clients may not provide meaningful protection of our proprietary technologies or other intellectual property in the event of unauthorized use or disclosure. If we are not able to successfully defend our industrial or intellectual property rights, we may lose rights to technologies that we need to develop our business, which may cause us to lose potential revenues, or we may be required to pay significant license fees for the use of such technologies.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current patents and any patents that we may register in the future may provide only limited protection for our technology and may not be sufficient to provide competitive advantages to us. For example, competitors could be successful in challenging any issued patents or, alternatively, could develop similar or more advantageous technologies on their own or design around our patents. Any inability to protect intellectual property rights in our technology could enable third parties to compete more effectively with us.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the laws of certain foreign countries may not protect our intellectual property rights to the same extent as do the laws of the United States. Our means of protecting our intellectual property rights in the United States or any other country in which we operate may not be adequate to fully protect our intellectual property rights.</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Third parties may assert that we are infringing their intellectual property rights; IP litigation could require us to incur substantial costs even when our efforts are successful.</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may face intellectual property litigation, which could be costly, harm our reputation, limit our ability to sell our products, force us to modify our products or obtain appropriate licenses, and divert the attention of management and technical personnel. Our products employ technology that may infringe on the proprietary rights of others, and, as a result, we could become liable for significant damages and suffer other harm to our business.</w:t>
      </w:r>
    </w:p>
    <w:p>
      <w:pPr>
        <w:spacing w:after="0" w:line="1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not been subject to material intellectual property litigation to date. Litigation may be necessary in the future to enforce any patents we have or may obtain and/or any other intellectual property rights, to protect our trade secrets, to determine the validity and scope of the proprietary rights of others, or to defend against claims of infringement or invalidity, and we may not prevail in any such future litigation. Litigation, whether or not determined in our favor or settled, could be costly, could harm our reputation and could divert the efforts and attention of our management and technical personnel from normal business operations. In addition, adverse determinations in litigation could result in the loss of our proprietary rights, subject us to significant liabilities, require us to seek licenses from third parties, prevent us from licensing our technology or selling or manufacturing our products, or require us to expend significant resources to modify our products or attempt to develop non-infringing technology, any of which could seriously harm our business.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products may contain technology provided to us by third parties. Because we did not develop such technology ourselves, we may have little or no ability to determine in advance whether such technology infringes the intellectual property rights of any other party. Our suppliers and licensors may not be required to indemnify us in the event that a claim of infringement is asserted against us, or they may be required to indemnify us only with respect to intellectual property infringement claims in certain jurisdictions, and/or only up to a maximum amount, above which we would be responsible for any further costs or damages. In addition, we have indemnification obligations to certain parties with respect to any infringement of third-party patents and intellectual property rights by our products. If litigation were to be filed against these parties in connection with our technology, we would be required to defend and indemnify such parties.</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officers, directors and holders of 5% of outstanding shares together beneficially own a significant portion of our Common Stock and, as a result, can exercise control over stockholder and corporate actions.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officers and directors and the holders of at least 5% of the outstanding shares of the Company currently beneficially own approximately 25.8% of our outstanding Common Stock, and 40.80% on a fully diluted basis assuming the exercise of both vested and unvested options and warrants. As such, they have a significant influence over most matters requiring approval by stockholders, including the election of directors and approval of significant corporate transactions. This concentration of ownership may also have the effect of delaying or preventing a change in control, which in turn could have a material adverse effect on the market price of the Company’s Common Stock or prevent stockholders from realizing a premium over the market price for their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jc w:val="both"/>
        <w:spacing w:after="0" w:line="266" w:lineRule="auto"/>
        <w:rPr>
          <w:sz w:val="20"/>
          <w:szCs w:val="20"/>
          <w:color w:val="auto"/>
        </w:rPr>
      </w:pPr>
      <w:r>
        <w:rPr>
          <w:rFonts w:ascii="Arial" w:cs="Arial" w:eastAsia="Arial" w:hAnsi="Arial"/>
          <w:sz w:val="18"/>
          <w:szCs w:val="18"/>
          <w:b w:val="1"/>
          <w:bCs w:val="1"/>
          <w:color w:val="auto"/>
        </w:rPr>
        <w:t>We face competition . Some of our competitors have greater financial or other resources, longer operating histories and greater name recognition than we do and one or more of these competitors could use their greater resources and/or name recognition to gain market share at our expense or could make it very difficult for us to establish market share.</w:t>
      </w:r>
    </w:p>
    <w:p>
      <w:pPr>
        <w:spacing w:after="0" w:line="3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authID offers its Verified™ IDaaS platform allowing the Company to on-board customers who wish to deploy our services and solutions in order to know with biometric certainty who is engaging with them. authID’s solutions include the ability to verify the identity of a user, via remote identity proofing, then enable digital access, as well as transaction and device authentication, all digitally signed by the user’s identity. The Company’s platform utilizes commodity, consumer grade mobile devices for customer deployment with users engaging with the platform via a web-browser or corresponding Android or iOS smartphone app.</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also offer certain payment processing solutions and smart card products manufacturing and printing. The industry sectors in which these products compete are characterized by rapid change and new entrants. We will need to consistently develop and improve our products in order to remain competitive.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proprietary, patent pending Verified IDaaS platform allows our customers to establish trust in identity, authenticate and verify an identity without a password but with both device and biometric certainty, and not with just a password or one-time pin code. authID.ai’s IDaaS platform has several identity verification and authentication products each facing different competitors and incumbent technologies we can replace.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onboarding users, employees or customers remotely, Verified delivers seamless identity verification with quick, mobile identity document verification and facial biometric matching of a selfie to the identity credential photo with liveness confirmation. Our FIDO2 strong customer authentication and passwordless login product, leverages strong identity verification during device authenticator registration to create a digital chain of trust between biometrically verified individuals, their accounts, and their devices. Rooted to a trusted identity obtained during the identity verification and onboarding process, Verified’s biometric multi-factor authentication offers high-assurance, biometric, cloud-based, multi-factor authentication to secure high-risk transactions.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reviewing the competitors that exist for the Company’s current and planned platform products relating to the three main elements of identity management: the establishing of identity, use of identity through device-based authentication, and use of identity through cloud-based biometric verification, the Company considers a number of factors. authID’s platform utilizes an Identity as a Service (IDaaS) approach which combines the three elements into a single fast, secure, and fully automated, platform. authID believes that this full stack platform approach is exceptional in that it offers documentary identity verification, FIDO device authentication, and cloud based, biometric, multi-factor verification covering digital account access and transaction confirmation use cases. The competitive landscape includes several companies that mainly address only one element, with some addressing multiple elements independently without a seamless integration between them.</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looking further at our competition, the Company does not consider providers which are major conglomerates with vertically integrated cybersecurity companies, due to the vast array of services which they offer. Furthermore, some of the competitors which do offer solutions for digital use cases, are major legacy providers offering hardware heavy solutions principally for governmental users. These include Idemia, Thales, and Supercom. This is in contrast to authID’s IDaaS approach which is based on offering app and browser-based software products which are usable on mobile and desktop computing devices without additional hardware requirements.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further breakdown the competitive landscape into companies that provide identity proofing we consider the following competitors: Jumio, Au10Tix, OnFido, Mitek, Trulioo, ID.me, Veriff, and Acuant. Companies that provide only a single solution may be seeking to combine with authentication and biometric verification technology providers to expand their ID proofing solutions’ capabilities. While authID will continue to offer Proofing (especially for SMBs that need a complete IDaaS solution) Proof is used once at enrollment, whereas our authentication service is used over and over in a recurring revenue model. In appropriate cases we may decide to cooperate with these entities and yield the one-time revenue to gain the recurring authentication revenue.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ind w:right="20" w:firstLine="648"/>
        <w:spacing w:after="0" w:line="277" w:lineRule="auto"/>
        <w:rPr>
          <w:sz w:val="20"/>
          <w:szCs w:val="20"/>
          <w:color w:val="auto"/>
        </w:rPr>
      </w:pPr>
      <w:r>
        <w:rPr>
          <w:rFonts w:ascii="Arial" w:cs="Arial" w:eastAsia="Arial" w:hAnsi="Arial"/>
          <w:sz w:val="18"/>
          <w:szCs w:val="18"/>
          <w:color w:val="auto"/>
        </w:rPr>
        <w:t>Another aspect of the competitive landscape is device-based authentication products using the FIDO standard. Companies that are believed to be competing with authID in this area are: HYPR, Strongkey, Daon, Trusona, Callsign, Duo and Transmit Security.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authID believes that the simplicity and elegance of simply looking at your phone to “trust your selfie” should compete well against these incumbents, and offer a more ubiquitous, cost-effective solution without dedicated hardware.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Finally, looking at the competitive landscape for cloud-based biometric identity verification applications the companies that are believed to be competing with authID in this area are Jumio, Aware, Acuant, Au10Tix, NEC, and Idemia.</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are new entrants into each of these markets continually. Each competitor may have a different offering or approach to solve similar problems, which overlap with those of the Company. Some competitors also include manufacturers who provide systems, or platform solutions to third party operators and, therefore, do not directly compete with the Company, which operates its own systems. For example, Stripe announced in June 2021 that they are entering the proofing market, but it is not possible to say what impact that may have on competition.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Cards Plus business faces competition both locally in South Africa and internationally. China has become a source of imports of card products at highly competitive pricing and some local suppliers are reliant on Chinese card manufacturers. Local competitors include Card Technology Services, Easy Card and Open Gate, Cardz Group and XH Smart Technology (Africa). That said, we believe that we are the only significant manufacturer in South Africa using digital print technology.</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payment processing industry has many competitors who provide gateway services, closed loop end-to-end solutions, payment processing, peer-to-peer payments and bill payments. As these types of services are usually supplied by regional or country specific companies, the following summary of this competitive landscape, is focused on those countries or regions the Company is actively pursuing business in today. In Colombia and elsewhere in Latin America where the Company is focused, major competitors include PayU, Credibanco, Redeban, Mercado Pago, Nequi, and QPagos. Some of these companies may on the other hand be potential customers for our identify transaction platform and biometric authentication services. Companies in this region that also compete in those sectors include Veritran, Certicamaras, Olimpia IT, Evertec-Processa and Indra.</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resources available to our competitors to develop new products and introduce them into the marketplace exceed the resources currently available to us. As a result, our competitors may be able to compete more aggressively and sustain that competition over a longer period of time that we can. This intense competitive environment may require us to make changes in our products, pricing, licensing, services, distribution, or marketing to develop a market position. Each of these competitors has the potential to capture market share in our target markets which could have an adverse effect on our position in our industry and on our business and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could negatively impact the business.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do not have or require any approval from government authorities or agencies in order to operate our regular business and operations. However, data protection legislation in various countries in which the Company does business (including Colombia and the United Kingdom) may require it to register its databases with governmental authorities in those countries and to comply with additional disclosure and consent requirements with regard to the collection, storage and use of personal information of individuals resident in those countries. To the extent that our business is based on Governmental Contracts, the relevant government authorities will need to approve us as a supplier and the terms of those contracts. However, it is possible that any proposed expansion to our business and operations in the future would require government approvals. Due to the security applications and biometric technology associated with our products and platforms the activities and operations of our company are or could become subject to license restrictions and other regulations, such as (without limitation) export controls and other security regulation by government agencies. Expansion of our activities in payment processing may in due course require government licensing in different jurisdictions and may subject us to additional regulation and oversight. Aspects of payment processing and related financial services are already subject to legislation and regulations in various jurisdictions. As indicated, “We are exposed to risks in operating in foreign markets” above, the imposition of sanctions on particular countries, entities or individuals would prevent us from doing business with such countries, entities or individuals. If our existing and proposed products become subject to licensing, export control and other regulations, we may incur increased costs necessary to comply with existing and newly adopted or amended laws and regulations or penalties for any failure to comply. Our operations could be adversely affected, directly or indirectly, by existing or future laws and regulations (and amendments thereto) relating to our business or industry.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jc w:val="both"/>
        <w:ind w:firstLine="648"/>
        <w:spacing w:after="0" w:line="272" w:lineRule="auto"/>
        <w:rPr>
          <w:sz w:val="20"/>
          <w:szCs w:val="20"/>
          <w:color w:val="auto"/>
        </w:rPr>
      </w:pPr>
      <w:r>
        <w:rPr>
          <w:rFonts w:ascii="Arial" w:cs="Arial" w:eastAsia="Arial" w:hAnsi="Arial"/>
          <w:sz w:val="17"/>
          <w:szCs w:val="17"/>
          <w:color w:val="auto"/>
        </w:rPr>
        <w:t>Some states in the United States have adopted legislation governing the collection, use of, and storage of biometric information and other states are considering such legislation. Specifically, several states are considering adopting a Biometric Information Privacy Act, or BIPA modelled on the Illinois statute, which governs the collection, processing, storage and distribution of biometric information such as facial biometric templates and fingerprints. Several of these new statutes give individuals rights of action to sue violators, which have resulted in a number of class action lawsuits. The widespread adoption of such legislation could result in restrictions on our current or proposed business activities, or we may incur increased costs to comply with such regulations. In addition, a new privacy law took effect in California at the beginning of 2020, and in Maine in July 2020, and other states, such as New York are considering additional regulations. These regulations could have a significant impact on our businesses.</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business is subject to changing regulations regarding corporate governance, disclosure controls, internal control over financial reporting and other compliance areas that will increase both our costs and the risk of noncompliance. If we fail to comply with these regulations, we could face difficulties in preparing and filing timely and accurate financial reports.</w:t>
      </w:r>
    </w:p>
    <w:p>
      <w:pPr>
        <w:spacing w:after="0" w:line="18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subject to the reporting requirements of the Securities Exchange Act of 1934, as amended, or the Exchange Act, the Sarbanes-Oxley Act and the Dodd-Frank Act. We are also subject to the corporate governance and other listing rules of the Nasdaq Stock Market. Maintaining compliance with these rules and regulations, particularly after we cease to be an emerging growth company, will increase our legal, accounting and financial compliance costs, will make some activities more difficult, time-consuming and costly and may also place increased strain on our personnel, systems and resources.</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at the time we cease to be an emerging growth company and a smaller reporting company, we will be required to provide attestation that we maintain effective disclosure controls and procedures by our registered public accounting firm. Any failure to develop or maintain effective controls, or any difficulties encountered in their implementation or improvement, could harm our operating results or cause us to fail to meet our reporting obligations. Any failure to implement and maintain effective internal control also could adversely affect the results of periodic management evaluations regarding the effectiveness of our internal control over financial reporting that are required to include in our periodic reports filed with the SEC, under Section 404(a) of the Sarbanes-Oxley Act or the annual auditor attestation reports regarding effectiveness of our internal controls over financial reporting that we will be required to include in our periodic reports filed with the SEC upon our ceasing to be an emerging growth company and a smaller reporting company, unless, under the JOBS Act, we meet certain criteria that would require such reports to be included prior to then, under Section 404(b) of the Sarbanes-Oxley Act. Ineffective disclosure controls and procedures and internal control over financial reporting could also cause investors to lose confidence in our reported financial and other information, which would likely have a negative effect on the trading price of shares of our Common Stock.</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maintain the effectiveness of our disclosure controls and procedures and internal control over financial reporting going forward, we will need to expend significant resources and provide significant management oversight. There is a substantial effort involved in continuing to implement appropriate processes, document our system of internal control over relevant processes, assess their design, remediate any deficiencies identified and test their operation. As a result, management’s attention may be diverted from other business concerns, which could harm our business, operating results and financial condition. These efforts will also involve substantial accounting-related costs. We may experience difficulty in meeting these reporting requirements in a timely manner.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color w:val="auto"/>
        </w:rPr>
        <w:t>If we are unable to maintain key controls currently in place or that we implement in the future and pending such implementation, or if any difficulties are encountered in their implementation or improvement, (1) our management might not be able to certify, and our independent registered public accounting firm might not be able to report on, the adequacy of our internal control over financial reporting, which would cause us to fail to meet our reporting obligations, (2) misstatements in our financial statements may occur that may not be prevented or detected on a timely basis and (3) we may be deemed to have significant deficiencies or material weaknesses, any of which could adversely affect our business, financial condition and results of operations.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our internal controls are perceived as inadequate or that we are unable to produce timely or accurate financial statements, our stock price could decline and we could be subject to sanctions or investigations by the SEC or other regulatory authorities, which would require additional financial and management resources.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will be the exclusive forum for: (i) any derivative action or proceeding brought on behalf of the Company; (ii) any action asserting a claim for breach of a fiduciary duty owed by any director, officer, employee, or agent of ours to us or our stockholders; (iii) any action asserting a claim arising pursuant to any provision of the Delaware General Corporation Law, the Certificate of Incorporation, or the bylaws; and (iv) any action asserting a claim governed by the internal affairs doctrine (the “Delaware Forum Provision”). In addition, our amended and restated bylaws provide that any person or entity purchasing or otherwise acquiring any interest in shares of our common stock is deemed to have notice of and consented to the Delaware Forum Provision.</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27 of the Securities Exchange Act of 1934, as amended (the “Exchange Act”), creates exclusive federal jurisdiction over all suits brought to enforce any duty or liability created by the Exchange Act or the rules and regulations thereunder. As a result, the Delaware Forum Provision will not apply to suits brought to enforce any duty or liability created by the Exchange Act or any other claim for which the federal courts have exclusive jurisdiction. We note, however, that there is uncertainty as to whether a court would enforce this provision and that investors cannot waive compliance with the federal securities laws and the rules and regulations thereunder.</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recognize that the Delaware Forum Provision in our amended and restated bylaws may impose additional litigation costs on stockholders in pursuing any such claims, particularly if the stockholders do not reside in or near the State of Delaware. Additionally, the Delaware Forum Provision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disclosure requirements applicable to “emerging growth companies” will make our Common Stock less attractive to investors.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an “emerging growth company,” as defined in the JOBS Act, and we expect to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w:t>
      </w:r>
    </w:p>
    <w:p>
      <w:pPr>
        <w:spacing w:after="0" w:line="2" w:lineRule="exact"/>
        <w:rPr>
          <w:sz w:val="20"/>
          <w:szCs w:val="20"/>
          <w:color w:val="auto"/>
        </w:rPr>
      </w:pPr>
    </w:p>
    <w:p>
      <w:pPr>
        <w:jc w:val="both"/>
        <w:ind w:firstLine="8"/>
        <w:spacing w:after="0" w:line="253" w:lineRule="auto"/>
        <w:tabs>
          <w:tab w:leader="none" w:pos="2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In addition, we are eligible to delay the adoption of new or revised accounting standards applicable to public companies until those standards apply to private companies, and as a result, we may not comply with new or revised accounting standards on the relevant dates on which adoption of such standards is required for non-emerging growth companies. The Company has adopted and will be adopting all standards as they become effective for public companies.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also take advantage of reduced disclosure requirements, including regarding executive compensation. If we remain an “emerging growth company” in the future, we may take advantage of other exemptions, including the exemptions from the advisory vote requirements and executive compensation disclosures under the Dodd-Frank Wall Street Reform and Customer Protection Act, and the exemption from the provisions of Section 404(b) of the Sarbanes-Oxley Act. We may take advantage of these provisions until December 31, 2023. However, if certain events occur prior to such date, including if we are deemed a “large accelerated filer” under the Exchange Act, our annual gross revenues exceed $1.07 billion or we issue more than $1.0 billion of non-convertible debt in any three-year period, we may cease to be an emerging growth company prior to such date.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exact implications of the JOBS Act are still subject to interpretations and guidance by the SEC and other regulatory agencies, and we cannot assure you that we will be able to take advantage of all of the benefits of the JOBS Act. In addition, investors may find our Common Stock less attractive if we rely on the exemptions and relief granted by the JOBS Act. If some investors find our Common Stock less attractive as a result, there may be a less active trading market for our Common Stock and our stock price may decline and/or become more volatile.</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There can be no assurance that we will be able to comply with the continued listing standards of the Nasdaq Capital Market. Our failure to meet the continued listing requirements of the Nasdaq Capital Market could result in a de-listing of our Common Stock</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cannot assure you that we will be able to comply with the continuing listing requirements that we are required to meet in order to maintain a listing of our Common Stock on the Nasdaq Capital Market. If we fail to satisfy the continued listing requirements of the Nasdaq Capital Market, such as the corporate governance requirements or the minimum stockholder’s equity requirement, the Nasdaq Capital Market may take steps to de-list our Common Stock. Such a de-listing would likely have a negative effect on the price of our Common Stock and would impair our stockholders’ ability to sell or purchase our Common Stock when they wish to do so. In the event of a de-listing, we would take actions to restore our compliance with the Nasdaq Capital Market’s listing requirements, but we can provide no assurance that any action taken by us would result in our Common Stock becoming listed again, or that any such action would stabilize the market price or improve the liquidity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a substantial number of shares of our Common Stock in the public market by our existing stockholders could cause our share price to fall.</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jc w:val="both"/>
        <w:spacing w:after="0" w:line="266" w:lineRule="auto"/>
        <w:rPr>
          <w:sz w:val="20"/>
          <w:szCs w:val="20"/>
          <w:color w:val="auto"/>
        </w:rPr>
      </w:pPr>
      <w:r>
        <w:rPr>
          <w:rFonts w:ascii="Arial" w:cs="Arial" w:eastAsia="Arial" w:hAnsi="Arial"/>
          <w:sz w:val="18"/>
          <w:szCs w:val="18"/>
          <w:b w:val="1"/>
          <w:bCs w:val="1"/>
          <w:color w:val="auto"/>
        </w:rPr>
        <w:t>If securities or industry analysts do not publish or cease publishing research or reports about us, our business or our market, or if they adversely change their recommendations or publish negative reports regarding our business or our Common Stock, our stock price and trading volume could decline.</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stock price would likely decline. If any analysts who may cover us were to cease coverage of the Company or fail to regularly publish reports on us, we could lose visibility in the financial markets, which in turn could cause our stock price or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has been volatile and your investment in our stock could suffer a decline in value.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market price of our common stock has experienced significant price and volume fluctuations. For example, during the three year period ended December, 2021, the closing price of our common stock ranged from $0.90 to $17.33. In addition, the stock market has from time to time experienced significant price and volume fluctuations that have particularly affected the market prices for the common stock of technology companies and that have often been unrelated to the operating performance of particular companies. These broad market fluctuations may adversely affect the market price of our common stock. You may not be able to resell your shares at or above the price you paid for them due to fluctuations in the market price of our stock caused by changes in our operating performance or prospects and other factors.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specific factors, in addition to the other risk factors identified above, that may have a significant effect on the price of our stock, many of which we cannot control, include but are not limited to:</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announcements or our competitors’ announcements of technological innovations;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product pricing policies or those of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of infringement of intellectual property rights or other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growth rate or our competitors’ growth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regarding our patents or proprietary rights or those of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raise additional capital as needed;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financial markets or general economic conditions;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stock by us or members of our management team or Board;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stock market analyst recommendations or earnings estimates regarding our stock, other comparable companies or our industry generally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anticipate paying any cash dividends in the foreseeable future.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never declared or paid cash dividends, and we do not anticipate paying cash dividends in the foreseeable future. Therefore, investors should not rely on an investment in our Common Stock as a source for any future dividend income. Our board of directors has complete discretion as to whether to distribute dividends.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subsidiary, our financial condition, contractual restrictions and other factors deemed relevant by our board of directors.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Headquarters are located in Long Beach, New York at a monthly rental of $2,500. The agreement is month to month and can be terminated on 30 days notice. The agreement is between the Company and Bridgeworks LLC, an entity principally owned by Mr. Beck, our former CEO, former Board of Director and his family.</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leased an office location in Bogota, Colombia with a base rent of approximately $8,500 per month which was adjusted for inflation when compared to the original lease date in 2017. In April 2021, MultiPay entered into a six-month lease for a monthly rental of approximately $1,375 which terminated in September 2021. In October 2021, MultiPay entered into a one-year-lease for approximately $2,900 per month.</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also leases space for its operation in South Africa. The current lease is through June 30, 2022, and the approximate monthly rent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$8,000.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our facilities are in good operating condition and that our facilities are adequate for present and near term uses.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our business. While any litigation contains an element of uncertainty, we have no reason to believe that the outcome of such proceedings will have a material adverse effect on the financial condition or results of operations of the Company.</w:t>
      </w:r>
    </w:p>
    <w:p>
      <w:pPr>
        <w:spacing w:after="0" w:line="180"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high and low per share closing sales prices of the Company’s stock on the OTCQB (ticker symbol: IDTY &amp; IDTYD) through August 23, 2021 and thereafter on the Nasdaq Market (ticker symbol AUID) for each quarter for the years ended December 31, 2021 and 2020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Low</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2020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June 30, 2021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December 31, 2021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16, 2022, there were approximately 180 stockholders of record of our common stock. This number does not include shares held by brokerage clearing houses, depositories or others in unregistered form. The stock transfer agent for our securities is Computershare Shareholder Services, PO Box 505000, Louisville, Kentucky 40233.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has never declared or paid any cash dividends on its common stock. The Company currently intends to retain future earnings, if any, to finance the expansion of its business. As a result, the Company does not anticipate paying any cash dividends in the foreseeable future.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w w:val="90"/>
              </w:rPr>
              <w:t>Securities Authorized for Issuance Under Equity Compensation Plans as of December 31, 2021</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available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under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to be issued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equity</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upon</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exercise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price 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outstanding</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outstanding</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(excluding)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options,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awards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awards</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reflected in</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Plan</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and rights</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and rights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first column)</w:t>
            </w:r>
          </w:p>
        </w:tc>
      </w:tr>
      <w:tr>
        <w:trPr>
          <w:trHeight w:val="216"/>
        </w:trPr>
        <w:tc>
          <w:tcPr>
            <w:tcW w:w="7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- 2014 Equity Compensation Plan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833,333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- 2017 Equity Compensation Plan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3,886,892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- 2021 Equity Incentive Plan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51,190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1,794,638</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or arrangements not approved by security holders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4,139,579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8,910,994</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1120" w:type="dxa"/>
            <w:vAlign w:val="bottom"/>
          </w:tcPr>
          <w:p>
            <w:pPr>
              <w:jc w:val="right"/>
              <w:spacing w:after="0"/>
              <w:rPr>
                <w:sz w:val="20"/>
                <w:szCs w:val="20"/>
                <w:color w:val="auto"/>
              </w:rPr>
            </w:pPr>
            <w:r>
              <w:rPr>
                <w:rFonts w:ascii="Arial" w:cs="Arial" w:eastAsia="Arial" w:hAnsi="Arial"/>
                <w:sz w:val="18"/>
                <w:szCs w:val="18"/>
                <w:color w:val="auto"/>
              </w:rPr>
              <w:t>1,794,638</w:t>
            </w:r>
          </w:p>
        </w:tc>
        <w:tc>
          <w:tcPr>
            <w:tcW w:w="100" w:type="dxa"/>
            <w:vAlign w:val="bottom"/>
          </w:tcPr>
          <w:p>
            <w:pPr>
              <w:spacing w:after="0"/>
              <w:rPr>
                <w:sz w:val="21"/>
                <w:szCs w:val="21"/>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adopted the Ipsidy Inc. 2014 Equity Compensation Plan, the 2017 Incentive Stock Plan and the 2021 Equity Incentive Plan. The Company has no other equity incentive plans in effect as of December 31, 2021.</w:t>
      </w:r>
    </w:p>
    <w:p>
      <w:pPr>
        <w:spacing w:after="0" w:line="170" w:lineRule="exact"/>
        <w:rPr>
          <w:sz w:val="20"/>
          <w:szCs w:val="20"/>
          <w:color w:val="auto"/>
        </w:rPr>
      </w:pPr>
    </w:p>
    <w:p>
      <w:pPr>
        <w:jc w:val="both"/>
        <w:ind w:firstLine="582"/>
        <w:spacing w:after="0" w:line="279" w:lineRule="auto"/>
        <w:rPr>
          <w:sz w:val="20"/>
          <w:szCs w:val="20"/>
          <w:color w:val="auto"/>
        </w:rPr>
      </w:pPr>
      <w:r>
        <w:rPr>
          <w:rFonts w:ascii="Arial" w:cs="Arial" w:eastAsia="Arial" w:hAnsi="Arial"/>
          <w:sz w:val="17"/>
          <w:szCs w:val="17"/>
          <w:color w:val="auto"/>
        </w:rPr>
        <w:t>On November 21, 2014, our Board of Directors authorized the Ipsidy Inc. Equity Compensation Plan (the “2014 Plan”). On September 28, 2017, the shareholders of the Company approved the 2017 Incentive Stock Plan (“2017 Incentive Plan”). On December 29, 2021 the shareholders of the Company approved the 2021 Equity Incentive Plan (“2021 Plan”). The following is a summary of principal features of the 2014 Plan, the 2017 Incentive Plan and the 2021 Plan. The summaries, however, does not purport to be a complete description of all the provisions of each plan.</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2014 Plan authorized Awards (as defined below) over 833,333 shares of common stock, the 2017 Incentive Plan authorized Awards over 4,833,333 shares of common stock and the 2021 Plan authorizes Awards over 1,250,000 shares as well as (a) the balance of the shares which were not allocated to awards under the 2017 Incentive Plan and (b) any shares which are forfeited or cancelled under awards that lapse or expire under the prior plans. No further awards may be made under the 2014 Plan or the 2017 Incentive Plan. All plans are administered by the Compensation Committee. At the Annual Meeting of Stockholders held on March 22, 2021, the stockholders approved and ratified an increase of 2,500,000 shares allocated to the 2017 Incentive Plan and at the Annual Meeting of Stockholders held on December 29, 2021, the stockholders approved the adoption of and allocation of 1,250,000 shares to the 2021 Plan.</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each plan, options may be granted which are intended to qualify as Incentive Stock Options (“ISOs”) under Section 422 of the Internal Revenue Code of 1986 (the “Code”) or which are not (“Non-ISOs”) intended to qualify as Incentive Stock Options thereunder. Other types of equity awards may also be granted under each of the plans include but are not limited to restricted stock, restricted stock units, and stock appreciation rights, which together with the ISO’s and Non-ISO’s are hereinafter collectively referred to as “Awards”. Each of the plans are not considered qualified deferred compensation plan under Section 401(a) of the Internal Revenue Code and are not subject to the provisions of the Employee Retirement Income Security Act of 1974 (“ERISA”).</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terms of Awards granted under the Plans shall be contained in an agreement between the participant and the Company and such terms shall be determined by the Compensation Committee consistent with the provisions of the applicable Plan. The terms of Awards may or not require a performance condition in order to vest the equity comprised in the relevant Award.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ind w:firstLine="648"/>
        <w:spacing w:after="0" w:line="269" w:lineRule="auto"/>
        <w:rPr>
          <w:sz w:val="20"/>
          <w:szCs w:val="20"/>
          <w:color w:val="auto"/>
        </w:rPr>
      </w:pPr>
      <w:r>
        <w:rPr>
          <w:rFonts w:ascii="Arial" w:cs="Arial" w:eastAsia="Arial" w:hAnsi="Arial"/>
          <w:sz w:val="17"/>
          <w:szCs w:val="17"/>
          <w:color w:val="auto"/>
        </w:rPr>
        <w:t>Any option granted under any of the Plans must provide for an exercise price of not less than 100% of the fair market value of the underlying shares on the date of grant, but the exercise price of any ISO granted to an eligible employee owning more than 10% of our outstanding common stock must not be less than 110% of fair market value on the date of the grant. The Plans further provide that with respect to ISOs the aggregate fair market value of the common stock underlying the options which are exercisable by any option holder during any calendar year cannot exceed $100,000. The term of each Plan option and the manner in which it may be exercised is determined by the board of directors or the compensation committee, provided that no option may be exercisable more than 10 years after the date of its grant and, in the case of an incentive option granted to an eligible employee owning more than 10% of the common stock, no more than five years after the date of the grant. In the event of any stock split of our outstanding common stock, the board of directors in its discretion may elect to maintain the stated number of shares reserved under the Plan without giving effect to such stock split. Subject to the limitation on the aggregate number of shares issuable under the Plan, there is no maximum or minimum number of shares as to which Award may be granted to any person.</w:t>
      </w:r>
    </w:p>
    <w:p>
      <w:pPr>
        <w:spacing w:after="0" w:line="18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filed a Registration Statement on Form S-8 on November 12, 2021, with respect to the 2017 Incentive Plan and all outstanding Awards set forth in the above table. The Company filed a further Registration Statement on Form S-8 on February 1, 2022, with respect to the 2021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February 14, 2020, the Company, entered into Securities Purchase Agreements with several accredited investors (the “2020 Note Investors”) providing for the sale by the Company to the 2020 Note Investors of 15% Senior Secured Convertible Notes in the aggregate amount of $1,510,000 (the “2020 Notes”). The 2020 Notes mature February 28, 2022 and are a secured obligation of the Company. At the option of the 2020 Note Investors, they may at any time convert the 2020 Notes. The number of shares delivered shall be equal to 150% of the amount of the principal converted divided by the conversion price of $0.20 per share. Following the 2020 Note Anniversary, the Company may require that the 2020 Note Investors convert all or a portion of the 2020 Notes, if the Company’s volume weighted average price for any preceding 20-day period is equal to or greater than $0.30. In connection with this private offering, the Company paid Network 1 Financial Securities, Inc., a registered broker-dealer, a cash fee of approximately $104,800.</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aggregate principal amount of all the 2020 Notes being not less than $1,500,000, the 2020 Note Investors are entitled to nominate, and the Company will not unreasonably reject the appointment of a new member to the Company’s Board of Directors.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Furthermore, the Company and the Stern Trust entered an Amended and Restated Promissory Note (the “Restated Stern Note”) providing that the $2,000,000 principal of the Stern Note will be due and payable on the same terms (bearing interest at 15% per annum) and on the same maturity date as the 2020 Notes. The interest due under the Stern Note as of January 31, 2020 in the amount of $662,000 has been capitalized and will earn interest at 10% per annum, which at the election of the Stern Trust can be paid in shares of common stock at a conversion price of $0.20 and the maturity of such interest shall be extended to the same maturity date as the 2020 Notes. The Stern Note for $662,000 has been extended through December 31, 2022 on the same terms and conditions.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2019 the Company entered into Securities Purchase Agreements with several accredited investors (the “8% Note Investors”) providing for the sale by the Company to the Investors of 8% Convertible Notes in the aggregate amount of $428,000 (the “8% Notes”). As of February 14, 2020, the Company and the 8% Note Investors entered into an amendment agreement pursuant to which the principal and interest due under the 8% Notes remain due and payable on the same terms as existed in the 8% Notes prior to modification, save that the maturity was extended to the same maturity date as the 2020 Notes.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2021, all of the remaining 8% Notes and the 2020 Notes and all but $662,000 of the principal amount of the Restated Stern Note, plus all accrued interest was converted into 1,138,346 shares of Common Stock, in accordance with their respective terms.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Mr. Phillip Kumnick and Mr. Philip Broenniman, two of the Company’s Directors joined the Company as Chief Executive Officer and President and Chief Operating Officer effective May 22, 2020. As part of their engagement, Mr. Kumnick was granted options to acquire 1,111,111 shares of common stock of which 20% vest at grant and the balance vest subject to performance conditions. Mr. Broenniman was granted options to acquire 555,556 shares of common stock of which 20% vest at grant and the balance vest subject to performance conditions.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jc w:val="both"/>
        <w:ind w:firstLine="648"/>
        <w:spacing w:after="0" w:line="286" w:lineRule="auto"/>
        <w:rPr>
          <w:sz w:val="20"/>
          <w:szCs w:val="20"/>
          <w:color w:val="auto"/>
        </w:rPr>
      </w:pPr>
      <w:r>
        <w:rPr>
          <w:rFonts w:ascii="Arial" w:cs="Arial" w:eastAsia="Arial" w:hAnsi="Arial"/>
          <w:sz w:val="17"/>
          <w:szCs w:val="17"/>
          <w:color w:val="auto"/>
        </w:rPr>
        <w:t>During 2020, the Company granted 50,000 shares of Restricted Common Stock to each of Phillip Kumnick and Philip Broenniman in connection with their compensation for service as Board Members. Additionally, an executive of the Company was granted 166,667 shares of Restricted Common Stock. The restricted stock vested during the year ended December 31, 2021, upon the achievement of the performance criteria.</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22, 2020, the Company entered into a Subscription Agreement with an accredited investor (the “June 2020 Accredited Investor”) pursuant to which the June 2020 Accredited Investor purchased 90,909 shares of common stock for $150,000.</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June 30, 2020, Company entered into and consummated a private transaction pursuant to which a portion of the Company’s $3.00 Warrants were exercised for cash at an exercise price of $2.10 per share. In addition, the holders that exercised the $3.00 Warrants received a $4.50 Warrant for every four $3.00 Warrants exercised. As a result, the Company issued 333,611 shares of common stock and 83,403 $4.50 Warrants in consideration of $700,583. Included in those figures are (a) the exercise of $3.00 Warrants by Mr. Theodore Stern, a director of the Company, resulting in the issuance of 333,333 shares of common stock and 8,333 $4.50 Warrants in consideration of $70,000; and (b) the exercise of $3.00 Warrants by Varana Capital Focused, LP (“VCFLP”), resulting in the issuance of 123,889 shares of common stock and 30,972 $4.50 Warrants, in consideration of $260,167. Mr. Philip Broenniman, a director, the President and COO of the Company is the investment manager of VCFLP.</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June 30, 2020, Company entered into and consummated a private transaction pursuant to which a portion of the Company’s $1.50 Warrants were exercised for cash. In addition, the holders that exercised the $1.50 Warrants received a $4.50 Warrant for every two $1.50 Warrants exercised. As a result, the Company issued 154,400 shares of common stock and 77,200 $4.50 Warrants, in consideration of $231,600. Separately, certain holders of the $1.50 Warrants to acquire 59,000 shares of common stock exercised on a cashless basis resulting in the issuance of 18,669 shares of common stock.</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June 30, 2020, Company entered into and consummated a private transaction pursuant to which a portion of the Company’s $1.80 Warrants were exercised for cash. In addition, the holders that exercised the $1.80 Warrants also received a $4.50 Warrant for every two $1.80 Warrants exercised. As a result, the Company issued 176,000 shares of common stock and 88,000 $4.50 Warrants in consideration of $316,800. Included in those figures is the exercise of $1.80 Warrants by Vista Associates, L.P., of which Mr. Herbert Selzer a director of the Company, is the General Partner, resulting in the issuance of 29,333 shares of common stock and 14,667 $4.50 Warrants, in consideration of $52,800.</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30, 2020, the Company also entered into a Subscription Agreement with VCFLP pursuant to which VCFLP agreed to purchase 23,810 shares of common stock in consideration of $50,000.</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30, 2020 and on November 6, 2020, Ipsidy Inc. entered into Securities Purchase Agreements with several accredited investors (the “October 2020 Accredited Investors”) pursuant to which the October 2020 Accredited Investors agreed to purchase an aggregate of 1,747,833 shares of the Company’s common stock together with Warrants to acquire 873,917 shares of common stock for a term of five years at an exercise price of $4.50 per share for an aggregate purchase price of approximately $5.24 million. In connection with this private offering, the Company paid a registered broker-dealer, a cash fee of approximately $367,000 and issued the broker-dealer a common stock purchase warrant to acquire approximately 105,000 shares of common stock of the Company exercisable for a term of five years at an exercise price of $4.50 per share.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2020, the Company issued approximately 57,000 shares of common stock pursuant to cashless exercises of common stock purchase warrants and options, other than the June 2020 warrant exercises.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2020, the Company issued approximately 106,000 shares of common stock to a third-party provider of services in lieu of cash compensation.</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year ended December 31, 2021, the Company issued approximately 706,575 shares of common stock pursuant to cashless exercises of common stock purchase warrants and options, 75,636 shares of common stock pursuant to exercises of common stock purchase warrants and options for cash and 32,950 shares of common stock pursuant to the conversion of convertible notes, other than the Notes converted as of June 30, 2021. (These figures exclude approximately 50,000 options exercised following the filing of the Company’s Registration Statement on Form S-8 on November 12, 2021)</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All the offers and sales of securities listed above were made to accredited investors. The issuance of the above securities is exempt from the registration requirements under Rule 4(a)(2) of the Securities Act of 1933, as amended, and/or Rule 506 as promulgated under Regulation 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smaller reporting company, the Company is not required to file selected financial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on our financial statements, which we have prepared in accordance with accounting principles generally accepted in the United States of America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used in this “Management’s Discussion and Analysis of Financial Condition and Results of Operation,” except where the context otherwise requires, the term “we,” “us,” “our,” or “the Company,” refers to the business of Ipsidy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Ipsidy Inc. dba authID.ai (together with its subsidiaries, the “Company”, “authID.ai”, “we” or “our”) is a leading provider of secure, mobile, biometric identity verification software products delivered by an easy to integrate Identity as a Service (IDaaS) platform. Our mission is ultimately to eliminate all passwords and to be the preferred global platform for biometric identity authentication. Our vision is to enable every organization to “Recognise Your Customer” instantly, without friction or loss of privacy, powered by the most sophisticated biometric and artificial intelligence technologies.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explosive growth in online and mobile commerce, telemedicine, remote working and digital activities of all descriptions is self-evident to everyone who lived through the Covid 19 since 2020. Identity theft, phishing attacks, spear-phishing, password vulnerabilities, account takeovers, benefits fraud - it seems like these words have entered our daily lexicon overnight. These are significant impediments to the operations and growth of any business or organization, and dealing with the risks and consequences of these criminal activities has created significant friction in both time, cost and lost opportunity. Consider all the outdated methods that organizations have implemented in order to prevent fraud. The requests to receive and enter one-time passwords, that can be easily hijacked. The vulnerable security questions you get asked – whether on-line or when reaching out to a call center – what was your first pet’s name? who was your best friend in high school? These steps all add up to friction, making it difficult for consumers to login, transact and execute daily tasks, with little added protection from fraud. Surely there is a better way to address these challenges? authID.ai believes there is.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ind w:firstLine="648"/>
        <w:spacing w:after="0" w:line="273" w:lineRule="auto"/>
        <w:rPr>
          <w:sz w:val="20"/>
          <w:szCs w:val="20"/>
          <w:color w:val="auto"/>
        </w:rPr>
      </w:pPr>
      <w:r>
        <w:rPr>
          <w:rFonts w:ascii="Arial" w:cs="Arial" w:eastAsia="Arial" w:hAnsi="Arial"/>
          <w:sz w:val="17"/>
          <w:szCs w:val="17"/>
          <w:color w:val="auto"/>
        </w:rPr>
        <w:t>authID.ai provides secure, facial biometric, identity verification, and strong customer authentication. We maintain a global, cloud-based IDaaS platform for our enterprise customers to enable their users to easily verify and authenticate their identity through a mobile device or desktop (with camera) of their choosing (without requiring dedicated hardware, or authentication apps). We can help our customers establish a proven identity, creating a root of trust that ensures the highest level of assurance for our passwordless login and step-up verification products. Our system enables participants to consent to transactions using their biometric information with a digitally signed authentication response, embedding the underlying transaction data and each user’s identity attributes within every electronic transaction message processed through our platform.</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Digital transformation across all market segments requires trusted identity. Our identity platform offers innovative solutions that are flexible, fast and easy to integrate and offer seamless user experiences. authID’s products help advance digital transformation efforts without the fear of identity fraud, while delivering frictionless user experiences. We believe that it is also essential that electronic transactions have an audit trail, proving that the identity of the individual was duly authenticated. Our platform provides biometric and multi-factor identity software, which are intended to establish, authenticate and verify identity across a wide range of use cases and electronic transactions.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authID’s products focus on the broad requirement for enabling frictionless commerce by allowing an entity to instantly “Recognise their Customer”. Organizations of all descriptions require cost-effective and secure means of growing their business while mitigating identity fraud. We aim to offer our enterprise customers products that can be integrated easily into each of their business and organizational operations, in order to facilitate their adoption and enhance the end user customer experience.</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management believes that some of the advantages of our IDaaS Platform approach are the ability to leverage the platform to support a variety of vertical markets and the adaptability of the platform to the requirements of new markets and new products requiring cost-effective, secure, and configurable mobile solutions. Our target markets include banking, fintech and other disrupters of traditional commerce, small and medium sized businesses, and system integrators working with government and Fortune 1000 enterprises. At its core, the Company’s offering, combining its proprietary and acquired biometric and artificial intelligence technologies (or AI), is intended to facilitate frictionless commerce, whether in the physical or digital world. The Company intends to increase its investment in developing, patenting and acquiring the various elements necessary to enhance the platform, which are intended to allow us to achieve our goals. One of the principal intended areas of investment is to enhance and expand our use of artificial intelligence in proprietary software, that we believe will increase our value to enterprise customers and stockholders alike.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authid.ai is dedicated to developing advanced methods of protecting consumer privacy and deploying ethical and socially responsible AI. authID is developing a culture that proactively encourages and rewards our employees for considering the ethical implications of our products. We believe that a proactive commitment to ethical AI presents a strong business opportunity for authID and will enable us to bring more accurate products to market more quickly and with less risk to better serve our global user base. Our methods to achieve ethical AI include engaging the users of our products with informed consent, prioritizing the security of our user’s personal information, considering and avoiding potential bias in our algorithms, and monitoring of algorithm performance in our applications.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Company also owns an entity in South Africa Cards Plus which manufactures </w:t>
      </w:r>
      <w:r>
        <w:rPr>
          <w:rFonts w:ascii="Arial" w:cs="Arial" w:eastAsia="Arial" w:hAnsi="Arial"/>
          <w:sz w:val="16"/>
          <w:szCs w:val="16"/>
          <w:b w:val="1"/>
          <w:bCs w:val="1"/>
          <w:color w:val="auto"/>
        </w:rPr>
        <w:t>s</w:t>
      </w:r>
      <w:r>
        <w:rPr>
          <w:rFonts w:ascii="Arial" w:cs="Arial" w:eastAsia="Arial" w:hAnsi="Arial"/>
          <w:sz w:val="16"/>
          <w:szCs w:val="16"/>
          <w:color w:val="auto"/>
        </w:rPr>
        <w:t>ecure plastic identity credentials and loyalty card products.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Ipsidy Inc. (formerly ID Global Solutions Corporation) (formerly IIM Global Corporation) (formerly Silverwood Acquisition Corporation) was incorporated on September 21, 2011, under the laws of the State of Delaware to engage in any lawful corporate undertaking, including, but not limited to, selected mergers and acquisitions. In order to better align the branding of our Company with our future focus and goals on June 14, 2021, we changed our business name to “authID.ai”. Ipsidy has been in the developmental stage since inception.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headquarters are in Long Beach,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believe that our financial results will be impacted by several market trends in the identity verification and authentication markets, as well as expanding digital transformation efforts across a wide range of market segments. These trends include growing concerns over identity theft and fraud, in part resulting from the impact of the Coronavirus pandemic on the acceleration of digital transformation, for example online shopping and remote working; the growth in the sharing economy; and the increase in electronic payments and alternative money transfer solutions provided by both bank and non-bank entities. The key drivers for these alternative payment methods are consumer demands for safe, convenient payment transactions, with less friction. Our results are also impacted by the changes in levels of spending on identity verification, management and security methods, and thus, negative trends in the global economy and other factors which negatively impact such spending may negatively impact the growth our revenue from those products. The global economy has been undergoing a period of political and economic uncertainty and stock markets are experiencing high levels of volatility, and it is difficult to predict how long this uncertainty and volatility will continue.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7" w:name="page38"/>
    <w:bookmarkEnd w:id="37"/>
    <w:p>
      <w:pPr>
        <w:jc w:val="both"/>
        <w:ind w:firstLine="648"/>
        <w:spacing w:after="0" w:line="259" w:lineRule="auto"/>
        <w:rPr>
          <w:sz w:val="20"/>
          <w:szCs w:val="20"/>
          <w:color w:val="auto"/>
        </w:rPr>
      </w:pPr>
      <w:r>
        <w:rPr>
          <w:rFonts w:ascii="Arial" w:cs="Arial" w:eastAsia="Arial" w:hAnsi="Arial"/>
          <w:sz w:val="18"/>
          <w:szCs w:val="18"/>
          <w:color w:val="auto"/>
        </w:rPr>
        <w:t>We plan to grow our business by increasing the use of our services by our existing customers, by adding new customers through our channel partners and by expanding into new markets and innovation. If we are successful in these efforts, we would expect our revenue to continue to grow. In addition, based on the positive trends in the international payment processing industry noted above, we anticipate that as and when more payments are made using electronic and mobile methods, such as those that we offer, our revenue would also increase.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consolidated financial statements have been prepared in accordance with United States generally accepted accounting principles (GAAP) assuming the Company will continue as a going concern basis, which implies the Company will continue to meet its obligations and continue its operations for the next year following the issuance date of these financial statements.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December 31, 2021, the Company had an accumulated deficit of approximately $115.9 million. For the year ended December 31, 2021, the Company earned revenue of approximately $2.3 million, used $8.8 million to fund its operations, and incurred a net loss of approximately $17.7 million.</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continuation of the Company as a going concern is dependent upon financial support from the Company’s current shareholders, the ability of the Company to obtain additional debt or equity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discussed in the subsequent event below, the Company has secured additional financing which provide adequate funding for its operations as it continues to invest in its product, people, and technology. The Company projects that the investments will lead to revenue expansion thereby reducing liquidity needs. The Company may need additional capital in the future but currently it believes it has the required funds to operate its business through a period no less than one year from the issuance date of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March 21, 2022, the Company entered into a Securities Purchase Agreement (“</w:t>
      </w:r>
      <w:r>
        <w:rPr>
          <w:rFonts w:ascii="Arial" w:cs="Arial" w:eastAsia="Arial" w:hAnsi="Arial"/>
          <w:sz w:val="16"/>
          <w:szCs w:val="16"/>
          <w:u w:val="single" w:color="auto"/>
          <w:color w:val="auto"/>
        </w:rPr>
        <w:t>SPA</w:t>
      </w:r>
      <w:r>
        <w:rPr>
          <w:rFonts w:ascii="Arial" w:cs="Arial" w:eastAsia="Arial" w:hAnsi="Arial"/>
          <w:sz w:val="16"/>
          <w:szCs w:val="16"/>
          <w:color w:val="auto"/>
        </w:rPr>
        <w:t>”) with certain accredited investors, including certain directors of the Company or their affiliates (the “</w:t>
      </w:r>
      <w:r>
        <w:rPr>
          <w:rFonts w:ascii="Arial" w:cs="Arial" w:eastAsia="Arial" w:hAnsi="Arial"/>
          <w:sz w:val="16"/>
          <w:szCs w:val="16"/>
          <w:u w:val="single" w:color="auto"/>
          <w:color w:val="auto"/>
        </w:rPr>
        <w:t>Note Investors</w:t>
      </w:r>
      <w:r>
        <w:rPr>
          <w:rFonts w:ascii="Arial" w:cs="Arial" w:eastAsia="Arial" w:hAnsi="Arial"/>
          <w:sz w:val="16"/>
          <w:szCs w:val="16"/>
          <w:color w:val="auto"/>
        </w:rPr>
        <w:t>”), and, pursuant to the SPA, sold to the Note Investors Senior Secured Convertible Notes (the “</w:t>
      </w:r>
      <w:r>
        <w:rPr>
          <w:rFonts w:ascii="Arial" w:cs="Arial" w:eastAsia="Arial" w:hAnsi="Arial"/>
          <w:sz w:val="16"/>
          <w:szCs w:val="16"/>
          <w:u w:val="single" w:color="auto"/>
          <w:color w:val="auto"/>
        </w:rPr>
        <w:t>Convertible Notes</w:t>
      </w:r>
      <w:r>
        <w:rPr>
          <w:rFonts w:ascii="Arial" w:cs="Arial" w:eastAsia="Arial" w:hAnsi="Arial"/>
          <w:sz w:val="16"/>
          <w:szCs w:val="16"/>
          <w:color w:val="auto"/>
        </w:rPr>
        <w:t>”) with an aggregate initial principal amount of approximately $9.2 million and an initial conversion price of $3.70 per share. Also on March 21, 2022, the Company entered into a Facility Agreement the (“Facility Agreement") with Stephen J. Garchik, who is both a current shareholder of the Company and a Note Investor (“</w:t>
      </w:r>
      <w:r>
        <w:rPr>
          <w:rFonts w:ascii="Arial" w:cs="Arial" w:eastAsia="Arial" w:hAnsi="Arial"/>
          <w:sz w:val="16"/>
          <w:szCs w:val="16"/>
          <w:u w:val="single" w:color="auto"/>
          <w:color w:val="auto"/>
        </w:rPr>
        <w:t>Garchik</w:t>
      </w:r>
      <w:r>
        <w:rPr>
          <w:rFonts w:ascii="Arial" w:cs="Arial" w:eastAsia="Arial" w:hAnsi="Arial"/>
          <w:sz w:val="16"/>
          <w:szCs w:val="16"/>
          <w:color w:val="auto"/>
        </w:rPr>
        <w:t>”), pursuant to which Garchik agreed to provide to the Company a $10.0 million unsecured standby line of credit facility that will rank behind the Convertible Notes and may be drawn down in several tranches, subject to certain conditions described in the Facility Agreement. Pursuant to the Facility Agreement, the Company agreed to pay Garchik a facility commitment fee of 100,000 shares of our common stock upon the effective date of the Facility Agreement. On March 18 and March 21, 2022, the Company entered into Subscription Agreements (the “</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with an accredited investor and certain members of authID.ai’s management team (the “</w:t>
      </w:r>
      <w:r>
        <w:rPr>
          <w:rFonts w:ascii="Arial" w:cs="Arial" w:eastAsia="Arial" w:hAnsi="Arial"/>
          <w:sz w:val="16"/>
          <w:szCs w:val="16"/>
          <w:u w:val="single" w:color="auto"/>
          <w:color w:val="auto"/>
        </w:rPr>
        <w:t>PIPE Investors</w:t>
      </w:r>
      <w:r>
        <w:rPr>
          <w:rFonts w:ascii="Arial" w:cs="Arial" w:eastAsia="Arial" w:hAnsi="Arial"/>
          <w:sz w:val="16"/>
          <w:szCs w:val="16"/>
          <w:color w:val="auto"/>
        </w:rPr>
        <w:t>”), and, pursuant to the Subscription Agreements, sold to the PIPE Investors a total of 1,063,514 shares of our common stock (the “</w:t>
      </w:r>
      <w:r>
        <w:rPr>
          <w:rFonts w:ascii="Arial" w:cs="Arial" w:eastAsia="Arial" w:hAnsi="Arial"/>
          <w:sz w:val="16"/>
          <w:szCs w:val="16"/>
          <w:u w:val="single" w:color="auto"/>
          <w:color w:val="auto"/>
        </w:rPr>
        <w:t>Other Stock</w:t>
      </w:r>
      <w:r>
        <w:rPr>
          <w:rFonts w:ascii="Arial" w:cs="Arial" w:eastAsia="Arial" w:hAnsi="Arial"/>
          <w:sz w:val="16"/>
          <w:szCs w:val="16"/>
          <w:color w:val="auto"/>
        </w:rPr>
        <w:t>”) at prices of $3.03 per share for an outside investor and $3.70 per share for the management investors (the “</w:t>
      </w:r>
      <w:r>
        <w:rPr>
          <w:rFonts w:ascii="Arial" w:cs="Arial" w:eastAsia="Arial" w:hAnsi="Arial"/>
          <w:sz w:val="16"/>
          <w:szCs w:val="16"/>
          <w:u w:val="single" w:color="auto"/>
          <w:color w:val="auto"/>
        </w:rPr>
        <w:t>PIPE</w:t>
      </w:r>
      <w:r>
        <w:rPr>
          <w:rFonts w:ascii="Arial" w:cs="Arial" w:eastAsia="Arial" w:hAnsi="Arial"/>
          <w:sz w:val="16"/>
          <w:szCs w:val="16"/>
          <w:color w:val="auto"/>
        </w:rPr>
        <w:t>”). The aggregate gross proceeds from the PIPE are approximately $3.3 million before expenses. The Company expects to use the net proceeds from the Notes Private Placement, the PIPE and cash drawn under the Facility Agreement to fund operating expenses and for general working capital, fees and expenses. As of March 21, 2022 The Company has received approximately $11,659,000 and is expecting to receive another $625,000 in cash from the sale of the Convertible Notes and the PIPE.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significant accounting policies are more fully described in the notes to our consolidated financial statements. Those material accounting estimates that we believe are the most critical to an investor’s understanding of our financial results and condition are discussed immediately below and are particularly important to the portrayal of our financial position and results of operations and require the application of significant judgment by our management to determine the appropriate assumptions to be used in the determination of certain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preparing these consolidated financial statements in conformity with U.S. GAAP, management is required to make estimates and assumptions that may affect the reported amounts of assets and liabilities and disclosure of contingent assets and liabilities as of the date of the consolidated financial statements and the reported amount of revenues and expenses during the reporting periods. Actual results could differ from those estimates.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the Company’s revenue recognition policy determined by revenue stream for its significant revenue generating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Cards Plus </w:t>
      </w:r>
      <w:r>
        <w:rPr>
          <w:rFonts w:ascii="Arial" w:cs="Arial" w:eastAsia="Arial" w:hAnsi="Arial"/>
          <w:sz w:val="18"/>
          <w:szCs w:val="18"/>
          <w:color w:val="auto"/>
        </w:rPr>
        <w:t>- The Company recognizes revenue for the design and production of cards at the point in time when products are shipped, or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performed due to the short-term nature of the contracts.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Payment Processing </w:t>
      </w:r>
      <w:r>
        <w:rPr>
          <w:rFonts w:ascii="Arial" w:cs="Arial" w:eastAsia="Arial" w:hAnsi="Arial"/>
          <w:sz w:val="18"/>
          <w:szCs w:val="18"/>
          <w:color w:val="auto"/>
        </w:rPr>
        <w:t>– The Company recognizes revenue for variable fees generated for payment processing solutions that are earned on a usage</w:t>
      </w:r>
      <w:r>
        <w:rPr>
          <w:rFonts w:ascii="Arial" w:cs="Arial" w:eastAsia="Arial" w:hAnsi="Arial"/>
          <w:sz w:val="18"/>
          <w:szCs w:val="18"/>
          <w:i w:val="1"/>
          <w:iCs w:val="1"/>
          <w:color w:val="auto"/>
        </w:rPr>
        <w:t xml:space="preserve"> </w:t>
      </w:r>
      <w:r>
        <w:rPr>
          <w:rFonts w:ascii="Arial" w:cs="Arial" w:eastAsia="Arial" w:hAnsi="Arial"/>
          <w:sz w:val="18"/>
          <w:szCs w:val="18"/>
          <w:color w:val="auto"/>
        </w:rPr>
        <w:t>fee over time based on monthly transaction volumes or on a monthly flat fee rate. Additionally, the Company also sells certain equipment from time to time for which revenue is recognized at a point in time the equipment is delivered to the customer.</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Identity Solutions Software </w:t>
      </w:r>
      <w:r>
        <w:rPr>
          <w:rFonts w:ascii="Arial" w:cs="Arial" w:eastAsia="Arial" w:hAnsi="Arial"/>
          <w:sz w:val="17"/>
          <w:szCs w:val="17"/>
          <w:color w:val="auto"/>
        </w:rPr>
        <w:t>– The Company recognizes revenue based on the identified performance obligations over the performance period for</w:t>
      </w:r>
      <w:r>
        <w:rPr>
          <w:rFonts w:ascii="Arial" w:cs="Arial" w:eastAsia="Arial" w:hAnsi="Arial"/>
          <w:sz w:val="17"/>
          <w:szCs w:val="17"/>
          <w:i w:val="1"/>
          <w:iCs w:val="1"/>
          <w:color w:val="auto"/>
        </w:rPr>
        <w:t xml:space="preserve"> </w:t>
      </w:r>
      <w:r>
        <w:rPr>
          <w:rFonts w:ascii="Arial" w:cs="Arial" w:eastAsia="Arial" w:hAnsi="Arial"/>
          <w:sz w:val="17"/>
          <w:szCs w:val="17"/>
          <w:color w:val="auto"/>
        </w:rPr>
        <w:t>fixed consideration and /or variable fees generated that are earned on a usage fee based over time based on monthly user or transaction volumes or on a monthly flat fee rate. We allocate the selling price in the contract to one customer which has multiple performance obligations based on the contract selling price that we believe represents a fair market price for the service rendered based on estimated standalone selling price.</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All contracts are reviewed for their respective performance obligations and related revenue and expense recognition implications. Certain of the revenues are derived from the identity services could include multiple performance obligations. A performance obligation under the revenue standard is defined as a promise to provide a “distinct” good or service to a customer. The Company has determined that one possible treatment under the standard is that these services will represent a stand-ready series of distinct daily services that are substantially the same, with the same pattern of transfer to the customer. Further, the Company has determined that the performance obligation to provide account access and facilitate transactions may meet the criteria for the “as invoiced” practical expedient, in that the Company has a right to consideration from a customer in an amount that corresponds directly with the value to the customer of the Company’s performance completed to date. As a result, the Company anticipates it may recognize revenue in the amount to which the Company has a right to invoice, based on completed performance at the relevant date. Additionally, the contracts could include implementation services, or support on an “as needed” basis and we will review each contract and determine whether such performance obligations are separate and distinct and apply the standard accordingly to the revenue and expense derived from or related to each such service. During both 2021 and 2020, the Company provided annual software maintenance support services relating to previously licensed software on a stand-ready basis. These fees were billed in advance and recognized ratably over the requisite service period as revenue.</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the Company capitalizes the incremental costs of acquiring and fulfilling a contract with a customer if the Company expects to recover those costs. The incremental costs of acquiring and fulfilling a contract are those that the Company incurs to acquire and fulfill a contract with a customer that it would not have incurred if the contract had not been acquired (for example, a sales commission or specific incremental costs associated with the contract).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Financing revenue related to direct financing leases is recognized over the term of the lease using the effective interest rate method.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customers are granted credit on a short-term basis and related credit risks are considered minimal. The Company routinely reviews its trade receivables and makes provisions for probable doubtful accounts; however, those provisions are estimates and actual results could differ from those estimates and those differences may be material. Trade receivables are deemed uncollectible and removed from accounts receivable and the allowance for doubtful accounts when collection efforts have been exhausted. On December 31, 2021, the Company had an allowance for doubtful accounts of $7,500 and on December 31, 2020 no allowance for doubtful accounts was necessary.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Inventory of plastic/ID cards, digital printing material, which are held by Cards Plus Pty Ltd., are at the lower of cost (using the average method) or market. The Plastic/ID cards and digital printing material are used to provide plastic loyal ID and other types of cards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Inventories as of December 31, 2021 and December 31, 2020, consist solely of cards inventory. As of December 31, 2021 and December 31, 2020, the Company recorded an inventory valuation allowance of approximately $20,000 and $18,000, respectively, to reflect net realizable value of the cards inventory.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adjustments to reduce the cost of inventories to their net realizable value are recognized in earnings in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 – Software Development Costs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Other assets includes when applicable, costs associated with software development of new product offerings and enhancements to existing applications. Research &amp; development costs are expensed as incurred. Development costs of computer software to be sold, leased or otherwise marketed are subject to capitalization beginning when a product’s technological feasibility has been established and ending when a product is available for general release to customers. As of December 31, 2021, all assets have been placed into service. As of December 31, 2020, a portion of the software was still under development and had not been placed in service. Upon completion, the amounts were transferred to the appropriate asset category and expensed over their estimated useful lives. In 2021 and 2020, approximately $0 million and $0.4 million respectively of software development costs were placed into service and classified as internally developed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Goodwill is recorded when the purchase price paid for an acquisition exceeds the fair value of net identified tangible and intangible assets acquired. The Company performs an annual impairment test of goodwill and further periodic tests to the extent indicators of impairment develop between annual impairment tests. The Company’s impairment review process compares the fair value of the reporting unit to it carrying value, including the goodwill related to the reporting unit utilizing qualitative considerations. To determine the fair value of the reporting unit, the Company may use various approaches including an asset or cost approach, market approach or income approach or any combination thereof. These approaches may require the Company to make certain estimates and assumptions including future cash flows, revenue and expenses. These estimates and assumptions are reviewed each time the Company tests goodwill for impairment and are typically developed as part of the Company’s routine business planning and forecasting process. While the Company believes its estimates and assumptions are reasonable, variations from those estimates could produce materially different results.</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2021, the Company’s projection and assessment did not indicate that an impairment charge was required as its fair value was in excess of carrying value.</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During the year ended December 31, 2020, the Company updated our projections associated with our reporting units and it indicated that the carrying value may not be recovered as revenue assumptions were not met. The goodwill impairment loss for the year ended December 31, 2020, was approximately $1.0 at one of its reporting units.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reporting unit in both years was determined using discounted cash flow as well as future realizable value.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Excluding goodwill, acquired intangible assets and internally developed software are amortized over their estimated useful lives which is currently five to ten years. Acquired amortizing intangible assets are carried at cost, less accumulated amortization. Internally developed software costs are capitalized upon reaching technological feasibility.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the carrying amount of an asset exceeds its undiscounted estimated future cash flows, an impairment review is performed. An impairment charge is recognized in the amount by which the carrying amount of the asset exceeds the fair value of the asset. Generally fair value is determined using valuations techniques such as expected discounted cash flows or appraisals, as appropriate. Assets to be disposed of would be separately presented in the balance sheet and reported at the lower of the carrying amount or fair value less costs to sell and are no longer depreciated. The assets and liabilities of a disposed group classified as held for sale would be presented separately in the appropriate asset and liability sections of the balance sheet. During the year ended December 31, 2021, the Company determined that certain intangibles assets would not be recovered and an impairment expense of approximately $831,000 was recognized. During the year ended December 31, 2020, the Company impaired intangible assets of approximately $297,000 at one of the reporting units as the carrying amount was in excess its recoverable amount.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Research and development costs consist of expenditures for the research and development of new products and technology. These costs are primarily expenses to vendors contracted to perform research projects and develop technology for the Company’s products. Research and development costs are expensed as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accounted for stock-based compensation under the provisions of FASB ASC 718 – “Stock Compensation” which requires the use of the fair-value based method to determine compensation for all arrangements under which employees and others receive shares of stock or equity instruments (stock options and common stock purchase warrants). For both employee and non-employee awards, the fair value of each stock option award is estimated on the date of grant using the Black-Scholes valuation model that uses assumptions for expected volatility, expected dividends, expected term, and the risk-free interest rate. . Expected volatilities are based on historical volatility of peer companies and other factors estimated over the expected term of the stock options. For employee awards, the expected term of options granted is derived using the “simplified method” which computes expected term as the average of the sum of the vesting term plus the contract term. The risk-free rate is based on the U.S. Treasury yield curve in effect at the time of grant for the period of the expected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2017, the FASB issued Accounting Standards Update (“ASU”) 2017-04, “Intangibles-Goodwill and Other: Simplifying the Test for Goodwill Impairment” (ASU 2017-04). The standard simplifies the subsequent measurement of goodwill by eliminating Step 2 from the goodwill impairment test. Under the amendments of ASU 2017-04, an entity should perform its goodwill impairment test by comparing the fair value of a reporting unit with it carrying amount. An entity will recognize an impairment charge for the amount by which the carrying amount exceeds the reporting unit’s fair value, but the loss cannot exceed the total amount of goodwill allocated to the reporting unit. The Company adopted ASU 2017-04 for the calendar year ending December 31, 2021, the effective date for adoption. The adoption of this standard did not have a have a material impact on the Company’s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discussion includes information about Adjusted EBITDA that is not prepared in accordance with U.S. GAAP. Adjusted EBITDA is not based on any standardized methodology prescribed by U.S. GAAP and is not necessarily comparable to similar measures presented by other companies. A reconciliation of this non-GAAP measure is included below.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Adjusted EBITDA is a non-GAAP financial measure that represents U.S. GAAP net income (loss) adjusted to exclude (1) interest expense,</w:t>
      </w:r>
    </w:p>
    <w:p>
      <w:pPr>
        <w:spacing w:after="0" w:line="35" w:lineRule="exact"/>
        <w:rPr>
          <w:sz w:val="20"/>
          <w:szCs w:val="20"/>
          <w:color w:val="auto"/>
        </w:rPr>
      </w:pPr>
    </w:p>
    <w:p>
      <w:pPr>
        <w:ind w:firstLine="8"/>
        <w:spacing w:after="0" w:line="290" w:lineRule="auto"/>
        <w:tabs>
          <w:tab w:leader="none" w:pos="263"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interest income, (3) provision for income taxes, (4) depreciation and amortization, (5) stock-based compensation expense (stock options and restricted stock) and (6) certain other items management believes affect the comparability of operating results. Other items included the following:</w:t>
      </w:r>
    </w:p>
    <w:p>
      <w:pPr>
        <w:spacing w:after="0" w:line="161" w:lineRule="exact"/>
        <w:rPr>
          <w:rFonts w:ascii="Arial" w:cs="Arial" w:eastAsia="Arial" w:hAnsi="Arial"/>
          <w:sz w:val="17"/>
          <w:szCs w:val="17"/>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Severance cost of $0.3 million in 2021 and $0.4 million in 2020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Impairment loss of $1.3 million in 2020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Gain on extinguishment of debt of $1.0 million in 2021 and loss of $1.0 million on extinguishment of debt in 2020.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Warrant inducement expense of $0.4 million in 2020.</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Management believes that Adjusted EBITDA, when viewed with our results under U.S.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from, or as a substitute for, analysis of our results as reported under GAAP. Some of these limitations are:</w:t>
      </w:r>
    </w:p>
    <w:p>
      <w:pPr>
        <w:spacing w:after="0" w:line="1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include the impact of certain charges or gains resulting from matters we consider not to be indicative of our ongoing operations.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as a supplement to our U.S. GAAP results.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Reconciliation of Net Loss to Adjusted EBITDA</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For the Year Ended</w:t>
            </w: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(17,665,788)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(11,298,558)</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585,636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969,396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Debt extinguishment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(971,522)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985,842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exercise inducement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366,795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(25,406)</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(69,563)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Severance cost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305,000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426,175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1,260,286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1,250,542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36,323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Impairment loss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831,077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1,333,566</w:t>
            </w: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6,702,797</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823,564</w:t>
            </w: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(Non-GAAP)</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(8,956,896)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(5,175,918)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Adjusted EBITDA loss in 2021 compared to 2020 is principally due to the investment in people, technology and marketing associated with the rebranding of the Company and the improvement of its core products as well as recording a reserve for $0.5 million at its Colombia operations principally for receivables.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Results of Operations and Financial Condition for the Year Ended December 31, 2021 as Compared to the Year Ended December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year ended December 31, 2021 compared to the year ended December 31, 2020, the Company’s revenue increased to $2.3 million from $2.1 million, or $0.2 million. The increase in revenue for the year ended December 31, 2021 is principally due to the increase in revenue from 2020 at Cards Plus due to the impact of Covid-19 pandemic. 2021 Identity and Colombian revenue were on par with 2020,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During the years ended December 31, 2021 and December 31, 2020, cost of sales was $0.7 million in both periods. Costs of sales as a percentage of revenue was slightly higher in the year ended December 31, 2021 compared to December 31, 2020 due to lower margin revenue at Cards Plus.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 and administrative expenses for the year ended December 31, 2021, increased by approximately $9.2 million compared to the same period in 2020 due to increased compensation, marketing and technology costs in addition to higher non-cash stock compensation charges. Stock compensation charges were $6.7 million in 2021 compared to $0.8 million in 2020. Additionally, the Company incurred higher expenses as it invested in people, technology and marketing as it rebranded the Company and continues to improve and focus its core products as well as recording a reserve for $0.5 million at its Colombia operations principally for receivables.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2021, compared to the year ended December 31, 2020, research and development expenses increased by approximately $0.5 million as the Company focused resources on key product initiatives.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loss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year ended December 31, 2021, the Company recorded an impairment loss of approximately $831,000 related to a customer list and certain intellectual property from our 2016 acquisition due to the loss of the major customer as they decommissioned the product.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jc w:val="both"/>
        <w:ind w:firstLine="648"/>
        <w:spacing w:after="0" w:line="273" w:lineRule="auto"/>
        <w:rPr>
          <w:sz w:val="20"/>
          <w:szCs w:val="20"/>
          <w:color w:val="auto"/>
        </w:rPr>
      </w:pPr>
      <w:r>
        <w:rPr>
          <w:rFonts w:ascii="Arial" w:cs="Arial" w:eastAsia="Arial" w:hAnsi="Arial"/>
          <w:sz w:val="17"/>
          <w:szCs w:val="17"/>
          <w:color w:val="auto"/>
        </w:rPr>
        <w:t>During the year ended December 31, 2020, the Company recorded a goodwill impairment loss of approximately $1.0 million, associated with goodwill at a reporting unit based in Africa. Additionally, in the year ended December 31, 2020, the Company recorded an impairment on intangible assets of approximately $0.3 million at a reporting unit in Latin America as the carrying value was in excess of its estimated recoverable value. As a result of the pandemic and its potential impact on future results, the Company updated its reporting unit projections and these indicated impairments for either goodwill or intangible assets were required as the carrying value may not be recovered as revenue assumptions and related revenue were revised downward. The fair value of the reporting unit was determined using discounted cash flow.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was approximately the same during the year ended December 31, 2021, compared to December 31,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decreased during the year ended December 31, 2021 compared to the year ended December 31, 2020, as the Company received conversion notices from the majority of convertible noteholders in June 2021 and converted the majority of the Company’s outstanding indebtedness into common shares, thereby reducing its interest obligation.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2021, the Company recorded a gain on the extinguishment of debt for two Paycheck Protection Program loans as the Company met the applicable requirements.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the Company recorded a charge of approximately $986,000 related to the amendment of a promissory note which was treated as an extinguishment of a note payable and a charge of $367,000 in connection with the inducement to certain warrant holders to exercise their outstanding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Ukraine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war in the Ukraine may impact the Company and its operations in a number of different ways, which are yet to be fully assessed and are therefore uncertain. The Company’s principal concern is for the safety of the personnel who support us from that region. The Company works with third party sub-contractors for outsourced services, including software engineering and development, some of whom are based in Eastern Europe, including Russia and Ukraine. The Company also works with outsourced engineers and developers and third-party providers in other parts of the world, including the United States, Europe, India, South Africa and South America. While the continuing impact of this conflict and the response of the United States and other countries to it by means of trade and economic sanctions, or other actions is still unknown, it could disrupt our ability to work with certain contractors The Company has taken steps to diversify its sub-contractor base, which may in the short term give rise to additional costs and delays in delivering software and product upgrades.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uncertainty impacting and potential interruption in energy and other supply chains resulting from military hostilities in Europe and the response of the United States and other countries to it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Russia or other countries may prompt enterprises to adopt additional security measures such as those offered by the Company.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so long as the hostilities continue and perhaps even thereafter as the situation in Europe unfolds, we may see increased volatility in financial markets and a flight to safety by investors, which may impact our stock price and make it more difficult for the Company to raise additional capital at the time when it needs to do so, or for financing to be available upon acceptable terms. All or any of these risks separately, or in combination could have a material adverse effect on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Covid-19 emerged globally in December 2019, and it has been declared a pandemic. Covid-19 is still impacting customers, business, results and financial condition throughout the world. The Company’s day-to-day operations have been impacted differently depending on geographic location and services that are being performed. The Cards Plus business located in South Africa operations has had limitations on its operations as they are following the guidance and requirements of the South African government. Our operations in the United States and Colombia have suffered a lesser immediate impact as most staff can work remotely and can continue to develop our product offerings.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That said we have seen our business opportunities develop more slowly as business partners and potential customers include Covid-19 considerations. Furthermore, working remotely can cause a delay in decision making and finalization of negotiations and agreements.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2021, current assets were $6.9 million and current liabilities outstanding amounted to $2.9 million which resulted in net working capital of $4.0 million.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by operating activities was $8.8 million for the year ended December 31, 2021 compared to $4.7 million in 2020. Cash used in operations for 2021 and 2020 was the primarily result of funding the business operations as the Company invested in people, product and marketing as we are developing and expanding the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281" w:gutter="0" w:footer="0" w:header="0"/>
        </w:sectPr>
      </w:pPr>
    </w:p>
    <w:bookmarkStart w:id="44" w:name="page45"/>
    <w:bookmarkEnd w:id="44"/>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in 2021 and 2020 was approximately $0.1 million and $0.3 million as the Company invested in software development expenditures which were capitalized.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for 2021 and 2020 was approximately $11.1 million and $8.2 million, which consisted primarily of the net proceeds from the sale of common stock and the exercise of stock options and warrants in 2021 and the sale of common stock, issuance of convertible notes payable and exercise of warrants in 2020.</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2022, the Company will continue to be opportunistic as well as judicious in raising additional funds to support its operations and investments as it creates a sustainable organization. There is no guarantee that such financing will be available if available on acceptable terms.</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growth-oriented business plan to offer products to our customers will require continued capital investment. Research and development activities and technology deployment will require continued investment. We raised approximately $11.1 million and $8.2 million and in 2021 and 2020, respectively, through equity and debt financing at varying terms. In order to implement and grow our operations through December 31, 2023 and achieve an expected annual revenue stream from our products, we expect that we will need to raise between $17.5 million and $22.5 million dollars. There is no guarantee that our current business plan will not change, and as a result of such change, we will need additional capital to implement such business plan. Further, assuming we achieve our expected growth plan, of which there is no guarantee, we will need additional capital to implement growth beyond our current business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March 21, 2022, the Company entered into a Securities Purchase Agreement (“SPA”) with certain accredited investors, including certain directors of the Company or their affiliates (the “Note Investors”), and, pursuant to the SPA, sold to the Note Investors Senior Secured Convertible Notes (the “Convertible Notes”) with an aggregate initial principal amount of approximately $9.2 million and an initial conversion price of $3.70 per share. Also on March 21, 2022, the Company entered into a Facility Agreement the (“Facility Agreement") with Stephen J. Garchik, who is both a current shareholder of the Company and a Note Investor (“Garchik”), pursuant to which Garchik agreed to provide to the Company a $10.0 million unsecured standby line of credit facility that will rank behind the Convertible Notes and may be drawn down in several tranches, subject to certain conditions described in the Facility Agreement. Pursuant to the Facility Agreement, the Company agreed to pay Garchik a facility commitment fee of 100,000 shares of our common stock upon the effective date of the Facility Agreement. On March 18 and March 21, 2022, the Company entered into Subscription Agreements (the “Subscription Agreements”) with an accredited investor and certain members of authID.ai’s management team (the “PIPE Investors”), and, pursuant to the Subscription Agreements, sold to the PIPE Investors a total of 1,063,514 shares of our common stock (the “Other Stock”) at prices of $3.03 per share for an outside investor and $3.70 per share for the management investors (the “PIPE”). The aggregate gross proceeds from the PIPE are approximately $3.3 million before expenses. The Company expects to use the net proceeds from the Notes Private Placement, the PIPE and cash drawn under the Facility Agreement to fund operating expenses and for general working capital, fees and expenses. As of March 21, 2022 The Company has received approximately $11,709,000 and is expecting to receive another $549,000 in cash from the sale of the Convertible Notes and the PIPE.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Indebtedness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described in Item 1A, (Risk Factors) the Company has a history of losses and may not be able to achieve profitability in the near term. The Company has not been able to achieve positive cash flows from operations and raised additional financing in 2021 and 2020 from equity financing and convertible notes payable financing.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Notes 5 and 6 of the Consolidated Financial Statements for additional information associated with the notes and convertible notes payable.</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2021, the Company has a convertible note payable outstanding for $662,000 that was due on February 28, 2022, which has been extended to December 31, 2022 by a mutual agreement between the convertible noteholder and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the Company as of December 31, 2021, has an equipment loan outstanding and a capital lease obligation outstanding for $1,579 and $10,562, respectively, which will be paid in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8 of the Consolidated Financial Statements for additional information associated with equity financing in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Common Stock Transactions</w:t>
      </w:r>
    </w:p>
    <w:p>
      <w:pPr>
        <w:spacing w:after="0" w:line="225" w:lineRule="exact"/>
        <w:rPr>
          <w:sz w:val="20"/>
          <w:szCs w:val="20"/>
          <w:color w:val="auto"/>
        </w:rPr>
      </w:pPr>
    </w:p>
    <w:p>
      <w:pPr>
        <w:jc w:val="both"/>
        <w:ind w:left="980" w:hanging="324"/>
        <w:spacing w:after="0" w:line="25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August 26, 2021, the Company completed the Offering, pursuant to a Registration Statement on Form S-1, of 1,642,856 shares of its common stock at a public offering price of $7.00 per share, including 214,285 shares sold upon full exercise of the underwriter’s option to purchase additional shares, for gross proceeds of approximately $11.5 million, before deducting underwriting discounts and offering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5" w:name="page46"/>
    <w:bookmarkEnd w:id="45"/>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2021, convertible notes totaling approximately $6.2 million and a portion of their accrued interest were converted at the option of the noteholders into approximately 1,171,000 shares of common stock of the Company.</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2021, the Company issued approximately 756,000 shares of common stock pursuant to cashless exercises of common stock purchase warrants and options, and approximately 81,000 shares of common stock pursuant to exercises of common stock purchase warrants and options for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Common Stock Transactions</w:t>
      </w:r>
    </w:p>
    <w:p>
      <w:pPr>
        <w:spacing w:after="0" w:line="225" w:lineRule="exact"/>
        <w:rPr>
          <w:sz w:val="20"/>
          <w:szCs w:val="20"/>
          <w:color w:val="auto"/>
        </w:rPr>
      </w:pPr>
    </w:p>
    <w:p>
      <w:pPr>
        <w:ind w:left="980" w:hanging="324"/>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June 2020, the Company entered into Subscription Agreements with two accredited investors (the “June 2020 Accredited Investors”) pursuant to which the June 2020 Accredited Investors agreed to purchase 114,719 shares of common stock for $200,000.</w:t>
      </w:r>
    </w:p>
    <w:p>
      <w:pPr>
        <w:spacing w:after="0" w:line="146"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June 30, 2020, Company entered into and consummated a private transaction pursuant to which a portion of the Company’s $3.00 Warrants were exercised for cash at an exercise price of $2.10 per share. In addition, the holders that exercised the $3.00 Warrants received a $4.50 Warrant for every four $3.00 Warrants exercised. As a result, the Company issued 333,611 shares of common stock and 83,402 $4.50 warrants in consideration of $700,583.</w:t>
      </w:r>
    </w:p>
    <w:p>
      <w:pPr>
        <w:spacing w:after="0" w:line="186"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June 30, 2020, Company entered into and consummated a private transaction pursuant to which a portion of the Company’s $1.50 Warrants were exercised for cash. In addition, the holders that exercised the $0.05 Warrants receive a $4.50 Warrant for every two $1.50 Warrants exercised. As a result, the Company issued 154,400 shares of common stock and 77,200 $4.50 Warrants, in consideration of $231,600. Separately, certain holders of the $1.50 Warrants to acquire 59,000 shares of common stock exercised on a cashless basis resulting in the issuance of 560,659 shares of common stock.</w:t>
      </w:r>
    </w:p>
    <w:p>
      <w:pPr>
        <w:spacing w:after="0" w:line="187"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June 30, 2020, Company entered into and consummated a private transaction pursuant to which a portion of the Company’s $1.80 Warrants were exercised. In addition, the holders that exercised the $1.80 Warrants also received $4.50 Warrant for every two $0.06 Warrants exercised. As a result, the Company issued 176,000 shares of common stock and 88,000 $4.50 Warrants in consideration of $316,800.</w:t>
      </w:r>
    </w:p>
    <w:p>
      <w:pPr>
        <w:spacing w:after="0" w:line="148" w:lineRule="exact"/>
        <w:rPr>
          <w:rFonts w:ascii="Arial" w:cs="Arial" w:eastAsia="Arial" w:hAnsi="Arial"/>
          <w:sz w:val="16"/>
          <w:szCs w:val="16"/>
          <w:color w:val="auto"/>
        </w:rPr>
      </w:pPr>
    </w:p>
    <w:p>
      <w:pPr>
        <w:jc w:val="both"/>
        <w:ind w:left="980" w:hanging="324"/>
        <w:spacing w:after="0" w:line="25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October 30, 2020 and on November 6, 2020, Ipsidy Inc. entered into Securities Purchase Agreements with several accredited investors (the “October 2020 Accredited Investors”) pursuant to which the October 2020 Accredited Investors agreed to purchase an aggregate of 1,747,833 shares of the Company’s common stock together with Warrants to acquire 873,917 shares of common stock for a term of five years at an exercise price of $4.50 per share for an aggregate purchase price of approximately $5.24 million. In connection with this private offering, the Company paid a registered broker-dealer, a cash fee of approximately $367,000 and issued the broker-dealer a common stock purchase warrant to acquire approximately 105,000 shares of common stock of the Company exercisable for a term of five years at an exercise price of $4.50 per share.</w:t>
      </w:r>
    </w:p>
    <w:p>
      <w:pPr>
        <w:spacing w:after="0" w:line="19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2020, the Company issued approximately 57,000 shares of common stock pursuant to cashless exercises of common stock purchase warrants and options, other than the June 2020 warrant exercises.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financing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the Company had the following contractual obligations.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jc w:val="right"/>
              <w:ind w:right="790"/>
              <w:spacing w:after="0"/>
              <w:rPr>
                <w:sz w:val="20"/>
                <w:szCs w:val="20"/>
                <w:color w:val="auto"/>
              </w:rPr>
            </w:pPr>
            <w:r>
              <w:rPr>
                <w:rFonts w:ascii="Arial" w:cs="Arial" w:eastAsia="Arial" w:hAnsi="Arial"/>
                <w:sz w:val="18"/>
                <w:szCs w:val="18"/>
                <w:b w:val="1"/>
                <w:bCs w:val="1"/>
                <w:color w:val="auto"/>
              </w:rPr>
              <w:t>Payments due by period</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Less than</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7"/>
                <w:szCs w:val="17"/>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1 year</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1-3 years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 years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5 years</w:t>
            </w:r>
          </w:p>
        </w:tc>
      </w:tr>
      <w:tr>
        <w:trPr>
          <w:trHeight w:val="216"/>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Convertible notes payable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662,000</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662,000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70,395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70,395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Financing leases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10,562</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10,562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Former executive agreement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275,583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275,583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1,020,119</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1,020,119</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consolidated financial statements and notes thereto and the report of our independent registered public accounting firm (PCOAB ID 00677), are set forth on pages F-1 through F-32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the end of the period covered by this Annual Report, our Chief Executive Officer and Chief Financial Officer performed an evaluation of the effectiveness of our disclosure controls and procedures as defined in Rules 13a-15 and 15d-15(e) of the Exchange Act. Based on the evaluation, the Chief Executive Officer and Chief Financial Officer concluded that, as of December 31, 2021,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for the Company, as defined in Rules 13a-15(f) and 15d-15(f) under the Securities Exchange Act of 1934, as amended. Our internal control over financial reporting is designed to provide reasonable, but not absolute, assurance regarding the reliability of financial reporting and the preparation of financial statements in accordance with U.S. generally accepted accounting principles. Our management, including the Chief Executive Officer and Chief Financial Officer,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and such evaluation is subject to the risks discussed in item 1A – Risk Factors of this Report.</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31, 2021, using the criteria established in Internal Control - Integrated Framework (2013) issued by the Committee of Sponsoring Organizations of the Treadway Commission. Based on management’s assessment using the above criteria, management concluded that the Company maintained effective internal control over financial reporting as of December 31, 2021. During 2021, the Company revised their quarterly and annual financial reporting and closing procedures to remediate previously reported control deficiency.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last fiscal year that have materially affected, or are reasonably likely to materially affect, our internal control over financial reporting except that, during 2020, the Company revised their quarterly and annual financial reporting and closing procedures to remediate previously reported control deficiency.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current Directors and Officers of the Company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6620" w:type="dxa"/>
            <w:vAlign w:val="bottom"/>
          </w:tcPr>
          <w:p>
            <w:pPr>
              <w:spacing w:after="0"/>
              <w:rPr>
                <w:sz w:val="20"/>
                <w:szCs w:val="20"/>
                <w:color w:val="auto"/>
              </w:rPr>
            </w:pPr>
            <w:r>
              <w:rPr>
                <w:rFonts w:ascii="Arial" w:cs="Arial" w:eastAsia="Arial" w:hAnsi="Arial"/>
                <w:sz w:val="18"/>
                <w:szCs w:val="18"/>
                <w:b w:val="1"/>
                <w:bCs w:val="1"/>
                <w:color w:val="auto"/>
              </w:rPr>
              <w:t>Position (s) and Offices Held</w:t>
            </w:r>
          </w:p>
        </w:tc>
      </w:tr>
      <w:tr>
        <w:trPr>
          <w:trHeight w:val="216"/>
        </w:trPr>
        <w:tc>
          <w:tcPr>
            <w:tcW w:w="3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Thomas L. Thimot</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top w:val="single" w:sz="8" w:color="CCEEFF"/>
            </w:tcBorders>
            <w:shd w:val="clear" w:color="auto" w:fill="CCEEFF"/>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and Chief Executive Officer</w:t>
            </w:r>
          </w:p>
        </w:tc>
      </w:tr>
      <w:tr>
        <w:trPr>
          <w:trHeight w:val="216"/>
        </w:trPr>
        <w:tc>
          <w:tcPr>
            <w:tcW w:w="3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Phillip L. Kumnick</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3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Cecil N. Smith III (Tripp)</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Technology Officer</w:t>
            </w:r>
          </w:p>
        </w:tc>
      </w:tr>
      <w:tr>
        <w:trPr>
          <w:trHeight w:val="216"/>
        </w:trPr>
        <w:tc>
          <w:tcPr>
            <w:tcW w:w="3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Stuart P. Stoller</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Philip R. Broenniman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A. Gorriz (2)(3)</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L. Koehneman* (1)(2)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Neepa Patel*(1)(2)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Jacqueline L. White* (1)(3)</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2"/>
          </w:tcPr>
          <w:p>
            <w:pPr>
              <w:ind w:left="60"/>
              <w:spacing w:after="0"/>
              <w:rPr>
                <w:sz w:val="20"/>
                <w:szCs w:val="20"/>
                <w:color w:val="auto"/>
              </w:rPr>
            </w:pPr>
            <w:r>
              <w:rPr>
                <w:rFonts w:ascii="Arial" w:cs="Arial" w:eastAsia="Arial" w:hAnsi="Arial"/>
                <w:sz w:val="18"/>
                <w:szCs w:val="18"/>
                <w:color w:val="auto"/>
              </w:rPr>
              <w:t>denotes Committee Chair</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3220" w:type="dxa"/>
            <w:vAlign w:val="bottom"/>
            <w:gridSpan w:val="2"/>
          </w:tcPr>
          <w:p>
            <w:pPr>
              <w:ind w:left="60"/>
              <w:spacing w:after="0"/>
              <w:rPr>
                <w:sz w:val="20"/>
                <w:szCs w:val="20"/>
                <w:color w:val="auto"/>
              </w:rPr>
            </w:pPr>
            <w:r>
              <w:rPr>
                <w:rFonts w:ascii="Arial" w:cs="Arial" w:eastAsia="Arial" w:hAnsi="Arial"/>
                <w:sz w:val="18"/>
                <w:szCs w:val="18"/>
                <w:color w:val="auto"/>
              </w:rPr>
              <w:t>Audit Committee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3220" w:type="dxa"/>
            <w:vAlign w:val="bottom"/>
            <w:gridSpan w:val="2"/>
          </w:tcPr>
          <w:p>
            <w:pPr>
              <w:ind w:left="60"/>
              <w:spacing w:after="0"/>
              <w:rPr>
                <w:sz w:val="20"/>
                <w:szCs w:val="20"/>
                <w:color w:val="auto"/>
              </w:rPr>
            </w:pPr>
            <w:r>
              <w:rPr>
                <w:rFonts w:ascii="Arial" w:cs="Arial" w:eastAsia="Arial" w:hAnsi="Arial"/>
                <w:sz w:val="18"/>
                <w:szCs w:val="18"/>
                <w:color w:val="auto"/>
              </w:rPr>
              <w:t>Governance Committee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3220" w:type="dxa"/>
            <w:vAlign w:val="bottom"/>
            <w:gridSpan w:val="2"/>
          </w:tcPr>
          <w:p>
            <w:pPr>
              <w:ind w:left="60"/>
              <w:spacing w:after="0"/>
              <w:rPr>
                <w:sz w:val="20"/>
                <w:szCs w:val="20"/>
                <w:color w:val="auto"/>
              </w:rPr>
            </w:pPr>
            <w:r>
              <w:rPr>
                <w:rFonts w:ascii="Arial" w:cs="Arial" w:eastAsia="Arial" w:hAnsi="Arial"/>
                <w:sz w:val="18"/>
                <w:szCs w:val="18"/>
                <w:color w:val="auto"/>
              </w:rPr>
              <w:t>Compensation Committee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Thomas L. Thimot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Thimot was appointed as Chief Executive Officer and as a Director of our company on June 14, 2021. From 2018 through November 2020, Mr. Thimot served as Chief Executive Officer and Director of Socure, Inc., a leading provider of identity verification and fraud risk solutions. Prior to joining Socure, from September 2015 to October, 2018, Mr. Thimot served as CEO and Director of Clarity Insights a privately held provider of data science consulting acquired by Accenture plc. where he was responsible for all operational aspects of the business. Prior to Clarity Insights, Mr. Thimot served as the Vice President of Cognizant Technology Solutions (Nasdaq: CTSH), a consulting firm and emerging business accelerator where he was responsible for all emerging services related to social, mobile, data analytics and cloud. Prior to 2015, Mr. Thimot held various roles and founded various businesses including his own consulting business, CaseCentral (an eDiscovery cloud-based software service now part of Oracle), Kazeon (a data and analytics software provider now part of Dell), GoRemote, Netegrity and Enigma. Mr. Thimot started his career with Oracle, Price Waterhouse and Accenture and received his BS Mechanical Engineering from Marquette University.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Phillip Kumnick</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Phillip Kumnick serves as Chairman of the Board of Directors of the Company and has been a director of the Company since 2020. Mr. Kumnick was appointed as CEO in May 2020 and served in the capacity through June 2021. From 2010 to 2018, Mr. Kumnick was Senior Vice President Global Acquirer Processing at Visa, Inc., and was the executive in charge of leading and growing Visa’s acquirer and merchant processing services and omni-channel solutions on a global basis. Mr. Kumnick was also a key contributor to the design of the Secure Remote Commerce (SRC) standard now being rolled out by the card brands, which aims to provide a simple and secure card payment experience. SRC uses tokenization to protect consumers’ sensitive data and intelligent identity authentication to help distinguish legitimate cardholders from fraudsters. Mr. Kumnick was the product owner and developer of Visa’s critical entry into encryption and tokenization products and services for their acquiring partners for transactions at the physical point of sale. Prior to joining Visa, Mr. Kumnick was the leader of the Cards &amp; Payments practice of Cap Gemini Consulting from October 2009 through June 2010. Prior to Cap Gemini Consulting. Mr. Kumnick was a Senior Vice President at TSYS Acquiring Solutions from 2001 to 2009, with responsibility for leading the Product Management team and expanding the Company’s portfolio of merchant and acquirer products. He was also a leader of key M&amp;A activities, including business development and strategic investment in Europe, Latin America and Asia, and helped expand TSYS’ client footprint to over 70 countries. Mr. Kumnick started his payments career at MasterCard International where he worked from 1988 to 2000, in various capacities, rising to Vice President &amp; Chief Settlement Officer – Global Settlement Operations. In that role he was responsible for the 7 x 24 x 365 mission critical clearing and payment operations of a $3.0 billion per day global EFT and treasury operation. Mr. Kumnick was a strategic subject matter expert and key contributor to the evolution of MasterCard’s global processing functions. Mr. Kumnick has an MBA- Finance and a BS Finance from St. Louis University.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18"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Tripp Smith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Mr. Cecil N. Smith III (“Tripp”) was appointed as President and Chief Technology Officer on June 14, 2021. Mr. Smith is a technologist and thought leader specializing in data, analytics and AI. His experience spans entrepreneurial ventures to Fortune 100 enterprises, centered around strategy, product engineering, sales, and building high performance data science and engineering teams. In 2011, Mr. Smith joined Clarity Insights, a RLH Equity and Salesforce Ventures-backed data consultancy with deep data science, artificial intelligence and machine learning expertise. There he worked with hyper scale technology companies ultimately rising to Chief Technology Officer. Mr. Smith led Clarity Insights to a $100MM+ ARR and an acquisition by Accenture AI in 2020. In 2020, Mr. Smith joined Socure Inc., a leading provider of identity verification and fraud risk solutions, as an advisor supporting Product, Technology, Marketing, and Sales functions. Mr. Smith previously held technical leadership roles at Hewlett Packard and the Advisory Board Company and is a graduate of the University of North Carolina at Chapel Hill.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Stuart Stoller</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Stuart Stoller serves as Chief Financial Officer of the Company having been appointed in January 2017. Mr. Stoller. Prior to joining the Company served as Chief Financial Officer and Board Member for TestAmerica Environmental Services LLC from May 2016 to October 2017. From December 2013 to April 2016, he was the Chief Financial Officer of Associated Food Stores. Mr. Stoller served as Chief Financial and Administrative Officer for Sleep Innovations from August 2009 to October 2013. Prior to joining Sleep Innovations, Mr. Stoller for 27 years served various roles with the New York Times Company including Senior Vice President for Process Reengineering and Corporate Controller and various capacities at Macy’s which included the role of Senior Vice President and Corporate Controller. He also was the controller of Coopers &amp; Lybrand LLP. He is a Certified Public Accountant.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Philip R. Broenniman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Philip Broenniman was appointed a director of the Company in March 2020 and served as the President and Chief Operating Officer from May 2020-June 2021. Since 2011, Mr. Broenniman has been Managing Partner and Portfolio Manager for Varana Capital, LLC (“VCLLC”), an investment firm he co-founded in 2011. As part of the VCLLC investment strategy of cooperative engagement, Mr. Broenniman sits on or advises the Board of multiple public/private companies, working with each on strategic planning, operational dynamics, and balance sheet needs/restructuring. Prior to co-founding Varana Capital in 2011, he held the positions of Principal and Portfolio Manager at Visium Asset Management, LP; Managing Partner and Portfolio Manager at Cadence Investment Partners, LLC; and Investment Analyst with the Bass Family Office in Fort Worth, TX. He began his career at Salomon Brothers Inc. trading fixed-income futures and options. Mr. Broenniman earned a BS in Computer Science from Duke University in 1987, an MBA from the Darden School at the University of Virginia in 1993 and the Chartered Financial Analyst (CFA) designation in 2000.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A. Gorriz</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Dr. Gorriz joined our company as a director on June 9, 2021. Dr. Gorriz was the Chief Information Officer and a member of the management team of Standard Chartered Bank, Singapore from 2015 through 2021. He also served Non-Executive Director of the Standard Charted Bank Hong Kong Board and the mox HK Board. Prior to that he served as Chief Information Officer at Daimler AG from 2007. Dr. Gorriz attended the University of Konstanz, the University of Freiburg and obtained his Doctorate in Engineering from the University of Stuttgart.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Michael L. Koehneman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Koehneman joined our company as a Director on June 9, 2021. Mr. Koehneman previously held various positions at Pricewaterhouse Coopers, a global accounting firm, through 2020, including the Global Advisory Chief Operating Officer and Human Capital Leader from 2016 through 2019, the U.S. Advisory Operations Leader from 2005 through 2016 responsible for the oversight of Advisory services for PwC, including business unit performance, finance, investments, human resources, acquisitions, and administration, and the Lead Engagement Partner for Financial Statement Audits and Internal Control and Security Reviews from 1993 through 2004 for several public and private company audits. Since 2020 he has also served as a director and member of the Audit Committee of Aspen Group, Inc.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Neepa Patel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Ms. Patel joined our company as a Director on November 15, 2021. Neepa Patel is the Founder and CEO of Them–s - a collaborative tech platform to help fintechs, banks and crypto companies create a strong governance, risk and compliance framework. Neepa has 15+ years of experience in various regulatory and compliance positions across the public and private sector. Prior to founding Themis in March 2020, she was the Head of Compliance for an enterprise blockchain company, R3 from 2016 through December 2019. Before that she had several risk and compliance positions at Deutsche Bank from 2014 to 2016 and at Morgan Stanley between 2011 and 2014. At Morgan Stanley, she helped develop a compliance framework for the newly formed banking entities, Morgan Stanley Bank and Morgan Stanley Private Bank post crisis. Neepa began her career as a Bank Examiner at the Office of the Comptroller of the Currency (OCC), where she worked from 2005 to 2011. Neepa attended Georgia Tech.</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Jacqueline L. White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Ms. White joined our company as a Director on June 9, 2021. Ms. White has been a leader in enterprise technology software and IT consulting for the past 25 years. Ms. White has held global positions at SAP, Oracle, and Accenture, always leading diverse, high performing organizations around the world. After leading the Banking &amp; Capital Markets line of business of DXC Technology Co. (NYSE: DXC) as Senior Vice President and Practice Lead from September 2019 to January 2021, Ms. White recently joined in January 2021 the Executive Management Team of Temenos AG (Six: TEMN), a company specializing in enterprise software for banks and financial services, as the President of the Americas Region. From January 2018 through September 2019, Ms. White served as the Chief Revenue Officer of Saltstack, a VM Ware Company, and from January 2015 through January 2018 as Global Senior Vice President Global FSI Consulting for SAP (NYSE: SAP). Prior to joining SAP, Ms. White held various positions with Accenture Services Pvt. Ltd., Oracle, BearingPoint and Novell. Ms. White was named by Utah Business Magazine as “Top Executives to Watch” in July 2020. Ms. White received a BA in Comparative Literature from Brigham Young University and a Leadership Certificate from Boston University.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&amp;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meetings during calendar year ended 2021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2021, the Board of Directors held nine meetings as well as committee meetings, as outlined below. Each director attended all of the meetings of the Board and all of the meetings held by all committees on which such director served. The Board also approved certain actions by unanimous written consent.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established by the Board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has standing Audit, Compensation, and Governance Committees. Information concerning the function of each Board committee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is responsible for overseeing management’s implementation of effective internal accounting and financial controls, supervising matters relating to audit functions, reviewing and setting internal policies and procedures regarding audits, accounting and other financial controls, reviewing the results of our audit performed by the independent public accountants, and evaluating and selecting the independent public accountants. The Audit Committee has adopted an Audit Committee Charter which is posted on the Corporate Governance page under the tab labeled “Board Committees” on our Investor Relations website at https://investors.authid.ai. The Board has not designated a member as the “audit committee financial expert” as defined by the SEC, which is not required at this time. During 2021, the Audit Committee held five meetings.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Compensation Committee determines matters pertaining to the compensation of our named executive officers and administers our stock option and incentive compensation plans. The Compensation Committee has adopted a Compensation Committee Charter which is posted on our which is posted on the Corporate Governance page under the tab labeled “Board Committees” on our Investor Relations website at https://investors.authid.ai. During 2021, the Compensation Committee held three meetings and also approved certain actions by unanimous written consent.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Governance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Governance Committee is responsible for considering potential Board members, nominating Directors for election to the Board, implementing the Company’s corporate governance policies, recommending compensation for the Board and for all other purposes outlined in the Governance Committee Charter, which is posted on the Corporate Governance page under the tab labeled “Board Committees” on our Investor Relations website at https://investors.authid.ai. During 2021, the Governance Committee held two meetings.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of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provided in its charter, the Governance Committee is responsible for identifying individuals qualified to become directors. The Governance Committee seeks to identify director candidates based on input provided by a number of sources including (1) the Governance Committee members, (2) our other directors, (3) our stockholders, (4) our Chief Executive Officer or Chair of the Board, and (5) third parties such as service providers. In evaluating potential candidates for director, the Governance Committee considers the entirety of each candidate’s credentials.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Qualifications for consideration as a director nominee may vary according to the particular areas of expertise being sought as a complement to the existing composition of the Board of Directors. However, at a minimum, candidates for director must possess:</w:t>
      </w:r>
    </w:p>
    <w:p>
      <w:pPr>
        <w:spacing w:after="0" w:line="17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 personal and professional ethics and integrity;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exercise sound judgment;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make independent analytical inquiries;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willingness and ability to devote adequate time and resources to diligently perform Board and committee duties;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appropriate and relevant business experience and acumen.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currently no legal proceedings, and during the past 10 years there have been no legal proceedings, that are material to the evaluation of the ability or integrity of any of our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are no family relationships among our directors and executive officers. There is no arrangement or understanding between or among our executive officers and directors pursuant to which any director or officer was or is to be selected as a director or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our knowledge, during the last ten years, none of our directors and executive officers has:</w:t>
      </w:r>
    </w:p>
    <w:p>
      <w:pPr>
        <w:spacing w:after="0" w:line="225" w:lineRule="exact"/>
        <w:rPr>
          <w:sz w:val="20"/>
          <w:szCs w:val="20"/>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Had a bankruptcy petition filed by or against any business of which such person was a general partner or executive officer either at the time of the bankruptcy or within two years prior to that time.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Been convicted in a criminal proceeding or been subject to a pending criminal proceeding, excluding traffic violations and other minor offenses.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1" w:name="page52"/>
    <w:bookmarkEnd w:id="51"/>
    <w:p>
      <w:pPr>
        <w:jc w:val="both"/>
        <w:ind w:left="980" w:hanging="324"/>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Been subject to any order, judgment or decree, not subsequently reversed, suspended or vacated, of any court of competent jurisdiction, permanently or temporarily enjoining, barring, suspending or otherwise limiting his involvement in any type of business, securities or banking activities.</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Been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Been the subject to, or a party to, any sanction or order, not subsequently reverse, suspended or vacated, of any self-regulatory organization, any registered entity, or any equivalent exchange, association, entity or organization that has disciplinary authority over its members or persons associated with a member.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our knowledge, none of our directors and executive officers has at any time been subject to any proceedings:</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were initiated by any regulatory, civil or criminal agency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which claims alleging fraud were asserted and seeking damages in excess of $100,000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a Code of Business Conduct and Ethics Policy (the “Code of Ethics”) that applies to all directors and officers, which is posted on the Corporate Governance page under the tab labeled “Board Committees” on our Investor Relations website at https://investors.authid.ai. The Code of Ethics describes the legal, ethical and regulatory standards that must be followed by the directors and officers of the Company and sets forth high standards of business conduct applicable to each director and officer. As adopted, the Code of Ethics sets forth written standards that are designed to deter wrongdoing and to promote, among other things:</w:t>
      </w:r>
    </w:p>
    <w:p>
      <w:pPr>
        <w:spacing w:after="0" w:line="188" w:lineRule="exact"/>
        <w:rPr>
          <w:sz w:val="20"/>
          <w:szCs w:val="20"/>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prompt internal reporting of violations of the Code of Ethics to the appropriate person or persons identified in the code;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accountability for adherence to the Code of Ethics.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16(a) of the Securities Exchange Act of 1934, as amended, requires our directors and executive officers and persons who own more than 10% of the issued and outstanding shares of our common stock to file reports of initial ownership of common stock and other equity securities and subsequent changes in that ownership with the SEC. Officers, directors and greater than ten percent stockholders are required by SEC regulation to furnish us with copies of all Section 16(a) forms they file. To our knowledge, based solely on a review of the copies of such reports furnished to us and written representations that no other reports were required, during the fiscal year ended December 31, 2021 all Section 16(a) filing requirements applicable to our officers, directors and greater than 10% beneficial owners were complied with.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below table sets forth information concerning all cash and non-cash compensation awarded to, earned by or paid to (i) all individuals serving as the Company’s principal executive officers or acting in a similar capacity during the last two completed fiscal years, regardless of compensation level, and (ii) the Company’s two most highly compensated executive officers other than the principal executive officers serving at the end of the last two completed fiscal years (collectively, the “Named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COMPENSATION TABLE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Non-Equity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Incentive Plan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Salary</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Bonus</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Stock Awards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Option Awards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00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r>
      <w:tr>
        <w:trPr>
          <w:trHeight w:val="241"/>
        </w:trPr>
        <w:tc>
          <w:tcPr>
            <w:tcW w:w="164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100" w:type="dxa"/>
            <w:vAlign w:val="bottom"/>
          </w:tcPr>
          <w:p>
            <w:pPr>
              <w:spacing w:after="0"/>
              <w:rPr>
                <w:sz w:val="20"/>
                <w:szCs w:val="20"/>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w:t>
            </w: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Phillip Kumnick</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65,939</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2,201,498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2,394,937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Chairman of the</w:t>
            </w:r>
          </w:p>
        </w:tc>
        <w:tc>
          <w:tcPr>
            <w:tcW w:w="100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85,813</w:t>
            </w:r>
          </w:p>
        </w:tc>
        <w:tc>
          <w:tcPr>
            <w:tcW w:w="100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287,481</w:t>
            </w:r>
          </w:p>
        </w:tc>
        <w:tc>
          <w:tcPr>
            <w:tcW w:w="13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373,394</w:t>
            </w:r>
          </w:p>
        </w:tc>
      </w:tr>
      <w:tr>
        <w:trPr>
          <w:trHeight w:val="220"/>
        </w:trPr>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Board, Former CEO</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7"/>
        </w:trPr>
        <w:tc>
          <w:tcPr>
            <w:tcW w:w="164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 xml:space="preserve">and President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16"/>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Thomas Thimot</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168,542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5,272,000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5,515,542</w:t>
            </w:r>
          </w:p>
        </w:tc>
      </w:tr>
      <w:tr>
        <w:trPr>
          <w:trHeight w:val="257"/>
        </w:trPr>
        <w:tc>
          <w:tcPr>
            <w:tcW w:w="1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CEO </w:t>
            </w:r>
            <w:r>
              <w:rPr>
                <w:rFonts w:ascii="Arial" w:cs="Arial" w:eastAsia="Arial" w:hAnsi="Arial"/>
                <w:sz w:val="29"/>
                <w:szCs w:val="29"/>
                <w:color w:val="auto"/>
                <w:vertAlign w:val="superscript"/>
              </w:rPr>
              <w:t>(2)</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Philip Beck</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Former Chairman of</w:t>
            </w:r>
          </w:p>
        </w:tc>
        <w:tc>
          <w:tcPr>
            <w:tcW w:w="100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138,889</w:t>
            </w:r>
          </w:p>
        </w:tc>
        <w:tc>
          <w:tcPr>
            <w:tcW w:w="100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308,104</w:t>
            </w:r>
          </w:p>
        </w:tc>
        <w:tc>
          <w:tcPr>
            <w:tcW w:w="10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446,993</w:t>
            </w:r>
          </w:p>
        </w:tc>
      </w:tr>
      <w:tr>
        <w:trPr>
          <w:trHeight w:val="216"/>
        </w:trPr>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the Board and Chief</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0"/>
        </w:trPr>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Officer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3"/>
        </w:trPr>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Cecil Smith III</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140,073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2,636,000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2,901,073</w:t>
            </w: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89"/>
              </w:rPr>
              <w:t>President and CTO (4)</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Thomas Szoke</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252,083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206,250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901,333</w:t>
            </w:r>
          </w:p>
        </w:tc>
      </w:tr>
      <w:tr>
        <w:trPr>
          <w:trHeight w:val="202"/>
        </w:trPr>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Chief Solutions</w:t>
            </w:r>
          </w:p>
        </w:tc>
        <w:tc>
          <w:tcPr>
            <w:tcW w:w="100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275,000</w:t>
            </w:r>
          </w:p>
        </w:tc>
        <w:tc>
          <w:tcPr>
            <w:tcW w:w="100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275,000</w:t>
            </w:r>
          </w:p>
        </w:tc>
      </w:tr>
      <w:tr>
        <w:trPr>
          <w:trHeight w:val="220"/>
        </w:trPr>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Architect and</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7"/>
        </w:trPr>
        <w:tc>
          <w:tcPr>
            <w:tcW w:w="164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w w:val="93"/>
              </w:rPr>
              <w:t xml:space="preserve">Former Director </w:t>
            </w:r>
            <w:r>
              <w:rPr>
                <w:rFonts w:ascii="Arial" w:cs="Arial" w:eastAsia="Arial" w:hAnsi="Arial"/>
                <w:sz w:val="29"/>
                <w:szCs w:val="29"/>
                <w:color w:val="auto"/>
                <w:w w:val="93"/>
                <w:vertAlign w:val="superscript"/>
              </w:rPr>
              <w:t>(5)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16"/>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Stuart Stoller</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237,500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393,750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1,545,250</w:t>
            </w:r>
          </w:p>
        </w:tc>
      </w:tr>
      <w:tr>
        <w:trPr>
          <w:trHeight w:val="257"/>
        </w:trPr>
        <w:tc>
          <w:tcPr>
            <w:tcW w:w="1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CFO </w:t>
            </w:r>
            <w:r>
              <w:rPr>
                <w:rFonts w:ascii="Arial" w:cs="Arial" w:eastAsia="Arial" w:hAnsi="Arial"/>
                <w:sz w:val="29"/>
                <w:szCs w:val="29"/>
                <w:color w:val="auto"/>
                <w:vertAlign w:val="superscript"/>
              </w:rPr>
              <w:t>(6)</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237,500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127,500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365,000</w:t>
            </w:r>
          </w:p>
        </w:tc>
      </w:tr>
    </w:tbl>
    <w:p>
      <w:pPr>
        <w:spacing w:after="0" w:line="202" w:lineRule="exact"/>
        <w:rPr>
          <w:sz w:val="20"/>
          <w:szCs w:val="20"/>
          <w:color w:val="auto"/>
        </w:rPr>
      </w:pPr>
    </w:p>
    <w:p>
      <w:pPr>
        <w:jc w:val="both"/>
        <w:ind w:left="340" w:hanging="332"/>
        <w:spacing w:after="0" w:line="28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Kumnick was hired as Chief Executive Officer on May 22, 2020 and as part of his compensation package was granted 1,111,111 stock options (“2020 Stock Options”) of which 20% vest at grant date and the balance vest subject to performance conditions. As of December 31, 2021, all of Mr. Kumnick’s 2020 Stock Options were vested and exercisable as the performance obligations were met in 2021 for the 2020 Stock Options. In December 2019, Mr. Kumnick was granted 100,000 stock options (66,667 vested) in connection with his appointment to the Board of Directors. In May 2021, Mr. Kumnick was granted an additional 583,333 stock options (“2021 Stock Options”) of which 9,018 were vested and vesting of the remainder of which is subject to performance conditions. In November 2021, Mr. Kumnick agreed to cancel 300,000 of the 2021 Stock Options. None of such 300,000 2021 Stock Options were vested and included in the Executive Compensation table is the grant date fair value of the remaining 2021 stock options net of the amount canceled. Additionally, in March 2020, Mr. Kumnick was granted 50,000 shares of restricted stock that vested in 2021 upon attainment of the performance conditions. The stock option and restricted stock aggregate grant date fair value in 2020 were approximately $1,268,000 and $127,500 respectively. The restricted stock award of $127,500 was earned and reported in 2021 as the performance conditions were met. Mr. Kumnick has not exercised or realized a gain on any of these options or realized a gain on the remaining stock award shares as of the date of this report. The amount reported in the executive compensation has been updated in 2020 to reflect the 2021 presentation. Furthermore, the bonus entitlement of $64,980 agreed to in 2020 lapsed upon Mr. Kumnick’s resignation as Chief Executive Officer in June 2021.</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jc w:val="both"/>
        <w:ind w:left="340" w:hanging="332"/>
        <w:spacing w:after="0" w:line="271"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Thomas Thimot was hired as Chief Executive Officer on June 14, 2021. Mr. Thimot and the Company entered into an Offer Letter pursuant to which Mr. Thimot will earn an annual salary of $325,000 with a bonus target at 50% of the base salary (pro-rated for 2021) upon terms to be agreed with the Compensation Committee for 2021, which was finally determined to be $75,000 and on the understanding that the 2022 target will include a requirement of the Company achieving three times the annual revenue of 2021. The Compensation Committee approved a bonus of $75,000 for 2021 on January 25, 2022. Additionally, Mr. Thimot was granted an option to acquire 1,200,000 shares of common stock at an exercise price of $7.80 per share for a term of ten years of which half of the options vest monthly over four years and the balance is subject to certain performance vesting requirements. The aggregate grant date fair value of Mr. Thimot’s stock options was $5,272,000. Mr. Thimot has not exercised or realized a gain on his vested stock options as of the date of the submission of this report</w:t>
      </w:r>
    </w:p>
    <w:p>
      <w:pPr>
        <w:spacing w:after="0" w:line="178" w:lineRule="exact"/>
        <w:rPr>
          <w:rFonts w:ascii="Arial" w:cs="Arial" w:eastAsia="Arial" w:hAnsi="Arial"/>
          <w:sz w:val="17"/>
          <w:szCs w:val="17"/>
          <w:color w:val="auto"/>
        </w:rPr>
      </w:pPr>
    </w:p>
    <w:p>
      <w:pPr>
        <w:jc w:val="both"/>
        <w:ind w:left="340" w:right="2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Beck was hired on January 31, 2017 and as part of his compensation package was granted 500,000 stock options which vested 1/3 immediately effective January 31, 2017 with the balance over two years and 500,000 shares of restricted stock which shares vest upon attainment of certain performance thresholds.</w:t>
      </w:r>
    </w:p>
    <w:p>
      <w:pPr>
        <w:spacing w:after="0" w:line="183" w:lineRule="exact"/>
        <w:rPr>
          <w:rFonts w:ascii="Arial" w:cs="Arial" w:eastAsia="Arial" w:hAnsi="Arial"/>
          <w:sz w:val="18"/>
          <w:szCs w:val="18"/>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8"/>
          <w:szCs w:val="18"/>
          <w:color w:val="auto"/>
        </w:rPr>
        <w:t>On May 22, 2020, the Company and Mr. Beck entered into a separation letter agreement, which provided for payment to Mr. Beck of one year’s severance in the amount of $350,000 plus the cost of medical benefits, payable in accordance with the terms of Mr. Beck’s Retention Agreement. During 2020, the Company paid Mr. Beck $287,500 plus his monthly medical insurance premiums. The remaining $87,500 was paid in February 2021. On October 30, 2020, pursuant to the terms of Mr. Beck’s Restricted Stock Agreement, as amended by the Separation Agreement, the Company repurchased for $1.00 the 500,000 shares of restricted stock.</w:t>
      </w:r>
    </w:p>
    <w:p>
      <w:pPr>
        <w:spacing w:after="0" w:line="187" w:lineRule="exact"/>
        <w:rPr>
          <w:rFonts w:ascii="Arial" w:cs="Arial" w:eastAsia="Arial" w:hAnsi="Arial"/>
          <w:sz w:val="18"/>
          <w:szCs w:val="18"/>
          <w:color w:val="auto"/>
        </w:rPr>
      </w:pPr>
    </w:p>
    <w:p>
      <w:pPr>
        <w:jc w:val="both"/>
        <w:ind w:left="340" w:hanging="332"/>
        <w:spacing w:after="0" w:line="291"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Smith was hired as President and CTO on June 14, 2021. Mr. Smith and the Company entered an into an Offer Letter pursuant to which Mr. Smith will earn an annual salary of $275,000 with a bonus target at 50% of the base salary (pro-rated for 2021) upon terms to be agreed with the Compensation Committee for 2021, which was finally determined to be $75,000. The Compensation Committee approved a bonus of $75,000 for 2021 on January 25, 2022. In addition, Mr. Smith received a bonus of $50,000 after 90 days of service. Additionally. Mr. Smith was granted an option to acquire 600,000 shares of common stock at an exercise price of $7.80 per share for a term of ten years of which half of the options vest monthly over four years and the balance is subject to certain performance vesting requirements. The aggregate grant date fair value of Mr. Smith’s stock options was $2,636,000. Mr. Smith has not exercised or realized a gain on his vested stock options as of the date of the submission of this report</w:t>
      </w:r>
    </w:p>
    <w:p>
      <w:pPr>
        <w:spacing w:after="0" w:line="166" w:lineRule="exact"/>
        <w:rPr>
          <w:rFonts w:ascii="Arial" w:cs="Arial" w:eastAsia="Arial" w:hAnsi="Arial"/>
          <w:sz w:val="16"/>
          <w:szCs w:val="16"/>
          <w:color w:val="auto"/>
        </w:rPr>
      </w:pPr>
    </w:p>
    <w:p>
      <w:pPr>
        <w:jc w:val="both"/>
        <w:ind w:left="340" w:hanging="332"/>
        <w:spacing w:after="0" w:line="311"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Szoke was the Chief Solutions Architect and Former Director of the Company. Mr. Szoke retired in November 2021 and received an agreement to receive $305,000 over the ensuing year in lieu of his executive retention agreement. Additionally, the Company accelerated the vesting of the stock options granted in 2021. Mr. Szoke has not exercised or realized a gain on any of his vested stock options as of the date if the submission of this report.</w:t>
      </w:r>
    </w:p>
    <w:p>
      <w:pPr>
        <w:spacing w:after="0" w:line="148" w:lineRule="exact"/>
        <w:rPr>
          <w:rFonts w:ascii="Arial" w:cs="Arial" w:eastAsia="Arial" w:hAnsi="Arial"/>
          <w:sz w:val="16"/>
          <w:szCs w:val="16"/>
          <w:color w:val="auto"/>
        </w:rPr>
      </w:pPr>
    </w:p>
    <w:p>
      <w:pPr>
        <w:jc w:val="both"/>
        <w:ind w:left="340" w:hanging="332"/>
        <w:spacing w:after="0" w:line="272"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Stoller was hired on January 31, 2017 and as part of his compensation package was granted 166,667 stock options which vest over three years and 166,667 shares of restricted stock which shares vest upon attainment of certain performance criteria. In October 2020 and May 2021, Mr. Stoller was granted 83,333 and 100,000 stock options which each vest over three years. The aggregate grant date fair value of the 2021 and 2020 stock options were $414,000 and $127,500. As of December 31, 2021, 194,445 of the stock options granted were vested and exercisable and the restricted stock (166,667 common shares) vested in 2021 as a result of satisfaction of the performance conditions. Mr. Stoller sold 95,000 shares of common stock in 2021 to pay the estimated income tax obligations resulting from the vesting of the restricted stock. Mr. Stoller has not exercised or realized a gain on the remaining stock award shares or vested stock options as of the date of the submission of this report.</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Messrs. Thimot, Smith, and Stoller each are party to an Executive Retention Agreement to encourage the Executive to continue to devote the Executive’s full attention and dedication to the success of the Company, and to provide specification compensation and benefits to the Executive in the event of a Termination Upon Change of Control or certain other terminations pursuant to the terms of this Agreement. These agreements include payment of salary and other benefits for one year in addition to acceleration and vesting of certain stock compensation plans.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Mr. Szoke’s Executive Retention Agreement, he would earn additional compensation if certain performance targets were met. One of the Mr. Szoke’s performance target was met in 2021 and was paid an additional payment of approximately $206,000.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4" w:name="page55"/>
    <w:bookmarkEnd w:id="54"/>
    <w:p>
      <w:pPr>
        <w:jc w:val="both"/>
        <w:ind w:firstLine="648"/>
        <w:spacing w:after="0" w:line="259" w:lineRule="auto"/>
        <w:rPr>
          <w:sz w:val="20"/>
          <w:szCs w:val="20"/>
          <w:color w:val="auto"/>
        </w:rPr>
      </w:pPr>
      <w:r>
        <w:rPr>
          <w:rFonts w:ascii="Arial" w:cs="Arial" w:eastAsia="Arial" w:hAnsi="Arial"/>
          <w:sz w:val="18"/>
          <w:szCs w:val="18"/>
          <w:color w:val="auto"/>
        </w:rPr>
        <w:t>Pursuant to Mr. Stoller’s Executive Retention Agreement, he would earn additional compensation if certain performance targets were met. The performance target for Mr. Stoller was met in 2021 and was paid an additional payment of approximately $356,000. Additionally, Mr. Stoller will receive a discretionary bonus of $37,500 for 2021. No other incremental compensation targets for any executive were met in 2020. However, the Board of Directors may allocate salaries and benefits to the officers in its sole discretion.</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currently has no retirement, pension, or profit-sharing plan covering its officers and directors; The Company provides medical benefits on a cost sharing basis and has a dental plan which is fully paid by the employees cost. (See “Executive Agreements”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Grant of Plan-Based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calendar year ended December 31, 2021, the following grants were made to named executive officers:</w:t>
      </w:r>
    </w:p>
    <w:p>
      <w:pPr>
        <w:spacing w:after="0" w:line="225" w:lineRule="exact"/>
        <w:rPr>
          <w:sz w:val="20"/>
          <w:szCs w:val="20"/>
          <w:color w:val="auto"/>
        </w:rPr>
      </w:pPr>
    </w:p>
    <w:p>
      <w:pPr>
        <w:jc w:val="both"/>
        <w:ind w:left="980" w:hanging="32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granted Mr. Thimot and Mr. Smith stock options to acquire 1,200,000 and 600,000 shares of common stock respectively upon their employment of which half of the options vest monthly over four years and the balance vest upon the achievement of certain market capitalization thresholds or performance conditions.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granted Mr. Kumnick stock options to acquire 583,333 shares of common stock that vest upon the achievement of certain market capitalization thresholds or performance conditions. In November 2021 Mr. Kumnick agreed to cancel 300,000 of these stock options in consideration of removing certain service conditions.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May 2021, Mr. Stoller was granted 100,000 stock options which vest over three years.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calendar year ended December 31, 2020, the following grants were made to the named executive officers.</w:t>
      </w:r>
    </w:p>
    <w:p>
      <w:pPr>
        <w:spacing w:after="0" w:line="225" w:lineRule="exact"/>
        <w:rPr>
          <w:sz w:val="20"/>
          <w:szCs w:val="20"/>
          <w:color w:val="auto"/>
        </w:rPr>
      </w:pPr>
    </w:p>
    <w:p>
      <w:pPr>
        <w:jc w:val="both"/>
        <w:ind w:left="980" w:hanging="324"/>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Kumnick in connection with his employment agreement was granted 1,111,111 stock options of which 20% were vested at grant date and the balance vest subject to performance conditions. Mr. Kumnick was also granted 50,000 shares of restricted stock which shares vest upon attainment of certain performance thresholds.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October 2020, Mr. Stoller was granted 83,333 stock options which vest over three years.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previously described, in connection with their respective employment arrangements, Philip Beck and Stuart Stoller were awarded 500,000 and 166,667 common stock options in 2017. Additionally, Philip Beck and Stuart Stoller received 500,000 and 166,667 restricted common shares in 2017. On October 30, 2020, pursuant to the terms of Mr. Beck’s Restricted Stock Agreement, as amended by the Separation Agreement, the Company repurchased for $1.00 the 500,000 shares of Unvested Restricted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other grants of plan-based awards or common stock options, to other named executive officers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auto"/>
        </w:rPr>
        <w:t>Outstanding Equity Awards to Executive Officers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with respect to outstanding equity awards held by our named executive officers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Option Awards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4"/>
              </w:rPr>
              <w:t>Equity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Incentive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Plan Awards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Unexercised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Unexercised</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Underlying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Options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Unexercised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Option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Unearned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Exercisable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Unexercisable</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Options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 (a)</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(b)</w:t>
            </w: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(f)</w:t>
            </w:r>
          </w:p>
        </w:tc>
      </w:tr>
      <w:tr>
        <w:trPr>
          <w:trHeight w:val="216"/>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Phillip Kumnick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1,111,111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5/22/2025</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Phillip Kumnick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66,667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33,333</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12/10/2029</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Phillip Kumnick (1)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283,333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5/5/2031</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Phillip Kumnick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9,018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5/5/2031</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10,238</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15.16</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12/28/2031</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Thimot (1)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525,000</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6/14/2021</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Tripp Smith (1)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262,500</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6/14/2021</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Beck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99,996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8/12/2026</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Philip Beck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500,000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1/31/2027</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Beck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9,018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5/5/2031</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Stoller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166,667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1/31/2027</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Stuart Stoller</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27,778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55,556</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10/6/2030</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Stoller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5/5/2031</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Szoke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333,333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9/25/2025</w:t>
            </w: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33,333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5/5/2031</w:t>
            </w:r>
          </w:p>
        </w:tc>
      </w:tr>
    </w:tbl>
    <w:p>
      <w:pPr>
        <w:spacing w:after="0" w:line="187" w:lineRule="exact"/>
        <w:rPr>
          <w:sz w:val="20"/>
          <w:szCs w:val="20"/>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performance conditions for the following stock options for Phillip Kumnick 283,333 shares, Thomas Thimot 600,000 shares, and Tripp Smith 300,000 shares, have not been met as of December 31, 2021.</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were no outstanding unvested stock awards for the named executive officers as of December 31,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Option Exercises and Stock Vested Table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Option Awards</w:t>
            </w:r>
          </w:p>
        </w:tc>
        <w:tc>
          <w:tcPr>
            <w:tcW w:w="2540" w:type="dxa"/>
            <w:vAlign w:val="bottom"/>
            <w:gridSpan w:val="4"/>
          </w:tcPr>
          <w:p>
            <w:pPr>
              <w:ind w:left="680"/>
              <w:spacing w:after="0"/>
              <w:rPr>
                <w:sz w:val="20"/>
                <w:szCs w:val="20"/>
                <w:color w:val="auto"/>
              </w:rPr>
            </w:pPr>
            <w:r>
              <w:rPr>
                <w:rFonts w:ascii="Arial" w:cs="Arial" w:eastAsia="Arial" w:hAnsi="Arial"/>
                <w:sz w:val="18"/>
                <w:szCs w:val="18"/>
                <w:b w:val="1"/>
                <w:bCs w:val="1"/>
                <w:color w:val="auto"/>
              </w:rPr>
              <w:t>Stock Awards</w:t>
            </w: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3"/>
              </w:rPr>
              <w:t>Number of</w:t>
            </w: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3"/>
              </w:rPr>
              <w:t>Number of</w:t>
            </w: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Acquired 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Realized 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Acquired 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Realized on</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Vesting</w:t>
            </w: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Vesting</w:t>
            </w: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Phillip Kumnick (1)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785,500</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Beck (2)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433,335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3,588,995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Stoller (1)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166,667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2,618,339</w:t>
            </w:r>
          </w:p>
        </w:tc>
      </w:tr>
    </w:tbl>
    <w:p>
      <w:pPr>
        <w:spacing w:after="0" w:line="20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performance conditions of the restricted stock awards for Phillip Kumnick and Stuart Stoller were met in the year ended December 31, 2021.</w:t>
      </w:r>
    </w:p>
    <w:p>
      <w:pPr>
        <w:spacing w:after="0" w:line="236"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stock options exercised by Philip Beck were common stock options awarded for consulting services rendered prior to his employment (566,667 stock options) which became exercisable on January 31, 2017 upon his appointment as the Chief Executive Officer of the Company. The consulting services were provided by Parity Labs, LLC, a company principally owned by Mr. Beck and his family.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May 2021, the Board resolved to adopt a new compensation policy for non-management directors, comprising the following:</w:t>
      </w:r>
    </w:p>
    <w:p>
      <w:pPr>
        <w:spacing w:after="0" w:line="225" w:lineRule="exact"/>
        <w:rPr>
          <w:sz w:val="20"/>
          <w:szCs w:val="20"/>
          <w:color w:val="auto"/>
        </w:rPr>
      </w:pPr>
    </w:p>
    <w:p>
      <w:pPr>
        <w:jc w:val="both"/>
        <w:ind w:left="1300" w:hanging="320"/>
        <w:spacing w:after="0" w:line="263"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appointment as a new director, each director shall receive a grant of options having a Black Scholes value of $270,000, subject to three-year vesting, one-third earned after each Annual Meeting. If the director does not serve for at least three years, then they will lose a proportionate part of the award.</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After each Annual Meeting, commencing with the first Annual Meeting at which a director is re-elected to the Board, each director would receive a grant of options having a Black Scholes value of $90,000, subject to one year vesting (one twelfth earned each month). If the director does not serve the full year, then they will lose a proportionate part of the award.</w:t>
      </w:r>
    </w:p>
    <w:p>
      <w:pPr>
        <w:spacing w:after="0" w:line="183"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During 2021, the Company recorded stock option expense for grants to the non-management directors for approximately $90,000 for each of Michael Gorriz, Michael Koehneman, Sanjay Puri, and Jacqueline White and $11,250 for Neepa Patel.</w:t>
      </w:r>
    </w:p>
    <w:p>
      <w:pPr>
        <w:spacing w:after="0" w:line="170"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During 2021, the Company recorded stock option expense for Mr. Philip Broenniman of approximately $595,000 for his service as a Director and Executive Officer. Mr. Phillip Broenniman served as President of the Company through the middle of June 2021. The Company granted Mr. Broenniman stock options to acquire 583,333 shares of common stock that vest upon the achievement of certain market capitalization thresholds or performance conditions. In November 2021 Mr. Broenniman agreed to cancel 200,000 of these stock options in consideration of removing certain service conditions.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Previously, the non-employee Directors earned $72,000 per annum for Board membership, inclusive of all Board meeting and committee meeting attendance fees in the form of a stock grant and they earn an additional annual retainer for service on each committee of $5,000. The Company has recorded the expense associated with Board compensation but has not granted or paid fees since October 2020. Total Board compensation recorded in 2020 was approximately $349,000 of which $47,000 was the retainer for Board Committees and the balance of $302,000 was the retainer for service on the Board. Mr. Stern and Mr. Selzer each earned $15,000, Mr. Kumnick and Mr. Beck each earned $6,250, Mr. Broenniman earned $3,750 and Mr. Solomon $833.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The non-employee directors in 2020 were as follows:</w:t>
      </w:r>
    </w:p>
    <w:p>
      <w:pPr>
        <w:spacing w:after="0" w:line="225"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Herb Selzer and Theodore Stern for all of 2020.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Phillip Kumnick until May 22, 2020 when he was appointed Chief Executive Officer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Philip Broenniman who was appointed in March 2020 until he was appointed President of the Company on May 22, 2020.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Philip Beck from May 22, 2020 (former Chief Executive Officer) until he resigned from the Board of Directors in October 2020.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Ricky Solomon – January 2020 until he resigned from the Board of Directors.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his appointment to the Board of Directors Mr. Kumnick received a grant of an option to purchase 100,000 shares of common stock vesting in equal parts over three years, or earlier in the event of a change of control of the Company (as defined in the option grant). In March 2020, the Company entered into a restricted stock purchase agreement with Phillip Kumnick, providing Mr. Kumnick with the right to acquire 50,000 shares of common stock at par value subject to the Vesting Criteria (as defined in the stock purchase agreement). On Philip Broenniman’s appointment, the Company entered into a restricted stock purchase agreement with him, providing Mr. Broenniman with the right to acquire 50,000 shares of common stock at par value subject to the Vesting Criteria. The Vesting Criteria were met in 2021 and as a result the Company recorded a restricted stock expense of $127,500 each for Mr. Phillip Kumnick and Mr. Philip Broenniman.</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2021, the Directors noted above, other than Mr. Kumnick have been granted approximately 1,428,000 stock options to acquire shares at a grant date fair value of approximately $4,495,000. Mr. Kumnick’s stock option information was presented previously in this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Mr. Thomas Thimot and Mr. Cecil Smith, became employed by the Company as Chief Executive Officer and President and Chief Technology Officer effective June 14, 2021. Mr. Thimot and the Company entered into an Offer Letter pursuant to which Mr. Thimot will earn an annual salary of $325,000 with a bonus target at 50% of the base salary (pro-rated for 2021) upon terms to be agreed with the Compensation Committee for 2021 and on the understanding that the 2022 target will include a requirement of the Company achieving three times the annual revenue of 2021. Additionally, Mr. Thimot was granted an option to acquire 1,200,000 shares of common stock at an exercise price of $7.80 per share for a term of ten years of which half of the options vest monthly over four years and the balance is subject to certain performance vesting requirements.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14, 2021, Mr. Smith and the Company entered an into an Offer Letter pursuant to which Mr. Smith will earn an annual salary of $275,000 with a bonus target at 50% of the base salary (pro-rated for 2021) upon terms to be agreed with the Compensation Committee for 2021. In addition, Mr. Smith will receive a bonus of $50,000 after 90 days of service. Additionally. Mr. Smith was granted an option to acquire 600,000 shares of common stock at an exercise price of $7.80 per share for a term of ten years of which half of the options vest monthly over four years and the balance is subject to certain performance vesting requirements.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June 2021, Mr. Kumnick and Broenniman resigned from their positions as Chief Executive Officer and President upon Mr. Thimot and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Smith joining the Company. The terms of their employment arrangement are below.</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22, 2020, Phillip L. Kumnick, Deputy Chairman of the Company, was appointed as Chief Executive Officer of the Company. Philip R. Broenniman, a director of the Company, was appointed as Chief Operating Officer and President of the Company. Effective May 22, 2020, Mr. Kumnick and Mr. Broenniman each entered into Offer Letters with the Company providing that each of the executives will devote their full time and attention to the business of the Company on an “at will”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8" w:name="page59"/>
    <w:bookmarkEnd w:id="58"/>
    <w:p>
      <w:pPr>
        <w:jc w:val="both"/>
        <w:ind w:firstLine="648"/>
        <w:spacing w:after="0" w:line="255" w:lineRule="auto"/>
        <w:rPr>
          <w:sz w:val="20"/>
          <w:szCs w:val="20"/>
          <w:color w:val="auto"/>
        </w:rPr>
      </w:pPr>
      <w:r>
        <w:rPr>
          <w:rFonts w:ascii="Arial" w:cs="Arial" w:eastAsia="Arial" w:hAnsi="Arial"/>
          <w:sz w:val="18"/>
          <w:szCs w:val="18"/>
          <w:color w:val="auto"/>
        </w:rPr>
        <w:t>Pursuant to the Offer Letter entered with Mr. Kumnick, Mr. Kumnick base salary since his engagement was $125,000 per annum and was increased to $187,500 per annum as of November 1, 2020. Subject to the Company achieving a revenue target of not less than $8,000,000 in a fiscal year (the “Revenue Target”), the base salary is to be increased to $250,000 per annum and to be again further reviewed by the Compensation Committee based on prevailing market conditions. Further, upon achieving the Revenue Target or a portion thereof or in the event of a change of control or involuntary termination, Mr. Kumnick will receive a bonus of up to $64,980 (which was subsequently canceled). Mr. Kumnick is also eligible to receive the usual benefits available to the executives of the Company.</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Pursuant to the Offer Letter entered with Mr. Broenniman, Mr. Broenniman base salary since his engagement was $87,500 per annum and was increased to $131,250 per annum as of November 1, 2020. Subject to the Company achieving the Revenue Targets, the base salary is to be increased to $175,000 per annum and to be again further reviewed by the Compensation Committee based on prevailing market conditions. Further, upon achieving the Revenue Target or a portion thereof or in the event of a change of control or involuntary termination, Mr. Broenniman will receive a bonus of up to $45,833 (which was subsequently canceled). Mr. Broenniman is also eligible to receive the usual benefits available to the executives of the Company.</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2020, Mr. Kumnick was granted options to acquire 1,111,111 shares of common stock and Mr. Broenniman was granted options to acquire 555,555 shares of common stock. 20% of the options were vested at grant and the balance vest subject to performance conditions. All performance conditions were met in 2021.</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January 31, 2017, Mr. Beck and the Company entered an Executive Retention Agreement pursuant to which Mr. Beck agreed to serve as Chief Executive Officer and President in consideration of an annual salary of $350,000 of which $50,000 shall be deferred until the Company raises in the aggregate $15 million in debt and/or equity capital. The Company has agreed to provide a bonus of 75% of the base salary upon the Company timely filing its annual report on Form 10-K for the year ended December 31, 2017 and the Company raising gross proceeds of $15 million in debt and/or equity capital (“Milestone 1”) and a bonus of 150% of the base salary upon the Company achieving (i) any merger or sale of the Company or its assets, (ii) the Company achieving adjusted EBITDA of $10 million in a fiscal year, (iii) the Company achieving a listing on a national exchange and then or subsequently raising gross proceeds in the amount of $10 million or achieving a valuation of $125 million or (iv) the Company achieving $20 million of revenue on a trailing 12 months basis (“Milestone 2”). Mr. Beck met Milestone 1 in 2018.</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also granted Mr. Beck a Stock Option to acquire 500,000 shares of common stock of the Company at an exercise price of $0.10 per share for a period of ten years and the Company agreed to a Restricted Stock Purchase Agreement with Mr. Beck pursuant to which Mr. Beck purchased 500,000 shares of common stock at a per share price of $0.0001, which shares of common stock vest upon achieving Milestone 2. The Stock Options vest with respect to (i) one-third of the shares of common stock as of January 31, 2017 and (ii) in 24 equal monthly tranches commencing on the grant date.</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22, 2020, the Company and Mr. Beck entered into a separation letter agreement, which provided for payment to Mr. Beck of one year’s severance in the amount of $350,000 as well as certain employee benefits, payable in accordance with the terms of Mr. Beck’s Retention Agreement. During 2020, the Company paid $287,500 plus his monthly medical insurance premiums. The remaining $87,500 was paid in February 2021. On October 30, 2020, Philip Beck resigned as a director of the Company and the Company repurchased Mr. Beck’s restricted stock for $1.00 under the provisions of his Restricted Stock Agreement.</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entered an Executive Retention Agreement with pursuant to which Stuart Stoller agreed to serve as Chief Financial Officer in consideration of an annual salary of $225,000. The Company has agreed to provide two different bonus levels upon the achievement of certain performance, financial and other milestones. The Company also granted Mr. Stoller a stock option to acquire 166,667 shares of common stock at an exercise price of $0.10 per share for a period of ten years. Further, Company has agreed to a Restricted Stock Purchase Agreement in which Mr. Stoller purchased an additional 166,667 shares at a per share price of $0.0001, which shares of common stock vest upon meeting certain performance, financial and other milestones. The Stock Options vest with respect to (i) one third of common stock upon the anniversary of the grant date and (ii) in 24 equal installments commencing on the one year anniversary of the grant.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table sets forth the number of shares known to be beneficially owned by all persons who own at least 5% of Ipsidy’s outstanding common stock, the Company’s directors, the Company’s executive officers, and the directors and executive officers as a group as of March16, 2022, unless otherwise noted. Unless otherwise indicated, the stockholders listed in the table have sole voting and investment power with respect to the shares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Number of</w:t>
            </w:r>
          </w:p>
        </w:tc>
        <w:tc>
          <w:tcPr>
            <w:tcW w:w="60" w:type="dxa"/>
            <w:vAlign w:val="bottom"/>
          </w:tcPr>
          <w:p>
            <w:pPr>
              <w:spacing w:after="0"/>
              <w:rPr>
                <w:sz w:val="18"/>
                <w:szCs w:val="18"/>
                <w:color w:val="auto"/>
              </w:rPr>
            </w:pPr>
          </w:p>
        </w:tc>
        <w:tc>
          <w:tcPr>
            <w:tcW w:w="13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of</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Shares of</w:t>
            </w:r>
          </w:p>
        </w:tc>
        <w:tc>
          <w:tcPr>
            <w:tcW w:w="14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241"/>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780" w:type="dxa"/>
            <w:vAlign w:val="bottom"/>
          </w:tcPr>
          <w:p>
            <w:pPr>
              <w:ind w:left="1580"/>
              <w:spacing w:after="0"/>
              <w:rPr>
                <w:sz w:val="20"/>
                <w:szCs w:val="20"/>
                <w:color w:val="auto"/>
              </w:rPr>
            </w:pPr>
            <w:r>
              <w:rPr>
                <w:rFonts w:ascii="Arial" w:cs="Arial" w:eastAsia="Arial" w:hAnsi="Arial"/>
                <w:sz w:val="18"/>
                <w:szCs w:val="18"/>
                <w:b w:val="1"/>
                <w:bCs w:val="1"/>
                <w:color w:val="auto"/>
              </w:rPr>
              <w:t>Position</w:t>
            </w:r>
          </w:p>
        </w:tc>
        <w:tc>
          <w:tcPr>
            <w:tcW w:w="16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Common Stock</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Officers and Directors</w:t>
            </w:r>
          </w:p>
        </w:tc>
        <w:tc>
          <w:tcPr>
            <w:tcW w:w="100" w:type="dxa"/>
            <w:vAlign w:val="bottom"/>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L. Thimot</w:t>
            </w: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Director &amp; CEO</w:t>
            </w: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208,926(2)</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Phillip L. Kumnick</w:t>
            </w:r>
          </w:p>
        </w:tc>
        <w:tc>
          <w:tcPr>
            <w:tcW w:w="3780" w:type="dxa"/>
            <w:vAlign w:val="bottom"/>
          </w:tcPr>
          <w:p>
            <w:pPr>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1,311,634(3)</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R. Broenniman</w:t>
            </w: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1,129,348(4)</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Stuart P. Stoller</w:t>
            </w:r>
          </w:p>
        </w:tc>
        <w:tc>
          <w:tcPr>
            <w:tcW w:w="37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276,529(5)</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Cecil N. Smith III (Tripp)</w:t>
            </w: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Technology Officer</w:t>
            </w: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75,892(6)</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Michael L. Koehneman</w:t>
            </w:r>
          </w:p>
        </w:tc>
        <w:tc>
          <w:tcPr>
            <w:tcW w:w="3780" w:type="dxa"/>
            <w:vAlign w:val="bottom"/>
          </w:tcPr>
          <w:p>
            <w:pPr>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26,246(7)</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Gorriz</w:t>
            </w: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24,246(8)</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Jacqueline L. White</w:t>
            </w:r>
          </w:p>
        </w:tc>
        <w:tc>
          <w:tcPr>
            <w:tcW w:w="3780" w:type="dxa"/>
            <w:vAlign w:val="bottom"/>
          </w:tcPr>
          <w:p>
            <w:pPr>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24,246(8)</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Neepa Patel</w:t>
            </w: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Total Officers and Directors</w:t>
            </w: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gridSpan w:val="2"/>
            <w:vMerge w:val="continue"/>
          </w:tcPr>
          <w:p>
            <w:pPr>
              <w:spacing w:after="0"/>
              <w:rPr>
                <w:sz w:val="17"/>
                <w:szCs w:val="17"/>
                <w:color w:val="auto"/>
              </w:rPr>
            </w:pPr>
          </w:p>
        </w:tc>
        <w:tc>
          <w:tcPr>
            <w:tcW w:w="37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3,077,067</w:t>
            </w:r>
          </w:p>
        </w:tc>
        <w:tc>
          <w:tcPr>
            <w:tcW w:w="3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J. Garchik</w:t>
            </w: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Stockholder</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2,239,350(10)</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Andras Vago</w:t>
            </w:r>
          </w:p>
        </w:tc>
        <w:tc>
          <w:tcPr>
            <w:tcW w:w="3780" w:type="dxa"/>
            <w:vAlign w:val="bottom"/>
          </w:tcPr>
          <w:p>
            <w:pPr>
              <w:spacing w:after="0"/>
              <w:rPr>
                <w:sz w:val="20"/>
                <w:szCs w:val="20"/>
                <w:color w:val="auto"/>
              </w:rPr>
            </w:pPr>
            <w:r>
              <w:rPr>
                <w:rFonts w:ascii="Arial" w:cs="Arial" w:eastAsia="Arial" w:hAnsi="Arial"/>
                <w:sz w:val="18"/>
                <w:szCs w:val="18"/>
                <w:color w:val="auto"/>
              </w:rPr>
              <w:t>Stockholder</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1,578,942(11)</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ETF Managers Group, LLC</w:t>
            </w: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Stockholder</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1,562,299(12)</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Total 5% Stockholders</w:t>
            </w:r>
          </w:p>
        </w:tc>
        <w:tc>
          <w:tcPr>
            <w:tcW w:w="37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5,380,591</w:t>
            </w:r>
          </w:p>
        </w:tc>
        <w:tc>
          <w:tcPr>
            <w:tcW w:w="36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22.9</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Total Officers, Directors and 5% Stockholders</w:t>
            </w: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8,457,658</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35.6%</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60" w:hanging="452"/>
        <w:spacing w:after="0" w:line="25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Applicable percentage ownership is based on, 23,451,179 shares of common stock outstanding as of March 16, 2022. Beneficial ownership is determined in accordance with the rules of the Securities and Exchange Commission and generally includes voting or investment power with respect to securities. Shares of common stock that are currently exercisable or exercisable within 60 days of are deemed to be beneficially owned by the person holding such securities for computing the percentage of ownership of such person, but are not treated as outstanding for computing the percentage ownership of any other person.</w:t>
      </w:r>
    </w:p>
    <w:p>
      <w:pPr>
        <w:spacing w:after="0" w:line="187" w:lineRule="exact"/>
        <w:rPr>
          <w:rFonts w:ascii="Arial" w:cs="Arial" w:eastAsia="Arial" w:hAnsi="Arial"/>
          <w:sz w:val="18"/>
          <w:szCs w:val="18"/>
          <w:color w:val="auto"/>
        </w:rPr>
      </w:pPr>
    </w:p>
    <w:p>
      <w:pPr>
        <w:ind w:left="460" w:right="20" w:hanging="452"/>
        <w:spacing w:after="0" w:line="34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71,426 shares of common stock, and (ii) a stock option to acquire 1,200,000 shares of common stock at an exercise price of $7.80 per share vesting over a four-year period and subject to certain performance vesting criteria, of which 137,500 shares will be vested as of May 15, 2022.</w:t>
      </w:r>
    </w:p>
    <w:p>
      <w:pPr>
        <w:spacing w:after="0" w:line="123" w:lineRule="exact"/>
        <w:rPr>
          <w:rFonts w:ascii="Arial" w:cs="Arial" w:eastAsia="Arial" w:hAnsi="Arial"/>
          <w:sz w:val="16"/>
          <w:szCs w:val="16"/>
          <w:color w:val="auto"/>
        </w:rPr>
      </w:pPr>
    </w:p>
    <w:p>
      <w:pPr>
        <w:jc w:val="both"/>
        <w:ind w:left="460" w:hanging="452"/>
        <w:spacing w:after="0" w:line="296"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(i) 121,425 shares of common stock, (ii) a stock option to acquire 100,000 shares of common stock at $1.65 per share vesting over a three year period, of which 66,667 will have vested as of May 15, 2022 (iii) a stock option to acquire 1,111,111 shares of common stock at $2.10 per share, (iv) a stock option to acquire 9,018, shares of common stock at $7.20 per share (v) a stock option to acquire 283,334, shares of common stock at $7.20 per share that vest upon meeting performance criteria. The performance criteria have not been met as of March 16, 2022; and (vi) a stock option to acquire 10,238 shares of common stock at $15.16 per share that vest on a monthly basis over 12 months from December 29, 2021.</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jc w:val="both"/>
        <w:ind w:left="460" w:hanging="452"/>
        <w:spacing w:after="0" w:line="285"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(i) 172,747 shares of common stock, (ii) a stock option to purchase 555,556 shares of common stock at a price of $2.10 per share, (iii) a stock option to purchase 5,411 shares of common stock at a price of $7.20, (iv) a stock option to purchase 383,334 shares of common stock at a price of $7.20 per share which vest upon meeting performance criteria. The performance criteria have not been met as of March 16, 2022 (v) common stock purchase warrants to acquire 11,667 shares of common stock at $4.95 per share and 8,750 shares of common stock at $2.64 per share, (vi) a stock option to acquire 10,238 shares of common stock at $15.16 per share that vest on a monthly basis over 12 months from December 29, 2021,</w:t>
      </w:r>
    </w:p>
    <w:p>
      <w:pPr>
        <w:spacing w:after="0" w:line="1" w:lineRule="exact"/>
        <w:rPr>
          <w:rFonts w:ascii="Arial" w:cs="Arial" w:eastAsia="Arial" w:hAnsi="Arial"/>
          <w:sz w:val="16"/>
          <w:szCs w:val="16"/>
          <w:color w:val="auto"/>
        </w:rPr>
      </w:pPr>
    </w:p>
    <w:p>
      <w:pPr>
        <w:jc w:val="both"/>
        <w:ind w:left="460" w:firstLine="7"/>
        <w:spacing w:after="0" w:line="273" w:lineRule="auto"/>
        <w:tabs>
          <w:tab w:leader="none" w:pos="833" w:val="left"/>
        </w:tabs>
        <w:numPr>
          <w:ilvl w:val="1"/>
          <w:numId w:val="31"/>
        </w:numPr>
        <w:rPr>
          <w:rFonts w:ascii="Arial" w:cs="Arial" w:eastAsia="Arial" w:hAnsi="Arial"/>
          <w:sz w:val="17"/>
          <w:szCs w:val="17"/>
          <w:color w:val="auto"/>
        </w:rPr>
      </w:pPr>
      <w:r>
        <w:rPr>
          <w:rFonts w:ascii="Arial" w:cs="Arial" w:eastAsia="Arial" w:hAnsi="Arial"/>
          <w:sz w:val="17"/>
          <w:szCs w:val="17"/>
          <w:color w:val="auto"/>
        </w:rPr>
        <w:t>340,832 shares of common stock held by Varana Capital Focused L.P. (“VCFLP”) and a common stock purchase warrant to acquire 30,972 shares of common stock at $4.50 per share held by VCFLP. Mr. Broenniman is the Managing Partner of Varana Capital, LLC, which, in turn, is the investment manager of and has dispositive control over the shares held by VCFLP. By virtue of these relationships, in addition to the shares he holds personally, Mr. Broenniman may be deemed to beneficially own the shares held by VCFLP.</w:t>
      </w:r>
    </w:p>
    <w:p>
      <w:pPr>
        <w:spacing w:after="0" w:line="176" w:lineRule="exact"/>
        <w:rPr>
          <w:rFonts w:ascii="Arial" w:cs="Arial" w:eastAsia="Arial" w:hAnsi="Arial"/>
          <w:sz w:val="17"/>
          <w:szCs w:val="17"/>
          <w:color w:val="auto"/>
        </w:rPr>
      </w:pPr>
    </w:p>
    <w:p>
      <w:pPr>
        <w:jc w:val="both"/>
        <w:ind w:left="46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(i) 82,084 shares of common stock (ii) a stock option to acquire 166,667 shares of common stock at $3.00 per share, (iii) a stock option to acquire 83,333 shares of common stock at a price of $2.775 per share which vest as to one-third on each of October 7, 2021, 2022 and 2023 and (v) a stock option to acquire 100,000 shares of common stock at an exercise price of $7.20 per share which vest as to one-third on each of May 4, 2022, 2023 and 2024 or earlier change of control.</w:t>
      </w:r>
    </w:p>
    <w:p>
      <w:pPr>
        <w:spacing w:after="0" w:line="18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(i) 7,142 shares of common stock, and (ii) a stock option to acquire 600,000 shares of common stock at $7.80 per share vesting over a four year period and subject to meeting performance criteria, of which 68,750 will have vested as of May 15, 2022.</w:t>
      </w:r>
    </w:p>
    <w:p>
      <w:pPr>
        <w:spacing w:after="0" w:line="17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(i) 1,000 shares of common stock, (ii) 1,000 shares of common stock held by Mrs. Koehneman, (iii) a stock option to acquire 62,500 shares of common stock at an exercise price of $7.80 per share, which vest over a three-year period after each Annual Meeting subject to continued service, of which 20,833 are vested, and (iv) a stock option to acquire 10,238 shares of common stock at $15.16 per share that vest on a monthly basis over 12 months from December 29, 2021</w:t>
      </w:r>
    </w:p>
    <w:p>
      <w:pPr>
        <w:spacing w:after="0" w:line="186"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(i) a stock option to acquire 62,500 shares of common stock at an exercise price of $7.80 per share, which vest over a three-year period after each Annual Meeting subject to continued service, of which 20,833 are vested, and (ii) a stock option to acquire 10,238 shares of common stock at $15.16 per share that vest on a monthly basis over 12 months from December 29, 2021.</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Comprises a stock option to acquire 29,173 shares of common stock at an exercise price of $15.97 per share, which vest over a three-year period after each Annual Meeting subject to continued service, none of which will be vested as of May 15, 2022.</w:t>
      </w:r>
    </w:p>
    <w:p>
      <w:pPr>
        <w:spacing w:after="0" w:line="170" w:lineRule="exact"/>
        <w:rPr>
          <w:rFonts w:ascii="Arial" w:cs="Arial" w:eastAsia="Arial" w:hAnsi="Arial"/>
          <w:sz w:val="18"/>
          <w:szCs w:val="18"/>
          <w:color w:val="auto"/>
        </w:rPr>
      </w:pPr>
    </w:p>
    <w:p>
      <w:pPr>
        <w:jc w:val="both"/>
        <w:ind w:left="460" w:hanging="452"/>
        <w:spacing w:after="0" w:line="273"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(i) 1,769,541 shares of common stock held by Mr. Garchik personally, (ii) 78,175 shares of common stock held by Marla Garchik, Mr. Garchik’s wife, (iii) 166,667 shares of common stock held by the Garchik 2019 Irrevocable Trust (“2019 Trust”) of which Mr. Garchik is a trustee and beneficiary, (iv) 11,667 shares of common stock held by Garchik Universal Limited Partnership, which Mr. Garchik jointly controls with his sister, (v) 89,306 shares of common stock held by the Marla Garchik 2020 Irrevocable Trust (the “2020 Trust”) of which Mr. Garchik is a beneficiary, (vi) a common stock purchase warrant to acquire 83,334 shares of common stock at $4.50 per share held by the 2019 Trust and (vii) a common stock purchase warrant to acquire 40,660 shares of common stock at $4.50 per share held by the 2020 Trust.</w:t>
      </w:r>
    </w:p>
    <w:p>
      <w:pPr>
        <w:spacing w:after="0" w:line="177" w:lineRule="exact"/>
        <w:rPr>
          <w:rFonts w:ascii="Arial" w:cs="Arial" w:eastAsia="Arial" w:hAnsi="Arial"/>
          <w:sz w:val="17"/>
          <w:szCs w:val="17"/>
          <w:color w:val="auto"/>
        </w:rPr>
      </w:pPr>
    </w:p>
    <w:p>
      <w:pPr>
        <w:ind w:left="460" w:right="20" w:hanging="452"/>
        <w:spacing w:after="0" w:line="34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106,667 shares held by Multipolaris Corporation, 832,275 shares held by Interpolaris Pte. Ltd. and 640,000 held by MP Informatikai Kft. Mr. Vago is an officer and principal of each of these entities, and he may be deemed the beneficial owner or the shares held by such entities.</w:t>
      </w:r>
    </w:p>
    <w:p>
      <w:pPr>
        <w:spacing w:after="0" w:line="123" w:lineRule="exact"/>
        <w:rPr>
          <w:rFonts w:ascii="Arial" w:cs="Arial" w:eastAsia="Arial" w:hAnsi="Arial"/>
          <w:sz w:val="16"/>
          <w:szCs w:val="16"/>
          <w:color w:val="auto"/>
        </w:rPr>
      </w:pPr>
    </w:p>
    <w:p>
      <w:pPr>
        <w:ind w:left="46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ETFMG Cyber Security ETF, a series of the ETF Managers Trust, which is managed on a discretionary basis by ETF Managers Group LLC, has the right or the power to direct the receipt of dividends, or the proceeds from the sale of, the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5 for information pertaining to Securities Authorized for Issuance under Equity Compensation Plans.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Rule 4200 of The NASDAQ Stock Market one of the definitions of an independent director is a person other than an executive officer or employee of a company. The Company’s board of directors has reviewed the materiality of any relationship that each of the directors has with the Company, either directly or indirectly. Based on this review the board has determined that there are four independent directors, including all the members of the Audit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Common Stock</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August 26, 2021, the Company completed the Offering of 1,642,856 shares of its common stock at a public offering price of $7.00 per share, including 214,285 shares sold upon full exercise of the underwriter’s option to purchase additional shares, for gross proceeds of approximately $11.5 million. Two executive officers and three members of the Board of Directors participated in the offering and purchased approximately 1,314,000 shares.</w:t>
      </w:r>
    </w:p>
    <w:p>
      <w:pPr>
        <w:spacing w:after="0" w:line="1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June 30, 2020, Company entered into and consummated a private transaction pursuant to which a portion of the Company’s warrants exercisable at per share price of $3.00 (the “$3.00 Warrants”) were exercised for cash at an exercise price of $2.10 per share. In addition, the holders that exercised the $3.00 Warrants received a warrant exercisable for two years to acquire one share of common stock at an exercise price of $3.00 per share (the $4.50 Warrants”) for every four $3.00 Warrants exercised. Mr. Theodore Stern, a director of the Company, participated in the private transaction resulting in the issuance of 33,333 shares of common stock and 8,333 $0.15 Warrants in consideration of $70,000; and Varana Capital Focused, LP (“VCFLP”), participated in the private transaction resulting in the issuance of 123,889 shares of common stock and 30,972 $4.50 Warrants, in consideration of $260,167. Mr. Philip Broenniman, a director, the President and COO of the Company is the investment manager of VCFLP.</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30, 2020, Company entered into and consummated a private transaction pursuant to which a portion of the Company’s warrants exercisable at per share price of $1.80 (the “$1.80 Warrants”) were exercised. In addition, the holders that exercised the $1.80 Warrants also received a $4.50 Warrant for every two $1.80 Warrants exercised. Vista Associates, L.P., (“Vista”) of which, Mr. Herbert Selzer a director of the Company, is the General Partner, participated in the private transaction resulting in the issuance of 29,333 shares of common stock and 440,000 $4.50 Warrants, in consideration of $52,800.</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30, 2020, the Company also entered into a Subscription Agreement with VCFLP pursuant to which VCFLP purchased 23,810 shares of common stock in consideration of $50,000.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2021, the Company received conversion notices from Stern Trust of which Theodore Stern, (a former member of the Board of Directors until June 9, 2021) is the Trustee, converting the principal amount, repayment premium and interest in the amount of approximately $3.5 million payable under the Restated Stern Note into approximately 561,000 shares of common stock. Additionally, Theodore Stern and Herbert Selzer (also a former member of the Board of Directors until June 9, 2021) provided conversion notices for their respective 2020 Notes converting the principal, repayment premium and interest in the amount of approximately $256,000 into approximately 41,000 shares of common stock. The Stern Trust is owed approximately $0.7 million in interest under the Restated Stern Note, which has not been converted and remains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&amp; Executive Compensation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June 14, 2021, Phillip L. Kumnick resigned as Chief Executive Officer of Ipsidy Inc., and Thomas L. Thimot was appointed Chief Executive Officer in his place. Further, Philip R. Broenniman resigned as President and Chief Operating Officer and Cecil N. Smith III (Tripp) was appointed President and Chief Technology Officer. In May 2021 the Company granted to each of Mr. Kumnick and Mr. Broenniman options (the “May 2021 Options”) to acquire a total of 1,166,667 shares of common stock at an exercise price of $7.20 per share for a term of ten years that vest upon the achievement of certain market capitalization thresholds, or performance conditions. In November 2021 Mr. Kumnick and Mr. Broenniman agreed to cancel 300,000 and 200,000, respectively, of these stock options in consideration of removing certain service conditions.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Mr. Thomas Thimot and Mr. Cecil Smith, became employed by the Company as Chief Executive Officer and President and Chief Technology Officer effective June 14, 2021. Mr. Thimot and the Company entered into an Offer Letter pursuant to which Mr. Thimot will earn an annual salary of $325,000 with a bonus target at 50% of the base salary (pro-rated for 2021) upon terms to be agreed with the Compensation Committee for 2021 and on the understanding that the 2022 target will include a requirement of the Company achieving three times the annual revenue of 2021. Additionally, Mr. Thimot was granted an option to acquire 1,200,000 shares of common stock at an exercise price of $7.80 per share for a term of ten years of which half of the options vest monthly over four years and the balance is subject to certain performance vesting requirements.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jc w:val="both"/>
        <w:ind w:firstLine="648"/>
        <w:spacing w:after="0" w:line="257" w:lineRule="auto"/>
        <w:rPr>
          <w:sz w:val="20"/>
          <w:szCs w:val="20"/>
          <w:color w:val="auto"/>
        </w:rPr>
      </w:pPr>
      <w:r>
        <w:rPr>
          <w:rFonts w:ascii="Arial" w:cs="Arial" w:eastAsia="Arial" w:hAnsi="Arial"/>
          <w:sz w:val="18"/>
          <w:szCs w:val="18"/>
          <w:color w:val="auto"/>
        </w:rPr>
        <w:t>On June 14, 2021, Mr. Smith and the Company entered an into an Offer Letter pursuant to which Mr. Smith will earn an annual salary of $275,000 with a bonus target at 50% of the base salary (pro-rated for 2021) upon terms to be agreed with the Compensation Committee for 2021. In addition, Mr. Smith will receive a bonus of $50,000 after 90 days of service. Additionally. Mr. Smith was granted an option to acquire 600,000 shares of common stock at an exercise price of $7.80 per share for a term of ten years of which half of the options vest monthly over four years and the balance is subject to certain performance vesting requirements.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June 9, 2021 Theodore Stern, Herbert Selzer and Thomas Szoke resigned as directors of the Company. The size of the Board of directors was increased to seven and Dr. Michael A. Gorriz, Michael L. Koehneman, Sanjay Puri, Mr. Thimot and Jacqueline L. White were appointed as additional directors of the Company.</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granted each of the four new Directors appointed June 2021 stock options to acquire 62,500 shares of common stock or a total of 250,000 at an exercise price of $7.80 per share for a term of ten years that vest one third per year after each Annual Meeting. The Company granted the previously serving non-employee Directors stock options to acquire 93,470 common shares that are vested as the services were previously rendered. The stock options were granted in lieu of other forms of Board of Director Compensation. The Company also granted Mr. Selzer and Mr. Stern 22,388 stock options to acquire common shares for service in 2021 prior to their resignation as Directors. Upon their resignation as directors in June 2021, 13,992 stock options were vested and the balance was cancelled.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the Company appointed another Director in November 2021 and granted stock options to acquire 29,173 shares of common stock that vest one third a year after each Annual Meeting beginning in 2022. One of the Directors appointed in June did not stand for reelection to the Board of Directors in December 2021 and forfeited 41,667 stock options. In December 2021, the Company granted additional options to acquire 10,238 shares of common stock each to five of the non-employee Directors, by way of annual compensation under the Company’s compensation policy for non-employee directors, which vest monthly over a one-year-period</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August 10, 2016, the Company entered into a Letter Agreement (the “Amendment”) with Parity Labs, LLC (“Parity”), a company principally owned by Mr. Beck (former director and CEO) and his family, to amend the compensation section of that certain Advisory Agreement previously entered into between the Company and Parity on November 16, 2015 for the provision of strategic advisory services, to provide for the issuance to Parity of a common stock option (the “Parity Option”) to acquire 666,667 shares of common stock of the Company exercisable at $1.50 per share for a period of ten years. The Parity Option vested in entirety upon Mr. Beck becoming the Chief Executive Officer of Ipsidy, Inc. on January 31, 2017. The Company’s headquarters are located in Long Beach, New York where the Company currently leases offices on a month-to-month basis. The facilities are managed by Bridgeworks LLC, (“Bridgeworks”) a company providing office facilities to emerging companies, principally owned by Mr. Beck and his family. The arrangement with Bridgeworks LLC allows the Company to use offices and conference rooms for a fixed, monthly fee. Since 2014, Mr. Beck has served as managing member of Parity, and since 2016, as Chairman, a Member and co-founder of Bridgeworks. During 2021 and 2020, the Company paid Bridgeworks $30,000 and $52,500, respectively in each year for the use of the facilities.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February 2020, Mr. Beck, Mr. Selzer and Mr. Stern purchased $50,000, $100,000 and $50,000 respectively of 2020 Notes. In addition, Mr. Stern is a trustee of the Stern Trust whose Stern Note was amended and restated as part of the 2020 Notes Offering. A comprehensive disclosure of the 2020 Notes can be found in Note 7 to the Consolidated Financial Statements for the Year Ended December 31, 2021.</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2020, the Company granted 50,000 shares of Restricted Common Stock to each of Phillip Kumnick and Philip Broenniman, new members of our Board of Directors, in connection with their compensation for service as Board Members. The restricted stock vests upon the achievement of certain performance criteria. The performance criteria were met in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3" w:name="page64"/>
    <w:bookmarkEnd w:id="63"/>
    <w:p>
      <w:pPr>
        <w:jc w:val="both"/>
        <w:ind w:firstLine="648"/>
        <w:spacing w:after="0" w:line="293" w:lineRule="auto"/>
        <w:rPr>
          <w:sz w:val="20"/>
          <w:szCs w:val="20"/>
          <w:color w:val="auto"/>
        </w:rPr>
      </w:pPr>
      <w:r>
        <w:rPr>
          <w:rFonts w:ascii="Arial" w:cs="Arial" w:eastAsia="Arial" w:hAnsi="Arial"/>
          <w:sz w:val="16"/>
          <w:szCs w:val="16"/>
          <w:color w:val="auto"/>
        </w:rPr>
        <w:t>Mr. Phillip Kumnick and Mr. Philip Broenniman, two of the Company’s Director’s became employed by the Company as Chief Executive Officer and President and Chief Operating Officer effective May 22, 2020. Mr. Kumnick earned an initial base salary of $125,000 per annum which was increased to $187,500 per annum as of November 1, 2020 and is subject to review after one year. Mr. Kumnick was granted options to acquire 1,111,111 shares of common stock of which 20% vest at grant and the balance vest subject to performance conditions. Mr. Broenniman earned an initial base salary of $87,500 per annum which was increased to $131,250 as of November 1, 2020 and is subject to review after one year. Mr. Broenniman was granted options to acquire 555,555 shares of common stock of which 20% vest at grant and the balance vest subject to performance conditions.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2021, the Company and Progress Partners Inc. (“Progress”) modified their Business Advisory Agreement dated May 6, 2020 (“Progress Agreement”). The amended Progress Agreement provides for Progress to undertake continuing business development activities for the Company, for which the Company paid Progress $350,000. Additionally, the Company paid Progress, another $115,000 for additional consulting services. Mr. Puri, a former Director of the Company from June 9, to December 29, 2021 is an employee and Managing Director of Progress but is not a principal shareholder nor an executive officer of Progress.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fees incurred for each of the last two years for professional services rendered by Cherry Bekaert LLP, the independent registered public accounting firm (PCOAB ID 00677) or the audit of the Company’s annual financial statements included in the Company’s Form 10-K and review of financial statements for its quarterly reports (Form 10-Q) are reported below.</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total fees billed by Cherry Bekaert, LLP in 2021 aggregated $248,900 which includes fees for the audit of financial statements and review of the quarterly financial statements for 2021. Additionally, the Company paid Cherry Bekaert, LLP $41,400 for services associated with the filing of the Company’s S-1, S-3 and S-8. Furthermore, the Company paid Cherry Bekaert, LLP $10,000 for assistance with the filing for certain tax credits.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total fees paid to Cherry Bekaert LLP in 2020 aggregated $230,500 which includes fees for the 2020 audited financial statements and review of the quarterly financial statements for 2020. Additionally, the Company paid Cherry Bekaert, LLP $5,000 for services associated with the updated filing of the Company’s S-1.</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by its Charter pre-approves all audit services to be provided to the Company, whether provided by the principal auditor or other firms, and all other services (review, attest and non-audit) to be provided to the Company by the independent auditor. The Audit Committee approved the services rendered for the audit of the financial statements for the year ended December 31, 2021 and December 31, 2020 in addition to the services rendered for the filing of the quarterly financial statements on Form 10-Q in 2021 and 2020. Additionally, the Audit Committee approved the fee for Cherry Bekaert, LLP’s assistance with filing for certain tax credits.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expect representatives of Cherry Bekaert, LLP to be at the 2022 stockholders’ meeting and will be available to respond to any questions.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$’s in 000’s</w:t>
            </w:r>
          </w:p>
        </w:tc>
      </w:tr>
      <w:tr>
        <w:trPr>
          <w:trHeight w:val="241"/>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Audit</w:t>
            </w: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Taxes</w:t>
            </w: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Filings</w:t>
            </w:r>
          </w:p>
        </w:tc>
        <w:tc>
          <w:tcPr>
            <w:tcW w:w="10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Accounting</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36"/>
        </w:trPr>
        <w:tc>
          <w:tcPr>
            <w:tcW w:w="4620" w:type="dxa"/>
            <w:vAlign w:val="bottom"/>
            <w:tcBorders>
              <w:top w:val="single" w:sz="8" w:color="CCEEFF"/>
              <w:bottom w:val="single" w:sz="8" w:color="CCEEFF"/>
            </w:tcBorders>
            <w:shd w:val="clear" w:color="auto" w:fill="CCEEFF"/>
          </w:tcPr>
          <w:p>
            <w:pPr>
              <w:jc w:val="right"/>
              <w:ind w:right="4170"/>
              <w:spacing w:after="0"/>
              <w:rPr>
                <w:sz w:val="20"/>
                <w:szCs w:val="20"/>
                <w:color w:val="auto"/>
              </w:rPr>
            </w:pPr>
            <w:r>
              <w:rPr>
                <w:rFonts w:ascii="Arial" w:cs="Arial" w:eastAsia="Arial" w:hAnsi="Arial"/>
                <w:sz w:val="18"/>
                <w:szCs w:val="18"/>
                <w:color w:val="auto"/>
                <w:w w:val="84"/>
              </w:rPr>
              <w:t>2021</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4620" w:type="dxa"/>
            <w:vAlign w:val="bottom"/>
          </w:tcPr>
          <w:p>
            <w:pPr>
              <w:jc w:val="right"/>
              <w:ind w:right="4170"/>
              <w:spacing w:after="0" w:line="203" w:lineRule="exact"/>
              <w:rPr>
                <w:sz w:val="20"/>
                <w:szCs w:val="20"/>
                <w:color w:val="auto"/>
              </w:rPr>
            </w:pPr>
            <w:r>
              <w:rPr>
                <w:rFonts w:ascii="Arial" w:cs="Arial" w:eastAsia="Arial" w:hAnsi="Arial"/>
                <w:sz w:val="18"/>
                <w:szCs w:val="18"/>
                <w:color w:val="auto"/>
                <w:w w:val="84"/>
              </w:rPr>
              <w:t>2020</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225.5</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820"/>
              <w:spacing w:after="0" w:line="203"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current policy of the directors, acting via the Audit Committee, is to approve the appointment of the principal auditing firm and any permissible audit-related services. The audit and audit related fees include fees for the annual audit of the financial statements and review of financial statements included in 10K and Q filings.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40" w:type="dxa"/>
            <w:vAlign w:val="bottom"/>
            <w:gridSpan w:val="19"/>
          </w:tcPr>
          <w:p>
            <w:pPr>
              <w:ind w:left="160"/>
              <w:spacing w:after="0"/>
              <w:rPr>
                <w:sz w:val="20"/>
                <w:szCs w:val="20"/>
                <w:color w:val="auto"/>
              </w:rPr>
            </w:pPr>
            <w:r>
              <w:rPr>
                <w:rFonts w:ascii="Arial" w:cs="Arial" w:eastAsia="Arial" w:hAnsi="Arial"/>
                <w:sz w:val="18"/>
                <w:szCs w:val="18"/>
                <w:b w:val="1"/>
                <w:bCs w:val="1"/>
                <w:color w:val="auto"/>
              </w:rPr>
              <w:t>PART IV</w:t>
            </w:r>
          </w:p>
        </w:tc>
      </w:tr>
      <w:tr>
        <w:trPr>
          <w:trHeight w:val="337"/>
        </w:trPr>
        <w:tc>
          <w:tcPr>
            <w:tcW w:w="11240" w:type="dxa"/>
            <w:vAlign w:val="bottom"/>
            <w:gridSpan w:val="35"/>
          </w:tcPr>
          <w:p>
            <w:pPr>
              <w:spacing w:after="0"/>
              <w:rPr>
                <w:sz w:val="20"/>
                <w:szCs w:val="20"/>
                <w:color w:val="auto"/>
              </w:rPr>
            </w:pPr>
            <w:r>
              <w:rPr>
                <w:rFonts w:ascii="Arial" w:cs="Arial" w:eastAsia="Arial" w:hAnsi="Arial"/>
                <w:sz w:val="18"/>
                <w:szCs w:val="18"/>
                <w:b w:val="1"/>
                <w:bCs w:val="1"/>
                <w:color w:val="auto"/>
              </w:rPr>
              <w:t>Item 15. Exhibits &amp; Financial Statements Schedules.</w:t>
            </w:r>
          </w:p>
        </w:tc>
      </w:tr>
      <w:tr>
        <w:trPr>
          <w:trHeight w:val="345"/>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Number</w:t>
            </w:r>
          </w:p>
        </w:tc>
        <w:tc>
          <w:tcPr>
            <w:tcW w:w="460" w:type="dxa"/>
            <w:vAlign w:val="bottom"/>
            <w:tcBorders>
              <w:bottom w:val="single" w:sz="8" w:color="CCEEFF"/>
            </w:tcBorders>
          </w:tcPr>
          <w:p>
            <w:pPr>
              <w:spacing w:after="0"/>
              <w:rPr>
                <w:sz w:val="24"/>
                <w:szCs w:val="24"/>
                <w:color w:val="auto"/>
              </w:rPr>
            </w:pPr>
          </w:p>
        </w:tc>
        <w:tc>
          <w:tcPr>
            <w:tcW w:w="9420" w:type="dxa"/>
            <w:vAlign w:val="bottom"/>
            <w:tcBorders>
              <w:bottom w:val="single" w:sz="8" w:color="auto"/>
            </w:tcBorders>
            <w:gridSpan w:val="33"/>
          </w:tcPr>
          <w:p>
            <w:pPr>
              <w:spacing w:after="0"/>
              <w:rPr>
                <w:sz w:val="20"/>
                <w:szCs w:val="20"/>
                <w:color w:val="auto"/>
              </w:rPr>
            </w:pPr>
            <w:r>
              <w:rPr>
                <w:rFonts w:ascii="Arial" w:cs="Arial" w:eastAsia="Arial" w:hAnsi="Arial"/>
                <w:sz w:val="18"/>
                <w:szCs w:val="18"/>
                <w:color w:val="auto"/>
              </w:rPr>
              <w:t>Description</w:t>
            </w: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(1)</w:t>
            </w:r>
          </w:p>
        </w:tc>
        <w:tc>
          <w:tcPr>
            <w:tcW w:w="9420" w:type="dxa"/>
            <w:vAlign w:val="bottom"/>
            <w:gridSpan w:val="33"/>
            <w:shd w:val="clear" w:color="auto" w:fill="CCEEFF"/>
          </w:tcPr>
          <w:p>
            <w:pPr>
              <w:spacing w:after="0" w:line="176" w:lineRule="exact"/>
              <w:rPr>
                <w:rFonts w:ascii="Arial" w:cs="Arial" w:eastAsia="Arial" w:hAnsi="Arial"/>
                <w:sz w:val="18"/>
                <w:szCs w:val="18"/>
                <w:color w:val="0000EE"/>
              </w:rPr>
            </w:pPr>
            <w:hyperlink r:id="rId72">
              <w:r>
                <w:rPr>
                  <w:rFonts w:ascii="Arial" w:cs="Arial" w:eastAsia="Arial" w:hAnsi="Arial"/>
                  <w:sz w:val="18"/>
                  <w:szCs w:val="18"/>
                  <w:color w:val="0000EE"/>
                </w:rPr>
                <w:t>Amended &amp; Restated Certificate of Incorporation</w:t>
              </w:r>
            </w:hyperlink>
          </w:p>
        </w:tc>
      </w:tr>
      <w:tr>
        <w:trPr>
          <w:trHeight w:val="175"/>
        </w:trPr>
        <w:tc>
          <w:tcPr>
            <w:tcW w:w="13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3.2</w:t>
            </w:r>
          </w:p>
        </w:tc>
        <w:tc>
          <w:tcPr>
            <w:tcW w:w="460" w:type="dxa"/>
            <w:vAlign w:val="bottom"/>
            <w:tcBorders>
              <w:top w:val="single" w:sz="8" w:color="CCEEFF"/>
            </w:tcBorders>
          </w:tcPr>
          <w:p>
            <w:pPr>
              <w:jc w:val="center"/>
              <w:ind w:right="30"/>
              <w:spacing w:after="0" w:line="176" w:lineRule="exact"/>
              <w:rPr>
                <w:sz w:val="20"/>
                <w:szCs w:val="20"/>
                <w:color w:val="auto"/>
              </w:rPr>
            </w:pPr>
            <w:r>
              <w:rPr>
                <w:rFonts w:ascii="Arial" w:cs="Arial" w:eastAsia="Arial" w:hAnsi="Arial"/>
                <w:sz w:val="18"/>
                <w:szCs w:val="18"/>
                <w:color w:val="auto"/>
                <w:w w:val="99"/>
              </w:rPr>
              <w:t>(2)</w:t>
            </w:r>
          </w:p>
        </w:tc>
        <w:tc>
          <w:tcPr>
            <w:tcW w:w="356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r:id="rId73">
              <w:r>
                <w:rPr>
                  <w:rFonts w:ascii="Arial" w:cs="Arial" w:eastAsia="Arial" w:hAnsi="Arial"/>
                  <w:sz w:val="18"/>
                  <w:szCs w:val="18"/>
                  <w:color w:val="0000EE"/>
                </w:rPr>
                <w:t>Amended &amp; Restated Bylaws</w:t>
              </w:r>
            </w:hyperlink>
          </w:p>
        </w:tc>
        <w:tc>
          <w:tcPr>
            <w:tcW w:w="5860" w:type="dxa"/>
            <w:vAlign w:val="bottom"/>
            <w:tcBorders>
              <w:top w:val="single" w:sz="8" w:color="CCEEFF"/>
            </w:tcBorders>
            <w:gridSpan w:val="18"/>
          </w:tcPr>
          <w:p>
            <w:pPr>
              <w:spacing w:after="0"/>
              <w:rPr>
                <w:sz w:val="15"/>
                <w:szCs w:val="15"/>
                <w:color w:val="auto"/>
              </w:rPr>
            </w:pPr>
          </w:p>
        </w:tc>
      </w:tr>
      <w:tr>
        <w:trPr>
          <w:trHeight w:val="21"/>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3.3</w:t>
            </w:r>
          </w:p>
        </w:tc>
        <w:tc>
          <w:tcPr>
            <w:tcW w:w="46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(3)</w:t>
            </w:r>
          </w:p>
        </w:tc>
        <w:tc>
          <w:tcPr>
            <w:tcW w:w="328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r:id="rId74">
              <w:r>
                <w:rPr>
                  <w:rFonts w:ascii="Arial" w:cs="Arial" w:eastAsia="Arial" w:hAnsi="Arial"/>
                  <w:sz w:val="18"/>
                  <w:szCs w:val="18"/>
                  <w:color w:val="0000EE"/>
                  <w:w w:val="89"/>
                </w:rPr>
                <w:t>Certificate of Amendment dated June 1, 2021</w:t>
              </w:r>
            </w:hyperlink>
          </w:p>
        </w:tc>
        <w:tc>
          <w:tcPr>
            <w:tcW w:w="6140" w:type="dxa"/>
            <w:vAlign w:val="bottom"/>
            <w:tcBorders>
              <w:bottom w:val="single" w:sz="8" w:color="CCEEFF"/>
            </w:tcBorders>
            <w:gridSpan w:val="19"/>
            <w:shd w:val="clear" w:color="auto" w:fill="CCEEFF"/>
          </w:tcPr>
          <w:p>
            <w:pPr>
              <w:spacing w:after="0"/>
              <w:rPr>
                <w:sz w:val="17"/>
                <w:szCs w:val="17"/>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4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(3)</w:t>
            </w:r>
          </w:p>
        </w:tc>
        <w:tc>
          <w:tcPr>
            <w:tcW w:w="9420" w:type="dxa"/>
            <w:vAlign w:val="bottom"/>
            <w:gridSpan w:val="33"/>
          </w:tcPr>
          <w:p>
            <w:pPr>
              <w:spacing w:after="0" w:line="176" w:lineRule="exact"/>
              <w:rPr>
                <w:rFonts w:ascii="Arial" w:cs="Arial" w:eastAsia="Arial" w:hAnsi="Arial"/>
                <w:sz w:val="18"/>
                <w:szCs w:val="18"/>
                <w:color w:val="0000EE"/>
              </w:rPr>
            </w:pPr>
            <w:hyperlink r:id="rId75">
              <w:r>
                <w:rPr>
                  <w:rFonts w:ascii="Arial" w:cs="Arial" w:eastAsia="Arial" w:hAnsi="Arial"/>
                  <w:sz w:val="18"/>
                  <w:szCs w:val="18"/>
                  <w:color w:val="0000EE"/>
                </w:rPr>
                <w:t>Form of Stock Option</w:t>
              </w:r>
            </w:hyperlink>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46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(4)</w:t>
            </w:r>
          </w:p>
        </w:tc>
        <w:tc>
          <w:tcPr>
            <w:tcW w:w="23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Form of 8.0% Convertible Note</w:t>
              </w:r>
            </w:hyperlink>
          </w:p>
        </w:tc>
        <w:tc>
          <w:tcPr>
            <w:tcW w:w="7120" w:type="dxa"/>
            <w:vAlign w:val="bottom"/>
            <w:tcBorders>
              <w:bottom w:val="single" w:sz="8" w:color="CCEEFF"/>
            </w:tcBorders>
            <w:gridSpan w:val="25"/>
            <w:shd w:val="clear" w:color="auto" w:fill="CCEEFF"/>
          </w:tcPr>
          <w:p>
            <w:pPr>
              <w:spacing w:after="0"/>
              <w:rPr>
                <w:sz w:val="17"/>
                <w:szCs w:val="17"/>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4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(5)</w:t>
            </w:r>
          </w:p>
        </w:tc>
        <w:tc>
          <w:tcPr>
            <w:tcW w:w="9420" w:type="dxa"/>
            <w:vAlign w:val="bottom"/>
            <w:gridSpan w:val="33"/>
          </w:tcPr>
          <w:p>
            <w:pPr>
              <w:spacing w:after="0" w:line="176" w:lineRule="exact"/>
              <w:rPr>
                <w:rFonts w:ascii="Arial" w:cs="Arial" w:eastAsia="Arial" w:hAnsi="Arial"/>
                <w:sz w:val="18"/>
                <w:szCs w:val="18"/>
                <w:color w:val="0000EE"/>
              </w:rPr>
            </w:pPr>
            <w:hyperlink r:id="rId77">
              <w:r>
                <w:rPr>
                  <w:rFonts w:ascii="Arial" w:cs="Arial" w:eastAsia="Arial" w:hAnsi="Arial"/>
                  <w:sz w:val="18"/>
                  <w:szCs w:val="18"/>
                  <w:color w:val="0000EE"/>
                </w:rPr>
                <w:t>Form of 15.0% Convertible Note</w:t>
              </w:r>
            </w:hyperlink>
          </w:p>
        </w:tc>
      </w:tr>
      <w:tr>
        <w:trPr>
          <w:trHeight w:val="21"/>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46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(5)</w:t>
            </w:r>
          </w:p>
        </w:tc>
        <w:tc>
          <w:tcPr>
            <w:tcW w:w="632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89"/>
              </w:rPr>
            </w:pPr>
            <w:hyperlink r:id="rId78">
              <w:r>
                <w:rPr>
                  <w:rFonts w:ascii="Arial" w:cs="Arial" w:eastAsia="Arial" w:hAnsi="Arial"/>
                  <w:sz w:val="18"/>
                  <w:szCs w:val="18"/>
                  <w:color w:val="0000EE"/>
                  <w:w w:val="89"/>
                </w:rPr>
                <w:t>Amended and Restated Promissory Note issued to The Theodore Stern Revocable Trust</w:t>
              </w:r>
            </w:hyperlink>
          </w:p>
        </w:tc>
        <w:tc>
          <w:tcPr>
            <w:tcW w:w="3100" w:type="dxa"/>
            <w:vAlign w:val="bottom"/>
            <w:tcBorders>
              <w:bottom w:val="single" w:sz="8" w:color="CCEEFF"/>
            </w:tcBorders>
            <w:gridSpan w:val="12"/>
            <w:shd w:val="clear" w:color="auto" w:fill="CCEEFF"/>
          </w:tcPr>
          <w:p>
            <w:pPr>
              <w:spacing w:after="0"/>
              <w:rPr>
                <w:sz w:val="17"/>
                <w:szCs w:val="17"/>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color w:val="auto"/>
              </w:rPr>
              <w:t>4.5</w:t>
            </w:r>
          </w:p>
        </w:tc>
        <w:tc>
          <w:tcPr>
            <w:tcW w:w="4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(6)</w:t>
            </w:r>
          </w:p>
        </w:tc>
        <w:tc>
          <w:tcPr>
            <w:tcW w:w="9420" w:type="dxa"/>
            <w:vAlign w:val="bottom"/>
            <w:gridSpan w:val="33"/>
          </w:tcPr>
          <w:p>
            <w:pPr>
              <w:spacing w:after="0" w:line="176" w:lineRule="exact"/>
              <w:rPr>
                <w:rFonts w:ascii="Arial" w:cs="Arial" w:eastAsia="Arial" w:hAnsi="Arial"/>
                <w:sz w:val="18"/>
                <w:szCs w:val="18"/>
                <w:color w:val="0000EE"/>
              </w:rPr>
            </w:pPr>
            <w:hyperlink r:id="rId79">
              <w:r>
                <w:rPr>
                  <w:rFonts w:ascii="Arial" w:cs="Arial" w:eastAsia="Arial" w:hAnsi="Arial"/>
                  <w:sz w:val="18"/>
                  <w:szCs w:val="18"/>
                  <w:color w:val="0000EE"/>
                </w:rPr>
                <w:t>Paycheck Protection Program Term Note dated May 6, 2020</w:t>
              </w:r>
            </w:hyperlink>
          </w:p>
        </w:tc>
      </w:tr>
      <w:tr>
        <w:trPr>
          <w:trHeight w:val="21"/>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(7)</w:t>
            </w:r>
          </w:p>
        </w:tc>
        <w:tc>
          <w:tcPr>
            <w:tcW w:w="9420" w:type="dxa"/>
            <w:vAlign w:val="bottom"/>
            <w:gridSpan w:val="33"/>
            <w:shd w:val="clear" w:color="auto" w:fill="CCEEFF"/>
          </w:tcPr>
          <w:p>
            <w:pPr>
              <w:spacing w:after="0" w:line="176" w:lineRule="exact"/>
              <w:rPr>
                <w:rFonts w:ascii="Arial" w:cs="Arial" w:eastAsia="Arial" w:hAnsi="Arial"/>
                <w:sz w:val="18"/>
                <w:szCs w:val="18"/>
                <w:color w:val="0000EE"/>
              </w:rPr>
            </w:pPr>
            <w:hyperlink r:id="rId80">
              <w:r>
                <w:rPr>
                  <w:rFonts w:ascii="Arial" w:cs="Arial" w:eastAsia="Arial" w:hAnsi="Arial"/>
                  <w:sz w:val="18"/>
                  <w:szCs w:val="18"/>
                  <w:color w:val="0000EE"/>
                </w:rPr>
                <w:t>Paycheck Protection Program Term Note dated February 1, 2021</w:t>
              </w:r>
            </w:hyperlink>
          </w:p>
        </w:tc>
      </w:tr>
      <w:tr>
        <w:trPr>
          <w:trHeight w:val="176"/>
        </w:trPr>
        <w:tc>
          <w:tcPr>
            <w:tcW w:w="13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4.7*</w:t>
            </w:r>
          </w:p>
        </w:tc>
        <w:tc>
          <w:tcPr>
            <w:tcW w:w="460" w:type="dxa"/>
            <w:vAlign w:val="bottom"/>
            <w:tcBorders>
              <w:top w:val="single" w:sz="8" w:color="CCEEFF"/>
            </w:tcBorders>
          </w:tcPr>
          <w:p>
            <w:pPr>
              <w:spacing w:after="0"/>
              <w:rPr>
                <w:sz w:val="15"/>
                <w:szCs w:val="15"/>
                <w:color w:val="auto"/>
              </w:rPr>
            </w:pPr>
          </w:p>
        </w:tc>
        <w:tc>
          <w:tcPr>
            <w:tcW w:w="466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Description of the Registrant’s Securities</w:t>
              </w:r>
            </w:hyperlink>
          </w:p>
        </w:tc>
        <w:tc>
          <w:tcPr>
            <w:tcW w:w="4760" w:type="dxa"/>
            <w:vAlign w:val="bottom"/>
            <w:tcBorders>
              <w:top w:val="single" w:sz="8" w:color="CCEEFF"/>
            </w:tcBorders>
            <w:gridSpan w:val="15"/>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46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(3)</w:t>
            </w:r>
          </w:p>
        </w:tc>
        <w:tc>
          <w:tcPr>
            <w:tcW w:w="20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Form of Director Agreement</w:t>
              </w:r>
            </w:hyperlink>
          </w:p>
        </w:tc>
        <w:tc>
          <w:tcPr>
            <w:tcW w:w="7340" w:type="dxa"/>
            <w:vAlign w:val="bottom"/>
            <w:tcBorders>
              <w:bottom w:val="single" w:sz="8" w:color="CCEEFF"/>
            </w:tcBorders>
            <w:gridSpan w:val="27"/>
            <w:shd w:val="clear" w:color="auto" w:fill="CCEEFF"/>
          </w:tcPr>
          <w:p>
            <w:pPr>
              <w:spacing w:after="0"/>
              <w:rPr>
                <w:sz w:val="17"/>
                <w:szCs w:val="17"/>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4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(3)</w:t>
            </w:r>
          </w:p>
        </w:tc>
        <w:tc>
          <w:tcPr>
            <w:tcW w:w="9420" w:type="dxa"/>
            <w:vAlign w:val="bottom"/>
            <w:gridSpan w:val="33"/>
          </w:tcPr>
          <w:p>
            <w:pPr>
              <w:spacing w:after="0" w:line="176" w:lineRule="exact"/>
              <w:rPr>
                <w:rFonts w:ascii="Arial" w:cs="Arial" w:eastAsia="Arial" w:hAnsi="Arial"/>
                <w:sz w:val="18"/>
                <w:szCs w:val="18"/>
                <w:color w:val="0000EE"/>
              </w:rPr>
            </w:pPr>
            <w:hyperlink r:id="rId82">
              <w:r>
                <w:rPr>
                  <w:rFonts w:ascii="Arial" w:cs="Arial" w:eastAsia="Arial" w:hAnsi="Arial"/>
                  <w:sz w:val="18"/>
                  <w:szCs w:val="18"/>
                  <w:color w:val="0000EE"/>
                </w:rPr>
                <w:t>Form of Indemnification Agreement</w:t>
              </w:r>
            </w:hyperlink>
          </w:p>
        </w:tc>
      </w:tr>
      <w:tr>
        <w:trPr>
          <w:trHeight w:val="21"/>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4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3"/>
              </w:rPr>
              <w:t>(11)</w:t>
            </w:r>
          </w:p>
        </w:tc>
        <w:tc>
          <w:tcPr>
            <w:tcW w:w="9420" w:type="dxa"/>
            <w:vAlign w:val="bottom"/>
            <w:gridSpan w:val="33"/>
            <w:shd w:val="clear" w:color="auto" w:fill="CCEEFF"/>
          </w:tcPr>
          <w:p>
            <w:pPr>
              <w:spacing w:after="0" w:line="176" w:lineRule="exact"/>
              <w:rPr>
                <w:rFonts w:ascii="Arial" w:cs="Arial" w:eastAsia="Arial" w:hAnsi="Arial"/>
                <w:sz w:val="18"/>
                <w:szCs w:val="18"/>
                <w:color w:val="0000EE"/>
              </w:rPr>
            </w:pPr>
            <w:hyperlink r:id="rId83">
              <w:r>
                <w:rPr>
                  <w:rFonts w:ascii="Arial" w:cs="Arial" w:eastAsia="Arial" w:hAnsi="Arial"/>
                  <w:sz w:val="18"/>
                  <w:szCs w:val="18"/>
                  <w:color w:val="0000EE"/>
                </w:rPr>
                <w:t>Executive Retention Agreement entered between the Company and Stuart P. Stoller dated January 31, 2017</w:t>
              </w:r>
            </w:hyperlink>
          </w:p>
        </w:tc>
      </w:tr>
      <w:tr>
        <w:trPr>
          <w:trHeight w:val="176"/>
        </w:trPr>
        <w:tc>
          <w:tcPr>
            <w:tcW w:w="13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10.4</w:t>
            </w:r>
          </w:p>
        </w:tc>
        <w:tc>
          <w:tcPr>
            <w:tcW w:w="460" w:type="dxa"/>
            <w:vAlign w:val="bottom"/>
            <w:tcBorders>
              <w:top w:val="single" w:sz="8" w:color="CCEEFF"/>
            </w:tcBorders>
          </w:tcPr>
          <w:p>
            <w:pPr>
              <w:jc w:val="center"/>
              <w:ind w:right="30"/>
              <w:spacing w:after="0" w:line="176" w:lineRule="exact"/>
              <w:rPr>
                <w:sz w:val="20"/>
                <w:szCs w:val="20"/>
                <w:color w:val="auto"/>
              </w:rPr>
            </w:pPr>
            <w:r>
              <w:rPr>
                <w:rFonts w:ascii="Arial" w:cs="Arial" w:eastAsia="Arial" w:hAnsi="Arial"/>
                <w:sz w:val="18"/>
                <w:szCs w:val="18"/>
                <w:color w:val="auto"/>
                <w:w w:val="99"/>
              </w:rPr>
              <w:t>(8)</w:t>
            </w:r>
          </w:p>
        </w:tc>
        <w:tc>
          <w:tcPr>
            <w:tcW w:w="7720" w:type="dxa"/>
            <w:vAlign w:val="bottom"/>
            <w:tcBorders>
              <w:top w:val="single" w:sz="8" w:color="0000EE"/>
            </w:tcBorders>
            <w:gridSpan w:val="27"/>
          </w:tcPr>
          <w:p>
            <w:pPr>
              <w:spacing w:after="0" w:line="17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Executive Retention Agreement entered between the Company and Thomas Szoke dated January 31 2017</w:t>
              </w:r>
            </w:hyperlink>
          </w:p>
        </w:tc>
        <w:tc>
          <w:tcPr>
            <w:tcW w:w="1700" w:type="dxa"/>
            <w:vAlign w:val="bottom"/>
            <w:tcBorders>
              <w:top w:val="single" w:sz="8" w:color="CCEEFF"/>
            </w:tcBorders>
            <w:gridSpan w:val="6"/>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46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(9)</w:t>
            </w:r>
          </w:p>
        </w:tc>
        <w:tc>
          <w:tcPr>
            <w:tcW w:w="19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2017 Incentive Stock Plan</w:t>
              </w:r>
            </w:hyperlink>
          </w:p>
        </w:tc>
        <w:tc>
          <w:tcPr>
            <w:tcW w:w="7520" w:type="dxa"/>
            <w:vAlign w:val="bottom"/>
            <w:tcBorders>
              <w:bottom w:val="single" w:sz="8" w:color="CCEEFF"/>
            </w:tcBorders>
            <w:gridSpan w:val="28"/>
            <w:shd w:val="clear" w:color="auto" w:fill="CCEEFF"/>
          </w:tcPr>
          <w:p>
            <w:pPr>
              <w:spacing w:after="0"/>
              <w:rPr>
                <w:sz w:val="17"/>
                <w:szCs w:val="17"/>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4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(3)</w:t>
            </w:r>
          </w:p>
        </w:tc>
        <w:tc>
          <w:tcPr>
            <w:tcW w:w="9420" w:type="dxa"/>
            <w:vAlign w:val="bottom"/>
            <w:gridSpan w:val="33"/>
          </w:tcPr>
          <w:p>
            <w:pPr>
              <w:spacing w:after="0" w:line="176" w:lineRule="exact"/>
              <w:rPr>
                <w:rFonts w:ascii="Arial" w:cs="Arial" w:eastAsia="Arial" w:hAnsi="Arial"/>
                <w:sz w:val="18"/>
                <w:szCs w:val="18"/>
                <w:color w:val="0000EE"/>
              </w:rPr>
            </w:pPr>
            <w:hyperlink r:id="rId86">
              <w:r>
                <w:rPr>
                  <w:rFonts w:ascii="Arial" w:cs="Arial" w:eastAsia="Arial" w:hAnsi="Arial"/>
                  <w:sz w:val="18"/>
                  <w:szCs w:val="18"/>
                  <w:color w:val="0000EE"/>
                </w:rPr>
                <w:t>Executive Retention Agreement entered between the Company and Thomas L. Thimot dated June 14, 2021</w:t>
              </w:r>
            </w:hyperlink>
          </w:p>
        </w:tc>
      </w:tr>
      <w:tr>
        <w:trPr>
          <w:trHeight w:val="21"/>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4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(3)</w:t>
            </w:r>
          </w:p>
        </w:tc>
        <w:tc>
          <w:tcPr>
            <w:tcW w:w="9420" w:type="dxa"/>
            <w:vAlign w:val="bottom"/>
            <w:gridSpan w:val="33"/>
            <w:shd w:val="clear" w:color="auto" w:fill="CCEEFF"/>
          </w:tcPr>
          <w:p>
            <w:pPr>
              <w:spacing w:after="0" w:line="176" w:lineRule="exact"/>
              <w:rPr>
                <w:rFonts w:ascii="Arial" w:cs="Arial" w:eastAsia="Arial" w:hAnsi="Arial"/>
                <w:sz w:val="18"/>
                <w:szCs w:val="18"/>
                <w:color w:val="0000EE"/>
              </w:rPr>
            </w:pPr>
            <w:hyperlink r:id="rId87">
              <w:r>
                <w:rPr>
                  <w:rFonts w:ascii="Arial" w:cs="Arial" w:eastAsia="Arial" w:hAnsi="Arial"/>
                  <w:sz w:val="18"/>
                  <w:szCs w:val="18"/>
                  <w:color w:val="0000EE"/>
                </w:rPr>
                <w:t>Executive Retention Agreement entered between the Company and Cecil N. Smith III dated June 14, 2021</w:t>
              </w:r>
            </w:hyperlink>
          </w:p>
        </w:tc>
      </w:tr>
      <w:tr>
        <w:trPr>
          <w:trHeight w:val="175"/>
        </w:trPr>
        <w:tc>
          <w:tcPr>
            <w:tcW w:w="13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10.9</w:t>
            </w:r>
          </w:p>
        </w:tc>
        <w:tc>
          <w:tcPr>
            <w:tcW w:w="460" w:type="dxa"/>
            <w:vAlign w:val="bottom"/>
            <w:tcBorders>
              <w:top w:val="single" w:sz="8" w:color="CCEEFF"/>
            </w:tcBorders>
          </w:tcPr>
          <w:p>
            <w:pPr>
              <w:jc w:val="center"/>
              <w:ind w:right="30"/>
              <w:spacing w:after="0" w:line="176" w:lineRule="exact"/>
              <w:rPr>
                <w:sz w:val="20"/>
                <w:szCs w:val="20"/>
                <w:color w:val="auto"/>
              </w:rPr>
            </w:pPr>
            <w:r>
              <w:rPr>
                <w:rFonts w:ascii="Arial" w:cs="Arial" w:eastAsia="Arial" w:hAnsi="Arial"/>
                <w:sz w:val="18"/>
                <w:szCs w:val="18"/>
                <w:color w:val="auto"/>
                <w:w w:val="99"/>
              </w:rPr>
              <w:t>(3)</w:t>
            </w:r>
          </w:p>
        </w:tc>
        <w:tc>
          <w:tcPr>
            <w:tcW w:w="7660" w:type="dxa"/>
            <w:vAlign w:val="bottom"/>
            <w:tcBorders>
              <w:top w:val="single" w:sz="8" w:color="0000EE"/>
            </w:tcBorders>
            <w:gridSpan w:val="26"/>
          </w:tcPr>
          <w:p>
            <w:pPr>
              <w:spacing w:after="0" w:line="176" w:lineRule="exact"/>
              <w:rPr>
                <w:rFonts w:ascii="Arial" w:cs="Arial" w:eastAsia="Arial" w:hAnsi="Arial"/>
                <w:sz w:val="18"/>
                <w:szCs w:val="18"/>
                <w:color w:val="0000EE"/>
              </w:rPr>
            </w:pPr>
            <w:hyperlink r:id="rId88">
              <w:r>
                <w:rPr>
                  <w:rFonts w:ascii="Arial" w:cs="Arial" w:eastAsia="Arial" w:hAnsi="Arial"/>
                  <w:sz w:val="18"/>
                  <w:szCs w:val="18"/>
                  <w:color w:val="0000EE"/>
                </w:rPr>
                <w:t>Letter Agreement between the Company and Thomas L. Thimot dated June 14, 2021</w:t>
              </w:r>
            </w:hyperlink>
          </w:p>
        </w:tc>
        <w:tc>
          <w:tcPr>
            <w:tcW w:w="1760" w:type="dxa"/>
            <w:vAlign w:val="bottom"/>
            <w:tcBorders>
              <w:top w:val="single" w:sz="8" w:color="CCEEFF"/>
            </w:tcBorders>
            <w:gridSpan w:val="7"/>
          </w:tcPr>
          <w:p>
            <w:pPr>
              <w:spacing w:after="0"/>
              <w:rPr>
                <w:sz w:val="15"/>
                <w:szCs w:val="15"/>
                <w:color w:val="auto"/>
              </w:rPr>
            </w:pPr>
          </w:p>
        </w:tc>
      </w:tr>
      <w:tr>
        <w:trPr>
          <w:trHeight w:val="21"/>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46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(3)</w:t>
            </w:r>
          </w:p>
        </w:tc>
        <w:tc>
          <w:tcPr>
            <w:tcW w:w="60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Letter Agreement between the Company and Cecil N. Smith III dated June 14, 2021</w:t>
              </w:r>
            </w:hyperlink>
          </w:p>
        </w:tc>
        <w:tc>
          <w:tcPr>
            <w:tcW w:w="3360" w:type="dxa"/>
            <w:vAlign w:val="bottom"/>
            <w:tcBorders>
              <w:bottom w:val="single" w:sz="8" w:color="CCEEFF"/>
            </w:tcBorders>
            <w:gridSpan w:val="14"/>
            <w:shd w:val="clear" w:color="auto" w:fill="CCEEFF"/>
          </w:tcPr>
          <w:p>
            <w:pPr>
              <w:spacing w:after="0"/>
              <w:rPr>
                <w:sz w:val="17"/>
                <w:szCs w:val="17"/>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color w:val="auto"/>
              </w:rPr>
              <w:t>10.11</w:t>
            </w:r>
          </w:p>
        </w:tc>
        <w:tc>
          <w:tcPr>
            <w:tcW w:w="4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3"/>
              </w:rPr>
              <w:t>(13)</w:t>
            </w:r>
          </w:p>
        </w:tc>
        <w:tc>
          <w:tcPr>
            <w:tcW w:w="9420" w:type="dxa"/>
            <w:vAlign w:val="bottom"/>
            <w:gridSpan w:val="33"/>
          </w:tcPr>
          <w:p>
            <w:pPr>
              <w:spacing w:after="0" w:line="176" w:lineRule="exact"/>
              <w:rPr>
                <w:rFonts w:ascii="Arial" w:cs="Arial" w:eastAsia="Arial" w:hAnsi="Arial"/>
                <w:sz w:val="18"/>
                <w:szCs w:val="18"/>
                <w:color w:val="0000EE"/>
              </w:rPr>
            </w:pPr>
            <w:hyperlink r:id="rId90">
              <w:r>
                <w:rPr>
                  <w:rFonts w:ascii="Arial" w:cs="Arial" w:eastAsia="Arial" w:hAnsi="Arial"/>
                  <w:sz w:val="18"/>
                  <w:szCs w:val="18"/>
                  <w:color w:val="0000EE"/>
                </w:rPr>
                <w:t>Letter Agreement between the Company and Phillip L. Kumnick dated as November 5, 2021</w:t>
              </w:r>
            </w:hyperlink>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4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3"/>
              </w:rPr>
              <w:t>(13)</w:t>
            </w:r>
          </w:p>
        </w:tc>
        <w:tc>
          <w:tcPr>
            <w:tcW w:w="9420" w:type="dxa"/>
            <w:vAlign w:val="bottom"/>
            <w:gridSpan w:val="33"/>
            <w:shd w:val="clear" w:color="auto" w:fill="CCEEFF"/>
          </w:tcPr>
          <w:p>
            <w:pPr>
              <w:spacing w:after="0" w:line="176" w:lineRule="exact"/>
              <w:rPr>
                <w:rFonts w:ascii="Arial" w:cs="Arial" w:eastAsia="Arial" w:hAnsi="Arial"/>
                <w:sz w:val="18"/>
                <w:szCs w:val="18"/>
                <w:color w:val="0000EE"/>
              </w:rPr>
            </w:pPr>
            <w:hyperlink r:id="rId91">
              <w:r>
                <w:rPr>
                  <w:rFonts w:ascii="Arial" w:cs="Arial" w:eastAsia="Arial" w:hAnsi="Arial"/>
                  <w:sz w:val="18"/>
                  <w:szCs w:val="18"/>
                  <w:color w:val="0000EE"/>
                </w:rPr>
                <w:t>Letter Agreement between the Company and Philip R. Broenniman dated as November 5, 2021</w:t>
              </w:r>
            </w:hyperlink>
          </w:p>
        </w:tc>
      </w:tr>
      <w:tr>
        <w:trPr>
          <w:trHeight w:val="176"/>
        </w:trPr>
        <w:tc>
          <w:tcPr>
            <w:tcW w:w="13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10.13</w:t>
            </w:r>
          </w:p>
        </w:tc>
        <w:tc>
          <w:tcPr>
            <w:tcW w:w="460" w:type="dxa"/>
            <w:vAlign w:val="bottom"/>
            <w:tcBorders>
              <w:top w:val="single" w:sz="8" w:color="CCEEFF"/>
            </w:tcBorders>
          </w:tcPr>
          <w:p>
            <w:pPr>
              <w:jc w:val="center"/>
              <w:ind w:right="30"/>
              <w:spacing w:after="0" w:line="176" w:lineRule="exact"/>
              <w:rPr>
                <w:sz w:val="20"/>
                <w:szCs w:val="20"/>
                <w:color w:val="auto"/>
              </w:rPr>
            </w:pPr>
            <w:r>
              <w:rPr>
                <w:rFonts w:ascii="Arial" w:cs="Arial" w:eastAsia="Arial" w:hAnsi="Arial"/>
                <w:sz w:val="18"/>
                <w:szCs w:val="18"/>
                <w:color w:val="auto"/>
                <w:w w:val="93"/>
              </w:rPr>
              <w:t>(14)</w:t>
            </w:r>
          </w:p>
        </w:tc>
        <w:tc>
          <w:tcPr>
            <w:tcW w:w="686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r:id="rId92">
              <w:r>
                <w:rPr>
                  <w:rFonts w:ascii="Arial" w:cs="Arial" w:eastAsia="Arial" w:hAnsi="Arial"/>
                  <w:sz w:val="18"/>
                  <w:szCs w:val="18"/>
                  <w:color w:val="0000EE"/>
                </w:rPr>
                <w:t>Ipsidy Inc. 2021 Equity Incentive Plan</w:t>
              </w:r>
            </w:hyperlink>
          </w:p>
        </w:tc>
        <w:tc>
          <w:tcPr>
            <w:tcW w:w="2560" w:type="dxa"/>
            <w:vAlign w:val="bottom"/>
            <w:tcBorders>
              <w:top w:val="single" w:sz="8" w:color="CCEEFF"/>
            </w:tcBorders>
            <w:gridSpan w:val="10"/>
          </w:tcPr>
          <w:p>
            <w:pPr>
              <w:spacing w:after="0"/>
              <w:rPr>
                <w:sz w:val="15"/>
                <w:szCs w:val="15"/>
                <w:color w:val="auto"/>
              </w:rPr>
            </w:pPr>
          </w:p>
        </w:tc>
      </w:tr>
      <w:tr>
        <w:trPr>
          <w:trHeight w:val="21"/>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460" w:type="dxa"/>
            <w:vAlign w:val="bottom"/>
            <w:tcBorders>
              <w:bottom w:val="single" w:sz="8" w:color="CCEEFF"/>
            </w:tcBorders>
            <w:shd w:val="clear" w:color="auto" w:fill="CCEEFF"/>
          </w:tcPr>
          <w:p>
            <w:pPr>
              <w:spacing w:after="0"/>
              <w:rPr>
                <w:sz w:val="17"/>
                <w:szCs w:val="17"/>
                <w:color w:val="auto"/>
              </w:rPr>
            </w:pPr>
          </w:p>
        </w:tc>
        <w:tc>
          <w:tcPr>
            <w:tcW w:w="60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Letter Agreement between Ipsidy Inc. and Thomas Szoke dated November 19, 2021</w:t>
              </w:r>
            </w:hyperlink>
          </w:p>
        </w:tc>
        <w:tc>
          <w:tcPr>
            <w:tcW w:w="3360" w:type="dxa"/>
            <w:vAlign w:val="bottom"/>
            <w:tcBorders>
              <w:bottom w:val="single" w:sz="8" w:color="CCEEFF"/>
            </w:tcBorders>
            <w:gridSpan w:val="14"/>
            <w:shd w:val="clear" w:color="auto" w:fill="CCEEFF"/>
          </w:tcPr>
          <w:p>
            <w:pPr>
              <w:spacing w:after="0"/>
              <w:rPr>
                <w:sz w:val="17"/>
                <w:szCs w:val="17"/>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color w:val="auto"/>
              </w:rPr>
              <w:t>10.15</w:t>
            </w:r>
          </w:p>
        </w:tc>
        <w:tc>
          <w:tcPr>
            <w:tcW w:w="4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3"/>
              </w:rPr>
              <w:t>(15)</w:t>
            </w:r>
          </w:p>
        </w:tc>
        <w:tc>
          <w:tcPr>
            <w:tcW w:w="9420" w:type="dxa"/>
            <w:vAlign w:val="bottom"/>
            <w:gridSpan w:val="33"/>
          </w:tcPr>
          <w:p>
            <w:pPr>
              <w:spacing w:after="0" w:line="176" w:lineRule="exact"/>
              <w:rPr>
                <w:rFonts w:ascii="Arial" w:cs="Arial" w:eastAsia="Arial" w:hAnsi="Arial"/>
                <w:sz w:val="18"/>
                <w:szCs w:val="18"/>
                <w:color w:val="0000EE"/>
                <w:w w:val="96"/>
              </w:rPr>
            </w:pPr>
            <w:hyperlink r:id="rId93">
              <w:r>
                <w:rPr>
                  <w:rFonts w:ascii="Arial" w:cs="Arial" w:eastAsia="Arial" w:hAnsi="Arial"/>
                  <w:sz w:val="18"/>
                  <w:szCs w:val="18"/>
                  <w:color w:val="0000EE"/>
                  <w:w w:val="96"/>
                </w:rPr>
                <w:t>Form of Securities Purchase Agreement entered into between the Company and the Note Investors dated March 21, 2022.</w:t>
              </w:r>
            </w:hyperlink>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10.16</w:t>
            </w:r>
          </w:p>
        </w:tc>
        <w:tc>
          <w:tcPr>
            <w:tcW w:w="46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3"/>
              </w:rPr>
              <w:t>(15)</w:t>
            </w:r>
          </w:p>
        </w:tc>
        <w:tc>
          <w:tcPr>
            <w:tcW w:w="796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Form of Senior Secured Convertible Note issued by the Company to the Note Investors dated March 21, 2022.</w:t>
              </w:r>
            </w:hyperlink>
          </w:p>
        </w:tc>
        <w:tc>
          <w:tcPr>
            <w:tcW w:w="146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color w:val="auto"/>
              </w:rPr>
              <w:t>10.17</w:t>
            </w:r>
          </w:p>
        </w:tc>
        <w:tc>
          <w:tcPr>
            <w:tcW w:w="4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3"/>
              </w:rPr>
              <w:t>(15)</w:t>
            </w:r>
          </w:p>
        </w:tc>
        <w:tc>
          <w:tcPr>
            <w:tcW w:w="9420" w:type="dxa"/>
            <w:vAlign w:val="bottom"/>
            <w:tcBorders>
              <w:bottom w:val="single" w:sz="8" w:color="0000EE"/>
            </w:tcBorders>
            <w:gridSpan w:val="33"/>
          </w:tcPr>
          <w:p>
            <w:pPr>
              <w:spacing w:after="0" w:line="17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Security and Pledge Agreement entered into between the Company and Stephen J. Garchik as Collateral Agent dated March 21,</w:t>
              </w:r>
            </w:hyperlink>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gridSpan w:val="2"/>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2022.</w:t>
              </w:r>
            </w:hyperlink>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10.19</w:t>
            </w:r>
          </w:p>
        </w:tc>
        <w:tc>
          <w:tcPr>
            <w:tcW w:w="46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3"/>
              </w:rPr>
              <w:t>(15)</w:t>
            </w:r>
          </w:p>
        </w:tc>
        <w:tc>
          <w:tcPr>
            <w:tcW w:w="8760" w:type="dxa"/>
            <w:vAlign w:val="bottom"/>
            <w:tcBorders>
              <w:bottom w:val="single" w:sz="8" w:color="0000EE"/>
            </w:tcBorders>
            <w:gridSpan w:val="32"/>
            <w:shd w:val="clear" w:color="auto" w:fill="CCEEFF"/>
          </w:tcPr>
          <w:p>
            <w:pPr>
              <w:spacing w:after="0" w:line="17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Form of Registration Rights Agreement entered into between the Company and the Note Investors dated March 21, 2022.</w:t>
              </w:r>
            </w:hyperlink>
          </w:p>
        </w:tc>
        <w:tc>
          <w:tcPr>
            <w:tcW w:w="660" w:type="dxa"/>
            <w:vAlign w:val="bottom"/>
            <w:tcBorders>
              <w:bottom w:val="single" w:sz="8" w:color="CCEEFF"/>
            </w:tcBorders>
            <w:shd w:val="clear" w:color="auto" w:fill="CCEEFF"/>
          </w:tcPr>
          <w:p>
            <w:pPr>
              <w:spacing w:after="0"/>
              <w:rPr>
                <w:sz w:val="17"/>
                <w:szCs w:val="17"/>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color w:val="auto"/>
              </w:rPr>
              <w:t>10.20</w:t>
            </w:r>
          </w:p>
        </w:tc>
        <w:tc>
          <w:tcPr>
            <w:tcW w:w="4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3"/>
              </w:rPr>
              <w:t>(15)</w:t>
            </w:r>
          </w:p>
        </w:tc>
        <w:tc>
          <w:tcPr>
            <w:tcW w:w="9420" w:type="dxa"/>
            <w:vAlign w:val="bottom"/>
            <w:gridSpan w:val="33"/>
          </w:tcPr>
          <w:p>
            <w:pPr>
              <w:spacing w:after="0" w:line="176" w:lineRule="exact"/>
              <w:rPr>
                <w:rFonts w:ascii="Arial" w:cs="Arial" w:eastAsia="Arial" w:hAnsi="Arial"/>
                <w:sz w:val="18"/>
                <w:szCs w:val="18"/>
                <w:color w:val="0000EE"/>
              </w:rPr>
            </w:pPr>
            <w:hyperlink r:id="rId97">
              <w:r>
                <w:rPr>
                  <w:rFonts w:ascii="Arial" w:cs="Arial" w:eastAsia="Arial" w:hAnsi="Arial"/>
                  <w:sz w:val="18"/>
                  <w:szCs w:val="18"/>
                  <w:color w:val="0000EE"/>
                </w:rPr>
                <w:t>Facility Agreement entered into between the Company and Stephen J. Garchik dated March 21, 2022.</w:t>
              </w:r>
            </w:hyperlink>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10.21</w:t>
            </w:r>
          </w:p>
        </w:tc>
        <w:tc>
          <w:tcPr>
            <w:tcW w:w="46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3"/>
              </w:rPr>
              <w:t>(15)</w:t>
            </w:r>
          </w:p>
        </w:tc>
        <w:tc>
          <w:tcPr>
            <w:tcW w:w="830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Form of Subscription Agreement entered into between the Company and the PIPE Investors dated March 21, 2022.</w:t>
              </w:r>
            </w:hyperlink>
          </w:p>
        </w:tc>
        <w:tc>
          <w:tcPr>
            <w:tcW w:w="112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color w:val="auto"/>
              </w:rPr>
              <w:t>14.1</w:t>
            </w:r>
          </w:p>
        </w:tc>
        <w:tc>
          <w:tcPr>
            <w:tcW w:w="4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3"/>
              </w:rPr>
              <w:t>(10)</w:t>
            </w:r>
          </w:p>
        </w:tc>
        <w:tc>
          <w:tcPr>
            <w:tcW w:w="9420" w:type="dxa"/>
            <w:vAlign w:val="bottom"/>
            <w:gridSpan w:val="33"/>
          </w:tcPr>
          <w:p>
            <w:pPr>
              <w:spacing w:after="0" w:line="176" w:lineRule="exact"/>
              <w:rPr>
                <w:rFonts w:ascii="Arial" w:cs="Arial" w:eastAsia="Arial" w:hAnsi="Arial"/>
                <w:sz w:val="18"/>
                <w:szCs w:val="18"/>
                <w:color w:val="0000EE"/>
              </w:rPr>
            </w:pPr>
            <w:hyperlink r:id="rId99">
              <w:r>
                <w:rPr>
                  <w:rFonts w:ascii="Arial" w:cs="Arial" w:eastAsia="Arial" w:hAnsi="Arial"/>
                  <w:sz w:val="18"/>
                  <w:szCs w:val="18"/>
                  <w:color w:val="0000EE"/>
                </w:rPr>
                <w:t>Code of Ethics</w:t>
              </w:r>
            </w:hyperlink>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46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3"/>
              </w:rPr>
              <w:t>(10)</w:t>
            </w:r>
          </w:p>
        </w:tc>
        <w:tc>
          <w:tcPr>
            <w:tcW w:w="14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List of Subsidiaries</w:t>
              </w:r>
            </w:hyperlink>
          </w:p>
        </w:tc>
        <w:tc>
          <w:tcPr>
            <w:tcW w:w="8020" w:type="dxa"/>
            <w:vAlign w:val="bottom"/>
            <w:tcBorders>
              <w:bottom w:val="single" w:sz="8" w:color="CCEEFF"/>
            </w:tcBorders>
            <w:gridSpan w:val="30"/>
            <w:shd w:val="clear" w:color="auto" w:fill="CCEEFF"/>
          </w:tcPr>
          <w:p>
            <w:pPr>
              <w:spacing w:after="0"/>
              <w:rPr>
                <w:sz w:val="17"/>
                <w:szCs w:val="17"/>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460" w:type="dxa"/>
            <w:vAlign w:val="bottom"/>
          </w:tcPr>
          <w:p>
            <w:pPr>
              <w:spacing w:after="0"/>
              <w:rPr>
                <w:sz w:val="15"/>
                <w:szCs w:val="15"/>
                <w:color w:val="auto"/>
              </w:rPr>
            </w:pPr>
          </w:p>
        </w:tc>
        <w:tc>
          <w:tcPr>
            <w:tcW w:w="9420" w:type="dxa"/>
            <w:vAlign w:val="bottom"/>
            <w:gridSpan w:val="33"/>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Consent of Independent Registered Public Accounting Firm</w:t>
              </w:r>
            </w:hyperlink>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460" w:type="dxa"/>
            <w:vAlign w:val="bottom"/>
            <w:shd w:val="clear" w:color="auto" w:fill="CCEEFF"/>
          </w:tcPr>
          <w:p>
            <w:pPr>
              <w:spacing w:after="0"/>
              <w:rPr>
                <w:sz w:val="17"/>
                <w:szCs w:val="17"/>
                <w:color w:val="auto"/>
              </w:rPr>
            </w:pPr>
          </w:p>
        </w:tc>
        <w:tc>
          <w:tcPr>
            <w:tcW w:w="9420" w:type="dxa"/>
            <w:vAlign w:val="bottom"/>
            <w:gridSpan w:val="33"/>
            <w:shd w:val="clear" w:color="auto" w:fill="CCEEFF"/>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Certification of Chief Executive Officer pursuant to Rule 13a-14(a)/15d-14(a) of the Securities Exchange Act</w:t>
              </w:r>
            </w:hyperlink>
          </w:p>
        </w:tc>
      </w:tr>
      <w:tr>
        <w:trPr>
          <w:trHeight w:val="175"/>
        </w:trPr>
        <w:tc>
          <w:tcPr>
            <w:tcW w:w="13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31.2*</w:t>
            </w:r>
          </w:p>
        </w:tc>
        <w:tc>
          <w:tcPr>
            <w:tcW w:w="460" w:type="dxa"/>
            <w:vAlign w:val="bottom"/>
            <w:tcBorders>
              <w:top w:val="single" w:sz="8" w:color="CCEEFF"/>
            </w:tcBorders>
          </w:tcPr>
          <w:p>
            <w:pPr>
              <w:spacing w:after="0"/>
              <w:rPr>
                <w:sz w:val="15"/>
                <w:szCs w:val="15"/>
                <w:color w:val="auto"/>
              </w:rPr>
            </w:pPr>
          </w:p>
        </w:tc>
        <w:tc>
          <w:tcPr>
            <w:tcW w:w="7880" w:type="dxa"/>
            <w:vAlign w:val="bottom"/>
            <w:tcBorders>
              <w:top w:val="single" w:sz="8" w:color="0000EE"/>
            </w:tcBorders>
            <w:gridSpan w:val="29"/>
          </w:tcPr>
          <w:p>
            <w:pPr>
              <w:spacing w:after="0" w:line="176" w:lineRule="exact"/>
              <w:rPr>
                <w:rFonts w:ascii="Arial" w:cs="Arial" w:eastAsia="Arial" w:hAnsi="Arial"/>
                <w:sz w:val="18"/>
                <w:szCs w:val="18"/>
                <w:color w:val="0000EE"/>
                <w:w w:val="92"/>
              </w:rPr>
            </w:pPr>
            <w:hyperlink w:anchor="page110">
              <w:r>
                <w:rPr>
                  <w:rFonts w:ascii="Arial" w:cs="Arial" w:eastAsia="Arial" w:hAnsi="Arial"/>
                  <w:sz w:val="18"/>
                  <w:szCs w:val="18"/>
                  <w:color w:val="0000EE"/>
                  <w:w w:val="92"/>
                </w:rPr>
                <w:t>Certification of Chief Financial Officer pursuant to Rule 13a-14(a)/15d-14(a) of the Securities Exchange Act</w:t>
              </w:r>
            </w:hyperlink>
          </w:p>
        </w:tc>
        <w:tc>
          <w:tcPr>
            <w:tcW w:w="1540" w:type="dxa"/>
            <w:vAlign w:val="bottom"/>
            <w:tcBorders>
              <w:top w:val="single" w:sz="8" w:color="CCEEFF"/>
            </w:tcBorders>
            <w:gridSpan w:val="4"/>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460" w:type="dxa"/>
            <w:vAlign w:val="bottom"/>
            <w:tcBorders>
              <w:bottom w:val="single" w:sz="8" w:color="CCEEFF"/>
            </w:tcBorders>
            <w:shd w:val="clear" w:color="auto" w:fill="CCEEFF"/>
          </w:tcPr>
          <w:p>
            <w:pPr>
              <w:spacing w:after="0"/>
              <w:rPr>
                <w:sz w:val="15"/>
                <w:szCs w:val="15"/>
                <w:color w:val="auto"/>
              </w:rPr>
            </w:pPr>
          </w:p>
        </w:tc>
        <w:tc>
          <w:tcPr>
            <w:tcW w:w="9420" w:type="dxa"/>
            <w:vAlign w:val="bottom"/>
            <w:tcBorders>
              <w:bottom w:val="single" w:sz="8" w:color="0000EE"/>
            </w:tcBorders>
            <w:gridSpan w:val="33"/>
            <w:shd w:val="clear" w:color="auto" w:fill="CCEEFF"/>
          </w:tcPr>
          <w:p>
            <w:pPr>
              <w:spacing w:after="0" w:line="176" w:lineRule="exact"/>
              <w:rPr>
                <w:rFonts w:ascii="Arial" w:cs="Arial" w:eastAsia="Arial" w:hAnsi="Arial"/>
                <w:sz w:val="18"/>
                <w:szCs w:val="18"/>
                <w:color w:val="0000EE"/>
                <w:w w:val="92"/>
              </w:rPr>
            </w:pPr>
            <w:hyperlink w:anchor="page111">
              <w:r>
                <w:rPr>
                  <w:rFonts w:ascii="Arial" w:cs="Arial" w:eastAsia="Arial" w:hAnsi="Arial"/>
                  <w:sz w:val="18"/>
                  <w:szCs w:val="18"/>
                  <w:color w:val="0000EE"/>
                  <w:w w:val="92"/>
                </w:rPr>
                <w:t>Certification of Chief Executive Officer and Chief Financial Officer pursuant to 18 U.S.C. §1350, as adopted pursuant to Section</w:t>
              </w:r>
            </w:hyperlink>
          </w:p>
        </w:tc>
      </w:tr>
      <w:tr>
        <w:trPr>
          <w:trHeight w:val="217"/>
        </w:trPr>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20" w:type="dxa"/>
            <w:vAlign w:val="bottom"/>
            <w:gridSpan w:val="33"/>
            <w:shd w:val="clear" w:color="auto" w:fill="CCEEFF"/>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906 of the Sarbanes-Oxley Act of 2002</w:t>
              </w:r>
            </w:hyperlink>
          </w:p>
        </w:tc>
      </w:tr>
      <w:tr>
        <w:trPr>
          <w:trHeight w:val="216"/>
        </w:trPr>
        <w:tc>
          <w:tcPr>
            <w:tcW w:w="1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101.INS</w:t>
            </w:r>
          </w:p>
        </w:tc>
        <w:tc>
          <w:tcPr>
            <w:tcW w:w="460" w:type="dxa"/>
            <w:vAlign w:val="bottom"/>
            <w:tcBorders>
              <w:top w:val="single" w:sz="8" w:color="CCEEFF"/>
            </w:tcBorders>
          </w:tcPr>
          <w:p>
            <w:pPr>
              <w:spacing w:after="0"/>
              <w:rPr>
                <w:sz w:val="18"/>
                <w:szCs w:val="18"/>
                <w:color w:val="auto"/>
              </w:rPr>
            </w:pPr>
          </w:p>
        </w:tc>
        <w:tc>
          <w:tcPr>
            <w:tcW w:w="282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Inline XBRL Instance Document *</w:t>
            </w:r>
          </w:p>
        </w:tc>
        <w:tc>
          <w:tcPr>
            <w:tcW w:w="6600" w:type="dxa"/>
            <w:vAlign w:val="bottom"/>
            <w:tcBorders>
              <w:top w:val="single" w:sz="8" w:color="CCEEFF"/>
            </w:tcBorders>
            <w:gridSpan w:val="21"/>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460" w:type="dxa"/>
            <w:vAlign w:val="bottom"/>
            <w:shd w:val="clear" w:color="auto" w:fill="CCEEFF"/>
          </w:tcPr>
          <w:p>
            <w:pPr>
              <w:spacing w:after="0"/>
              <w:rPr>
                <w:sz w:val="18"/>
                <w:szCs w:val="18"/>
                <w:color w:val="auto"/>
              </w:rPr>
            </w:pPr>
          </w:p>
        </w:tc>
        <w:tc>
          <w:tcPr>
            <w:tcW w:w="9420" w:type="dxa"/>
            <w:vAlign w:val="bottom"/>
            <w:gridSpan w:val="33"/>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 *</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460" w:type="dxa"/>
            <w:vAlign w:val="bottom"/>
          </w:tcPr>
          <w:p>
            <w:pPr>
              <w:spacing w:after="0"/>
              <w:rPr>
                <w:sz w:val="18"/>
                <w:szCs w:val="18"/>
                <w:color w:val="auto"/>
              </w:rPr>
            </w:pPr>
          </w:p>
        </w:tc>
        <w:tc>
          <w:tcPr>
            <w:tcW w:w="9420" w:type="dxa"/>
            <w:vAlign w:val="bottom"/>
            <w:gridSpan w:val="33"/>
          </w:tcPr>
          <w:p>
            <w:pPr>
              <w:spacing w:after="0"/>
              <w:rPr>
                <w:sz w:val="20"/>
                <w:szCs w:val="20"/>
                <w:color w:val="auto"/>
              </w:rPr>
            </w:pPr>
            <w:r>
              <w:rPr>
                <w:rFonts w:ascii="Arial" w:cs="Arial" w:eastAsia="Arial" w:hAnsi="Arial"/>
                <w:sz w:val="18"/>
                <w:szCs w:val="18"/>
                <w:color w:val="auto"/>
              </w:rPr>
              <w:t>Inline XBRL Taxonomy Extension Calculation Linkbase Document *</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460" w:type="dxa"/>
            <w:vAlign w:val="bottom"/>
            <w:shd w:val="clear" w:color="auto" w:fill="CCEEFF"/>
          </w:tcPr>
          <w:p>
            <w:pPr>
              <w:spacing w:after="0"/>
              <w:rPr>
                <w:sz w:val="18"/>
                <w:szCs w:val="18"/>
                <w:color w:val="auto"/>
              </w:rPr>
            </w:pPr>
          </w:p>
        </w:tc>
        <w:tc>
          <w:tcPr>
            <w:tcW w:w="9420" w:type="dxa"/>
            <w:vAlign w:val="bottom"/>
            <w:gridSpan w:val="33"/>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 *</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460" w:type="dxa"/>
            <w:vAlign w:val="bottom"/>
          </w:tcPr>
          <w:p>
            <w:pPr>
              <w:spacing w:after="0"/>
              <w:rPr>
                <w:sz w:val="18"/>
                <w:szCs w:val="18"/>
                <w:color w:val="auto"/>
              </w:rPr>
            </w:pPr>
          </w:p>
        </w:tc>
        <w:tc>
          <w:tcPr>
            <w:tcW w:w="9420" w:type="dxa"/>
            <w:vAlign w:val="bottom"/>
            <w:gridSpan w:val="33"/>
          </w:tcPr>
          <w:p>
            <w:pPr>
              <w:spacing w:after="0"/>
              <w:rPr>
                <w:sz w:val="20"/>
                <w:szCs w:val="20"/>
                <w:color w:val="auto"/>
              </w:rPr>
            </w:pPr>
            <w:r>
              <w:rPr>
                <w:rFonts w:ascii="Arial" w:cs="Arial" w:eastAsia="Arial" w:hAnsi="Arial"/>
                <w:sz w:val="18"/>
                <w:szCs w:val="18"/>
                <w:color w:val="auto"/>
              </w:rPr>
              <w:t>Inline XBRL Taxonomy Extension Label Linkbase Document *</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460" w:type="dxa"/>
            <w:vAlign w:val="bottom"/>
            <w:shd w:val="clear" w:color="auto" w:fill="CCEEFF"/>
          </w:tcPr>
          <w:p>
            <w:pPr>
              <w:spacing w:after="0"/>
              <w:rPr>
                <w:sz w:val="18"/>
                <w:szCs w:val="18"/>
                <w:color w:val="auto"/>
              </w:rPr>
            </w:pPr>
          </w:p>
        </w:tc>
        <w:tc>
          <w:tcPr>
            <w:tcW w:w="9420" w:type="dxa"/>
            <w:vAlign w:val="bottom"/>
            <w:gridSpan w:val="33"/>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 *</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0"/>
                <w:szCs w:val="20"/>
                <w:color w:val="auto"/>
              </w:rPr>
            </w:pPr>
          </w:p>
        </w:tc>
        <w:tc>
          <w:tcPr>
            <w:tcW w:w="9420" w:type="dxa"/>
            <w:vAlign w:val="bottom"/>
            <w:gridSpan w:val="3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93"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23, 2021.</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January 22, 2021.</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June 15, 2021.</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December 16, 2019.</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18, 2020.</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May 13, 2020.</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May 6, 2021.</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6, 2017.</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May 4, 2018.</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July 12, 2017.</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 2017.</w:t>
      </w:r>
    </w:p>
    <w:p>
      <w:pPr>
        <w:spacing w:after="0" w:line="9" w:lineRule="exact"/>
        <w:rPr>
          <w:rFonts w:ascii="Arial" w:cs="Arial" w:eastAsia="Arial" w:hAnsi="Arial"/>
          <w:sz w:val="18"/>
          <w:szCs w:val="18"/>
          <w:color w:val="auto"/>
        </w:rPr>
      </w:pPr>
    </w:p>
    <w:p>
      <w:pPr>
        <w:ind w:left="360" w:hanging="352"/>
        <w:spacing w:after="0" w:line="250"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S-1/A Amendment No. 1 to the S-1 Registration Statement filed with the Securities Exchange Commission on July 16, 2021.</w:t>
      </w: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November 8, 2021.</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S-8 Registration Statement filed with the Securities Exchange Commission on February 1, 2022.</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21, 2022.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632"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7080" w:type="dxa"/>
            <w:vAlign w:val="bottom"/>
            <w:gridSpan w:val="2"/>
          </w:tcPr>
          <w:p>
            <w:pPr>
              <w:ind w:left="2580"/>
              <w:spacing w:after="0"/>
              <w:rPr>
                <w:sz w:val="20"/>
                <w:szCs w:val="20"/>
                <w:color w:val="auto"/>
              </w:rPr>
            </w:pPr>
            <w:r>
              <w:rPr>
                <w:rFonts w:ascii="Arial" w:cs="Arial" w:eastAsia="Arial" w:hAnsi="Arial"/>
                <w:sz w:val="18"/>
                <w:szCs w:val="18"/>
                <w:b w:val="1"/>
                <w:bCs w:val="1"/>
                <w:color w:val="auto"/>
              </w:rPr>
              <w:t>Ipsidy Inc.</w:t>
            </w:r>
          </w:p>
        </w:tc>
      </w:tr>
      <w:tr>
        <w:trPr>
          <w:trHeight w:val="439"/>
        </w:trPr>
        <w:tc>
          <w:tcPr>
            <w:tcW w:w="4160" w:type="dxa"/>
            <w:vAlign w:val="bottom"/>
          </w:tcPr>
          <w:p>
            <w:pPr>
              <w:spacing w:after="0"/>
              <w:rPr>
                <w:sz w:val="20"/>
                <w:szCs w:val="20"/>
                <w:color w:val="auto"/>
              </w:rPr>
            </w:pPr>
            <w:r>
              <w:rPr>
                <w:rFonts w:ascii="Arial" w:cs="Arial" w:eastAsia="Arial" w:hAnsi="Arial"/>
                <w:sz w:val="18"/>
                <w:szCs w:val="18"/>
                <w:color w:val="auto"/>
              </w:rPr>
              <w:t>Date: March 22, 2022</w:t>
            </w:r>
          </w:p>
        </w:tc>
        <w:tc>
          <w:tcPr>
            <w:tcW w:w="3160" w:type="dxa"/>
            <w:vAlign w:val="bottom"/>
          </w:tcPr>
          <w:p>
            <w:pPr>
              <w:ind w:left="25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Thimot</w:t>
            </w:r>
          </w:p>
        </w:tc>
      </w:tr>
      <w:tr>
        <w:trPr>
          <w:trHeight w:val="202"/>
        </w:trPr>
        <w:tc>
          <w:tcPr>
            <w:tcW w:w="4160" w:type="dxa"/>
            <w:vAlign w:val="bottom"/>
          </w:tcPr>
          <w:p>
            <w:pPr>
              <w:spacing w:after="0"/>
              <w:rPr>
                <w:sz w:val="17"/>
                <w:szCs w:val="17"/>
                <w:color w:val="auto"/>
              </w:rPr>
            </w:pPr>
          </w:p>
        </w:tc>
        <w:tc>
          <w:tcPr>
            <w:tcW w:w="3160" w:type="dxa"/>
            <w:vAlign w:val="bottom"/>
          </w:tcPr>
          <w:p>
            <w:pPr>
              <w:ind w:left="258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Thomas Thimot</w:t>
            </w:r>
          </w:p>
        </w:tc>
      </w:tr>
      <w:tr>
        <w:trPr>
          <w:trHeight w:val="216"/>
        </w:trPr>
        <w:tc>
          <w:tcPr>
            <w:tcW w:w="4160" w:type="dxa"/>
            <w:vAlign w:val="bottom"/>
          </w:tcPr>
          <w:p>
            <w:pPr>
              <w:spacing w:after="0"/>
              <w:rPr>
                <w:sz w:val="18"/>
                <w:szCs w:val="18"/>
                <w:color w:val="auto"/>
              </w:rPr>
            </w:pPr>
          </w:p>
        </w:tc>
        <w:tc>
          <w:tcPr>
            <w:tcW w:w="3160" w:type="dxa"/>
            <w:vAlign w:val="bottom"/>
          </w:tcPr>
          <w:p>
            <w:pPr>
              <w:ind w:left="25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4160" w:type="dxa"/>
            <w:vAlign w:val="bottom"/>
          </w:tcPr>
          <w:p>
            <w:pPr>
              <w:spacing w:after="0"/>
              <w:rPr>
                <w:sz w:val="20"/>
                <w:szCs w:val="20"/>
                <w:color w:val="auto"/>
              </w:rPr>
            </w:pPr>
            <w:r>
              <w:rPr>
                <w:rFonts w:ascii="Arial" w:cs="Arial" w:eastAsia="Arial" w:hAnsi="Arial"/>
                <w:sz w:val="18"/>
                <w:szCs w:val="18"/>
                <w:color w:val="auto"/>
              </w:rPr>
              <w:t>Date: March 22, 2022</w:t>
            </w:r>
          </w:p>
        </w:tc>
        <w:tc>
          <w:tcPr>
            <w:tcW w:w="3160" w:type="dxa"/>
            <w:vAlign w:val="bottom"/>
          </w:tcPr>
          <w:p>
            <w:pPr>
              <w:ind w:left="25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P. Stoller</w:t>
            </w:r>
          </w:p>
        </w:tc>
      </w:tr>
      <w:tr>
        <w:trPr>
          <w:trHeight w:val="202"/>
        </w:trPr>
        <w:tc>
          <w:tcPr>
            <w:tcW w:w="4160" w:type="dxa"/>
            <w:vAlign w:val="bottom"/>
          </w:tcPr>
          <w:p>
            <w:pPr>
              <w:spacing w:after="0"/>
              <w:rPr>
                <w:sz w:val="17"/>
                <w:szCs w:val="17"/>
                <w:color w:val="auto"/>
              </w:rPr>
            </w:pPr>
          </w:p>
        </w:tc>
        <w:tc>
          <w:tcPr>
            <w:tcW w:w="3160" w:type="dxa"/>
            <w:vAlign w:val="bottom"/>
          </w:tcPr>
          <w:p>
            <w:pPr>
              <w:ind w:left="258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Stuart P. Stoller</w:t>
            </w:r>
          </w:p>
        </w:tc>
      </w:tr>
      <w:tr>
        <w:trPr>
          <w:trHeight w:val="216"/>
        </w:trPr>
        <w:tc>
          <w:tcPr>
            <w:tcW w:w="4160" w:type="dxa"/>
            <w:vAlign w:val="bottom"/>
          </w:tcPr>
          <w:p>
            <w:pPr>
              <w:spacing w:after="0"/>
              <w:rPr>
                <w:sz w:val="18"/>
                <w:szCs w:val="18"/>
                <w:color w:val="auto"/>
              </w:rPr>
            </w:pPr>
          </w:p>
        </w:tc>
        <w:tc>
          <w:tcPr>
            <w:tcW w:w="3160" w:type="dxa"/>
            <w:vAlign w:val="bottom"/>
          </w:tcPr>
          <w:p>
            <w:pPr>
              <w:ind w:left="25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the Exchange Act, this report has been signed below by the following persons on March 22, 2022 on behalf of the registrant and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6060" w:type="dxa"/>
            <w:vAlign w:val="bottom"/>
            <w:tcBorders>
              <w:bottom w:val="single" w:sz="8" w:color="auto"/>
            </w:tcBorders>
          </w:tcPr>
          <w:p>
            <w:pPr>
              <w:ind w:left="2860"/>
              <w:spacing w:after="0"/>
              <w:rPr>
                <w:sz w:val="20"/>
                <w:szCs w:val="20"/>
                <w:color w:val="auto"/>
              </w:rPr>
            </w:pPr>
            <w:r>
              <w:rPr>
                <w:rFonts w:ascii="Arial" w:cs="Arial" w:eastAsia="Arial" w:hAnsi="Arial"/>
                <w:sz w:val="18"/>
                <w:szCs w:val="18"/>
                <w:b w:val="1"/>
                <w:bCs w:val="1"/>
                <w:color w:val="auto"/>
              </w:rPr>
              <w:t>Title</w:t>
            </w:r>
          </w:p>
        </w:tc>
      </w:tr>
      <w:tr>
        <w:trPr>
          <w:trHeight w:val="439"/>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 L. Kumnick</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Phillip L. Kumnick</w:t>
            </w:r>
          </w:p>
        </w:tc>
        <w:tc>
          <w:tcPr>
            <w:tcW w:w="220" w:type="dxa"/>
            <w:vAlign w:val="bottom"/>
          </w:tcPr>
          <w:p>
            <w:pPr>
              <w:spacing w:after="0"/>
              <w:rPr>
                <w:sz w:val="20"/>
                <w:szCs w:val="20"/>
                <w:color w:val="auto"/>
              </w:rPr>
            </w:pPr>
          </w:p>
        </w:tc>
        <w:tc>
          <w:tcPr>
            <w:tcW w:w="6060" w:type="dxa"/>
            <w:vAlign w:val="bottom"/>
          </w:tcPr>
          <w:p>
            <w:pPr>
              <w:spacing w:after="0"/>
              <w:rPr>
                <w:sz w:val="20"/>
                <w:szCs w:val="20"/>
                <w:color w:val="auto"/>
              </w:rPr>
            </w:pPr>
          </w:p>
        </w:tc>
      </w:tr>
      <w:tr>
        <w:trPr>
          <w:trHeight w:val="425"/>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Thimot</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Thomas Thimot</w:t>
            </w:r>
          </w:p>
        </w:tc>
        <w:tc>
          <w:tcPr>
            <w:tcW w:w="628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(Principal Executive Officer)</w:t>
            </w:r>
          </w:p>
        </w:tc>
      </w:tr>
      <w:tr>
        <w:trPr>
          <w:trHeight w:val="425"/>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R. Broenniman</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Philip R. Broenniman</w:t>
            </w:r>
          </w:p>
        </w:tc>
        <w:tc>
          <w:tcPr>
            <w:tcW w:w="220" w:type="dxa"/>
            <w:vAlign w:val="bottom"/>
          </w:tcPr>
          <w:p>
            <w:pPr>
              <w:spacing w:after="0"/>
              <w:rPr>
                <w:sz w:val="20"/>
                <w:szCs w:val="20"/>
                <w:color w:val="auto"/>
              </w:rPr>
            </w:pPr>
          </w:p>
        </w:tc>
        <w:tc>
          <w:tcPr>
            <w:tcW w:w="6060" w:type="dxa"/>
            <w:vAlign w:val="bottom"/>
          </w:tcPr>
          <w:p>
            <w:pPr>
              <w:spacing w:after="0"/>
              <w:rPr>
                <w:sz w:val="20"/>
                <w:szCs w:val="20"/>
                <w:color w:val="auto"/>
              </w:rPr>
            </w:pPr>
          </w:p>
        </w:tc>
      </w:tr>
      <w:tr>
        <w:trPr>
          <w:trHeight w:val="425"/>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Gorriz</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Michael Gorriz</w:t>
            </w:r>
          </w:p>
        </w:tc>
        <w:tc>
          <w:tcPr>
            <w:tcW w:w="220" w:type="dxa"/>
            <w:vAlign w:val="bottom"/>
          </w:tcPr>
          <w:p>
            <w:pPr>
              <w:spacing w:after="0"/>
              <w:rPr>
                <w:sz w:val="20"/>
                <w:szCs w:val="20"/>
                <w:color w:val="auto"/>
              </w:rPr>
            </w:pPr>
          </w:p>
        </w:tc>
        <w:tc>
          <w:tcPr>
            <w:tcW w:w="6060" w:type="dxa"/>
            <w:vAlign w:val="bottom"/>
          </w:tcPr>
          <w:p>
            <w:pPr>
              <w:spacing w:after="0"/>
              <w:rPr>
                <w:sz w:val="20"/>
                <w:szCs w:val="20"/>
                <w:color w:val="auto"/>
              </w:rPr>
            </w:pPr>
          </w:p>
        </w:tc>
      </w:tr>
      <w:tr>
        <w:trPr>
          <w:trHeight w:val="425"/>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Koehneman</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Michael Koehneman</w:t>
            </w:r>
          </w:p>
        </w:tc>
        <w:tc>
          <w:tcPr>
            <w:tcW w:w="220" w:type="dxa"/>
            <w:vAlign w:val="bottom"/>
          </w:tcPr>
          <w:p>
            <w:pPr>
              <w:spacing w:after="0"/>
              <w:rPr>
                <w:sz w:val="20"/>
                <w:szCs w:val="20"/>
                <w:color w:val="auto"/>
              </w:rPr>
            </w:pPr>
          </w:p>
        </w:tc>
        <w:tc>
          <w:tcPr>
            <w:tcW w:w="6060" w:type="dxa"/>
            <w:vAlign w:val="bottom"/>
          </w:tcPr>
          <w:p>
            <w:pPr>
              <w:spacing w:after="0"/>
              <w:rPr>
                <w:sz w:val="20"/>
                <w:szCs w:val="20"/>
                <w:color w:val="auto"/>
              </w:rPr>
            </w:pPr>
          </w:p>
        </w:tc>
      </w:tr>
      <w:tr>
        <w:trPr>
          <w:trHeight w:val="425"/>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Neepa Patel</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Neepa Patel</w:t>
            </w:r>
          </w:p>
        </w:tc>
        <w:tc>
          <w:tcPr>
            <w:tcW w:w="220" w:type="dxa"/>
            <w:vAlign w:val="bottom"/>
          </w:tcPr>
          <w:p>
            <w:pPr>
              <w:spacing w:after="0"/>
              <w:rPr>
                <w:sz w:val="20"/>
                <w:szCs w:val="20"/>
                <w:color w:val="auto"/>
              </w:rPr>
            </w:pPr>
          </w:p>
        </w:tc>
        <w:tc>
          <w:tcPr>
            <w:tcW w:w="6060" w:type="dxa"/>
            <w:vAlign w:val="bottom"/>
          </w:tcPr>
          <w:p>
            <w:pPr>
              <w:spacing w:after="0"/>
              <w:rPr>
                <w:sz w:val="20"/>
                <w:szCs w:val="20"/>
                <w:color w:val="auto"/>
              </w:rPr>
            </w:pPr>
          </w:p>
        </w:tc>
      </w:tr>
      <w:tr>
        <w:trPr>
          <w:trHeight w:val="425"/>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P. Stoller</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Stuart P. Stoller</w:t>
            </w:r>
          </w:p>
        </w:tc>
        <w:tc>
          <w:tcPr>
            <w:tcW w:w="628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(Principal Financial and Accounting Officer)</w:t>
            </w:r>
          </w:p>
        </w:tc>
      </w:tr>
      <w:tr>
        <w:trPr>
          <w:trHeight w:val="425"/>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Jacqueline White</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Jacqueline White</w:t>
            </w:r>
          </w:p>
        </w:tc>
        <w:tc>
          <w:tcPr>
            <w:tcW w:w="220" w:type="dxa"/>
            <w:vAlign w:val="bottom"/>
          </w:tcPr>
          <w:p>
            <w:pPr>
              <w:spacing w:after="0"/>
              <w:rPr>
                <w:sz w:val="20"/>
                <w:szCs w:val="20"/>
                <w:color w:val="auto"/>
              </w:rPr>
            </w:pPr>
          </w:p>
        </w:tc>
        <w:tc>
          <w:tcPr>
            <w:tcW w:w="6060" w:type="dxa"/>
            <w:vAlign w:val="bottom"/>
          </w:tcPr>
          <w:p>
            <w:pPr>
              <w:spacing w:after="0"/>
              <w:rPr>
                <w:sz w:val="20"/>
                <w:szCs w:val="20"/>
                <w:color w:val="auto"/>
              </w:rPr>
            </w:pPr>
          </w:p>
        </w:tc>
      </w:tr>
      <w:tr>
        <w:trPr>
          <w:trHeight w:val="641"/>
        </w:trPr>
        <w:tc>
          <w:tcPr>
            <w:tcW w:w="496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240"/>
          </w:cols>
          <w:pgMar w:left="320" w:top="877"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6"/>
          </w:tcPr>
          <w:p>
            <w:pPr>
              <w:jc w:val="center"/>
              <w:ind w:right="1320"/>
              <w:spacing w:after="0"/>
              <w:rPr>
                <w:sz w:val="20"/>
                <w:szCs w:val="20"/>
                <w:color w:val="auto"/>
              </w:rPr>
            </w:pPr>
            <w:r>
              <w:rPr>
                <w:rFonts w:ascii="Arial" w:cs="Arial" w:eastAsia="Arial" w:hAnsi="Arial"/>
                <w:sz w:val="18"/>
                <w:szCs w:val="18"/>
                <w:b w:val="1"/>
                <w:bCs w:val="1"/>
                <w:color w:val="auto"/>
              </w:rPr>
              <w:t>FINANCIAL STATEMENTS</w:t>
            </w:r>
          </w:p>
        </w:tc>
        <w:tc>
          <w:tcPr>
            <w:tcW w:w="2380" w:type="dxa"/>
            <w:vAlign w:val="bottom"/>
          </w:tcPr>
          <w:p>
            <w:pPr>
              <w:spacing w:after="0"/>
              <w:rPr>
                <w:sz w:val="20"/>
                <w:szCs w:val="20"/>
                <w:color w:val="auto"/>
              </w:rPr>
            </w:pPr>
          </w:p>
        </w:tc>
      </w:tr>
      <w:tr>
        <w:trPr>
          <w:trHeight w:val="216"/>
        </w:trPr>
        <w:tc>
          <w:tcPr>
            <w:tcW w:w="3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196"/>
        </w:trPr>
        <w:tc>
          <w:tcPr>
            <w:tcW w:w="8860" w:type="dxa"/>
            <w:vAlign w:val="bottom"/>
            <w:gridSpan w:val="8"/>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Report of Independent Registered Accounting Firm</w:t>
              </w:r>
            </w:hyperlink>
          </w:p>
        </w:tc>
        <w:tc>
          <w:tcPr>
            <w:tcW w:w="2380" w:type="dxa"/>
            <w:vAlign w:val="bottom"/>
            <w:shd w:val="clear" w:color="auto" w:fill="CCEEFF"/>
          </w:tcPr>
          <w:p>
            <w:pPr>
              <w:jc w:val="center"/>
              <w:ind w:left="1170"/>
              <w:spacing w:after="0" w:line="176" w:lineRule="exact"/>
              <w:rPr>
                <w:sz w:val="20"/>
                <w:szCs w:val="20"/>
                <w:color w:val="auto"/>
              </w:rPr>
            </w:pPr>
            <w:r>
              <w:rPr>
                <w:rFonts w:ascii="Arial" w:cs="Arial" w:eastAsia="Arial" w:hAnsi="Arial"/>
                <w:sz w:val="18"/>
                <w:szCs w:val="18"/>
                <w:color w:val="auto"/>
                <w:w w:val="88"/>
              </w:rPr>
              <w:t>F-2</w:t>
            </w:r>
          </w:p>
        </w:tc>
      </w:tr>
      <w:tr>
        <w:trPr>
          <w:trHeight w:val="216"/>
        </w:trPr>
        <w:tc>
          <w:tcPr>
            <w:tcW w:w="31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r>
      <w:tr>
        <w:trPr>
          <w:trHeight w:val="196"/>
        </w:trPr>
        <w:tc>
          <w:tcPr>
            <w:tcW w:w="8860" w:type="dxa"/>
            <w:vAlign w:val="bottom"/>
            <w:gridSpan w:val="8"/>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Balance Sheets as of December 31, 2021 and 2020</w:t>
              </w:r>
            </w:hyperlink>
          </w:p>
        </w:tc>
        <w:tc>
          <w:tcPr>
            <w:tcW w:w="2380" w:type="dxa"/>
            <w:vAlign w:val="bottom"/>
            <w:shd w:val="clear" w:color="auto" w:fill="CCEEFF"/>
          </w:tcPr>
          <w:p>
            <w:pPr>
              <w:jc w:val="center"/>
              <w:ind w:left="1170"/>
              <w:spacing w:after="0" w:line="176" w:lineRule="exact"/>
              <w:rPr>
                <w:sz w:val="20"/>
                <w:szCs w:val="20"/>
                <w:color w:val="auto"/>
              </w:rPr>
            </w:pPr>
            <w:r>
              <w:rPr>
                <w:rFonts w:ascii="Arial" w:cs="Arial" w:eastAsia="Arial" w:hAnsi="Arial"/>
                <w:sz w:val="18"/>
                <w:szCs w:val="18"/>
                <w:color w:val="auto"/>
                <w:w w:val="88"/>
              </w:rPr>
              <w:t>F-5</w:t>
            </w:r>
          </w:p>
        </w:tc>
      </w:tr>
      <w:tr>
        <w:trPr>
          <w:trHeight w:val="216"/>
        </w:trPr>
        <w:tc>
          <w:tcPr>
            <w:tcW w:w="31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r>
      <w:tr>
        <w:trPr>
          <w:trHeight w:val="196"/>
        </w:trPr>
        <w:tc>
          <w:tcPr>
            <w:tcW w:w="8860" w:type="dxa"/>
            <w:vAlign w:val="bottom"/>
            <w:gridSpan w:val="8"/>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Statements of Operations for the Years Ended December 31, 2021 and 2020</w:t>
              </w:r>
            </w:hyperlink>
          </w:p>
        </w:tc>
        <w:tc>
          <w:tcPr>
            <w:tcW w:w="2380" w:type="dxa"/>
            <w:vAlign w:val="bottom"/>
            <w:shd w:val="clear" w:color="auto" w:fill="CCEEFF"/>
          </w:tcPr>
          <w:p>
            <w:pPr>
              <w:jc w:val="center"/>
              <w:ind w:left="1170"/>
              <w:spacing w:after="0" w:line="176" w:lineRule="exact"/>
              <w:rPr>
                <w:sz w:val="20"/>
                <w:szCs w:val="20"/>
                <w:color w:val="auto"/>
              </w:rPr>
            </w:pPr>
            <w:r>
              <w:rPr>
                <w:rFonts w:ascii="Arial" w:cs="Arial" w:eastAsia="Arial" w:hAnsi="Arial"/>
                <w:sz w:val="18"/>
                <w:szCs w:val="18"/>
                <w:color w:val="auto"/>
                <w:w w:val="88"/>
              </w:rPr>
              <w:t>F-6</w:t>
            </w:r>
          </w:p>
        </w:tc>
      </w:tr>
      <w:tr>
        <w:trPr>
          <w:trHeight w:val="216"/>
        </w:trPr>
        <w:tc>
          <w:tcPr>
            <w:tcW w:w="31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r>
      <w:tr>
        <w:trPr>
          <w:trHeight w:val="196"/>
        </w:trPr>
        <w:tc>
          <w:tcPr>
            <w:tcW w:w="8860" w:type="dxa"/>
            <w:vAlign w:val="bottom"/>
            <w:gridSpan w:val="8"/>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Comprehensive Loss for the Years Ended December 31, 2021 and 2020</w:t>
              </w:r>
            </w:hyperlink>
          </w:p>
        </w:tc>
        <w:tc>
          <w:tcPr>
            <w:tcW w:w="2380" w:type="dxa"/>
            <w:vAlign w:val="bottom"/>
            <w:shd w:val="clear" w:color="auto" w:fill="CCEEFF"/>
          </w:tcPr>
          <w:p>
            <w:pPr>
              <w:jc w:val="center"/>
              <w:ind w:left="1170"/>
              <w:spacing w:after="0" w:line="176" w:lineRule="exact"/>
              <w:rPr>
                <w:sz w:val="20"/>
                <w:szCs w:val="20"/>
                <w:color w:val="auto"/>
              </w:rPr>
            </w:pPr>
            <w:r>
              <w:rPr>
                <w:rFonts w:ascii="Arial" w:cs="Arial" w:eastAsia="Arial" w:hAnsi="Arial"/>
                <w:sz w:val="18"/>
                <w:szCs w:val="18"/>
                <w:color w:val="auto"/>
                <w:w w:val="88"/>
              </w:rPr>
              <w:t>F-7</w:t>
            </w:r>
          </w:p>
        </w:tc>
      </w:tr>
      <w:tr>
        <w:trPr>
          <w:trHeight w:val="216"/>
        </w:trPr>
        <w:tc>
          <w:tcPr>
            <w:tcW w:w="31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r>
      <w:tr>
        <w:trPr>
          <w:trHeight w:val="196"/>
        </w:trPr>
        <w:tc>
          <w:tcPr>
            <w:tcW w:w="8860" w:type="dxa"/>
            <w:vAlign w:val="bottom"/>
            <w:gridSpan w:val="8"/>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Stockholders’ Equity for the Years Ended December 31, 2021 and 2020</w:t>
              </w:r>
            </w:hyperlink>
          </w:p>
        </w:tc>
        <w:tc>
          <w:tcPr>
            <w:tcW w:w="2380" w:type="dxa"/>
            <w:vAlign w:val="bottom"/>
            <w:shd w:val="clear" w:color="auto" w:fill="CCEEFF"/>
          </w:tcPr>
          <w:p>
            <w:pPr>
              <w:jc w:val="center"/>
              <w:ind w:left="1170"/>
              <w:spacing w:after="0" w:line="176" w:lineRule="exact"/>
              <w:rPr>
                <w:sz w:val="20"/>
                <w:szCs w:val="20"/>
                <w:color w:val="auto"/>
              </w:rPr>
            </w:pPr>
            <w:r>
              <w:rPr>
                <w:rFonts w:ascii="Arial" w:cs="Arial" w:eastAsia="Arial" w:hAnsi="Arial"/>
                <w:sz w:val="18"/>
                <w:szCs w:val="18"/>
                <w:color w:val="auto"/>
                <w:w w:val="88"/>
              </w:rPr>
              <w:t>F-8</w:t>
            </w:r>
          </w:p>
        </w:tc>
      </w:tr>
      <w:tr>
        <w:trPr>
          <w:trHeight w:val="216"/>
        </w:trPr>
        <w:tc>
          <w:tcPr>
            <w:tcW w:w="31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r>
      <w:tr>
        <w:trPr>
          <w:trHeight w:val="196"/>
        </w:trPr>
        <w:tc>
          <w:tcPr>
            <w:tcW w:w="8860" w:type="dxa"/>
            <w:vAlign w:val="bottom"/>
            <w:gridSpan w:val="8"/>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Cash Flows for the Years Ended December 31, 2021 and 2020</w:t>
              </w:r>
            </w:hyperlink>
          </w:p>
        </w:tc>
        <w:tc>
          <w:tcPr>
            <w:tcW w:w="2380" w:type="dxa"/>
            <w:vAlign w:val="bottom"/>
            <w:shd w:val="clear" w:color="auto" w:fill="CCEEFF"/>
          </w:tcPr>
          <w:p>
            <w:pPr>
              <w:jc w:val="center"/>
              <w:ind w:left="1170"/>
              <w:spacing w:after="0" w:line="176" w:lineRule="exact"/>
              <w:rPr>
                <w:sz w:val="20"/>
                <w:szCs w:val="20"/>
                <w:color w:val="auto"/>
              </w:rPr>
            </w:pPr>
            <w:r>
              <w:rPr>
                <w:rFonts w:ascii="Arial" w:cs="Arial" w:eastAsia="Arial" w:hAnsi="Arial"/>
                <w:sz w:val="18"/>
                <w:szCs w:val="18"/>
                <w:color w:val="auto"/>
                <w:w w:val="88"/>
              </w:rPr>
              <w:t>F-9</w:t>
            </w:r>
          </w:p>
        </w:tc>
      </w:tr>
      <w:tr>
        <w:trPr>
          <w:trHeight w:val="216"/>
        </w:trPr>
        <w:tc>
          <w:tcPr>
            <w:tcW w:w="31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r>
      <w:tr>
        <w:trPr>
          <w:trHeight w:val="196"/>
        </w:trPr>
        <w:tc>
          <w:tcPr>
            <w:tcW w:w="8860" w:type="dxa"/>
            <w:vAlign w:val="bottom"/>
            <w:gridSpan w:val="8"/>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2380" w:type="dxa"/>
            <w:vAlign w:val="bottom"/>
            <w:shd w:val="clear" w:color="auto" w:fill="CCEEFF"/>
          </w:tcPr>
          <w:p>
            <w:pPr>
              <w:jc w:val="center"/>
              <w:ind w:left="1150"/>
              <w:spacing w:after="0" w:line="176" w:lineRule="exact"/>
              <w:rPr>
                <w:sz w:val="20"/>
                <w:szCs w:val="20"/>
                <w:color w:val="auto"/>
              </w:rPr>
            </w:pPr>
            <w:r>
              <w:rPr>
                <w:rFonts w:ascii="Arial" w:cs="Arial" w:eastAsia="Arial" w:hAnsi="Arial"/>
                <w:sz w:val="18"/>
                <w:szCs w:val="18"/>
                <w:color w:val="auto"/>
                <w:w w:val="91"/>
              </w:rPr>
              <w:t>F-10</w:t>
            </w:r>
          </w:p>
        </w:tc>
      </w:tr>
      <w:tr>
        <w:trPr>
          <w:trHeight w:val="655"/>
        </w:trPr>
        <w:tc>
          <w:tcPr>
            <w:tcW w:w="316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4200" w:type="dxa"/>
            <w:vAlign w:val="bottom"/>
            <w:tcBorders>
              <w:top w:val="single" w:sz="8" w:color="CCEEFF"/>
              <w:bottom w:val="single" w:sz="8" w:color="auto"/>
            </w:tcBorders>
            <w:gridSpan w:val="5"/>
          </w:tcPr>
          <w:p>
            <w:pPr>
              <w:jc w:val="center"/>
              <w:ind w:right="2280"/>
              <w:spacing w:after="0"/>
              <w:rPr>
                <w:sz w:val="20"/>
                <w:szCs w:val="20"/>
                <w:color w:val="auto"/>
              </w:rPr>
            </w:pPr>
            <w:r>
              <w:rPr>
                <w:rFonts w:ascii="Arial" w:cs="Arial" w:eastAsia="Arial" w:hAnsi="Arial"/>
                <w:sz w:val="18"/>
                <w:szCs w:val="18"/>
                <w:color w:val="auto"/>
                <w:w w:val="88"/>
              </w:rPr>
              <w:t>F-1</w:t>
            </w:r>
          </w:p>
        </w:tc>
        <w:tc>
          <w:tcPr>
            <w:tcW w:w="23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093" w:right="3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2143125" cy="6083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2143125" cy="6083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Ipsidy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Beach,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Ipsidy Inc. and subsidiaries (the “Company”) as of December 31, 2021 and 2020, and the related consolidated statements of operations,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Emphasis of a Matter</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discussed in Note 1 to the consolidated financial statements, the Company has incurred recurring losses from operations and negative cash flows from operating activities. Management’s plans in regard to these matters are also described in Note 1. Our opinion is not modified with respect to this matter.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 xml:space="preserve">The critical audit matters </w:t>
      </w:r>
      <w:r>
        <w:rPr>
          <w:rFonts w:ascii="Arial" w:cs="Arial" w:eastAsia="Arial" w:hAnsi="Arial"/>
          <w:sz w:val="17"/>
          <w:szCs w:val="17"/>
          <w:i w:val="1"/>
          <w:iCs w:val="1"/>
          <w:color w:val="auto"/>
        </w:rPr>
        <w:t>communicated</w:t>
      </w:r>
      <w:r>
        <w:rPr>
          <w:rFonts w:ascii="Arial" w:cs="Arial" w:eastAsia="Arial" w:hAnsi="Arial"/>
          <w:sz w:val="17"/>
          <w:szCs w:val="17"/>
          <w:color w:val="auto"/>
        </w:rPr>
        <w:t xml:space="preserve">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Matter</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described further in Note 1 to the financial statements, the Company has incurred net losses and is dependent upon future financial support to continue operations. Currently management’s forecasts and related assumptions illustrate their ability to sufficiently fund operations and satisfy the Company’s obligations as they come due for at least one year from the financial statement issuance date.</w:t>
      </w:r>
    </w:p>
    <w:p>
      <w:pPr>
        <w:spacing w:after="0" w:line="18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Management made judgments to conclude that it is probable that the Company’s plans will be effectively implemented and will provide the necessary cash flows to fund the Company’s obligations as they become due. The judgments with the highest degree of impact and subjectivity in reaching this conclusion included assumptions underlying its forecasted cash expenditures, its ability to reduce operating expenditures and its ability to access funding. As a result, a high degree of auditor judgment and increased audit effort was required in performing audit procedures to evaluate the reasonableness of management’s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audit procedures performed to address this critical audit matter included the following:</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obtained management’s plans for dealing with the adverse effects of the conditions and events which give rise to substantial doubt.</w:t>
      </w:r>
    </w:p>
    <w:p>
      <w:pPr>
        <w:spacing w:after="0" w:line="236"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tested the reasonableness of the forecasted uses and sources of cash used in management’s assessment of whether the Company has sufficient liquidity to fund operations for at least one year from the financial statement issuance date. This testing included inquiries with management, assessed forecasted cash expenditures for reasonableness based on historical operations, consideration of positive and negative evidence impacting management’s forecasts, the Company’s financing arrangements in place as of the report date, market and industry factors and consideration of the Company’s relationships with its financing partners.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Matter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evaluation of intangible assets for impairment involves assessing the recoverability of the asset group by comparing the fair value of the asset group to its carrying value. The fair value of the asset group is estimated using the sum of undiscounted cash flows expected to result from the use and eventual disposition of the asset group, which requires the use of estimates and assumptions related to cash flow forecasts. Management’s cash flow forecasts included significant judgments and assumptions relating to revenue growth rates.</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fair value of the asset group exceeded their carrying values as of the annual evaluation date; therefore, no impairments were recognized during the year ended December 31, 2021, except for certain intangible assets relating to the 2016 business combination, which were deemed to not be recoverable; therefore, an impairment charge totaling $831,077 was recognized during the year ended December 31, 2021.</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jc w:val="both"/>
        <w:spacing w:after="0" w:line="311" w:lineRule="auto"/>
        <w:rPr>
          <w:sz w:val="20"/>
          <w:szCs w:val="20"/>
          <w:color w:val="auto"/>
        </w:rPr>
      </w:pPr>
      <w:r>
        <w:rPr>
          <w:rFonts w:ascii="Arial" w:cs="Arial" w:eastAsia="Arial" w:hAnsi="Arial"/>
          <w:sz w:val="16"/>
          <w:szCs w:val="16"/>
          <w:color w:val="auto"/>
        </w:rPr>
        <w:t>Management made significant judgments when developing the fair value estimate of the asset group. As a result, a high degree of auditor judgment and effort was required in performing audit procedures to evaluate the reasonableness of management’s cash flow forecasts and the significant assumptions identified above. Significant uncertainty exists with these assumptions because they are sensitive to future market or economic conditions.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included the following:</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management’s determination of asset group.</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significant assumptions and inputs used in the undiscounted cash flow model and reviewed corroborating documentation to support the assumptions and inputs.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Performed a sensitivity analysis over the Company’s annual impairment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91335" cy="394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5">
                      <a:extLst>
                        <a:ext uri="{28A0092B-C50C-407E-A947-70E740481C1C}"/>
                      </a:extLst>
                    </a:blip>
                    <a:srcRect/>
                    <a:stretch>
                      <a:fillRect/>
                    </a:stretch>
                  </pic:blipFill>
                  <pic:spPr bwMode="auto">
                    <a:xfrm>
                      <a:off x="0" y="0"/>
                      <a:ext cx="17913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Tampa,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8680" w:type="dxa"/>
            <w:vAlign w:val="bottom"/>
          </w:tcPr>
          <w:p>
            <w:pPr>
              <w:ind w:left="4240"/>
              <w:spacing w:after="0"/>
              <w:rPr>
                <w:sz w:val="20"/>
                <w:szCs w:val="20"/>
                <w:color w:val="auto"/>
              </w:rPr>
            </w:pPr>
            <w:r>
              <w:rPr>
                <w:rFonts w:ascii="Arial" w:cs="Arial" w:eastAsia="Arial" w:hAnsi="Arial"/>
                <w:sz w:val="18"/>
                <w:szCs w:val="18"/>
                <w:b w:val="1"/>
                <w:bCs w:val="1"/>
                <w:color w:val="auto"/>
              </w:rPr>
              <w:t>IPSIDY INC. AND SUBSIDIARIES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4060"/>
              <w:spacing w:after="0"/>
              <w:rPr>
                <w:sz w:val="20"/>
                <w:szCs w:val="20"/>
                <w:color w:val="auto"/>
              </w:rPr>
            </w:pPr>
            <w:r>
              <w:rPr>
                <w:rFonts w:ascii="Arial" w:cs="Arial" w:eastAsia="Arial" w:hAnsi="Arial"/>
                <w:sz w:val="18"/>
                <w:szCs w:val="18"/>
                <w:b w:val="1"/>
                <w:bCs w:val="1"/>
                <w:color w:val="auto"/>
              </w:rPr>
              <w:t>CONSOLIDATED BALANCE SHEETS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8680" w:type="dxa"/>
            <w:vAlign w:val="bottom"/>
          </w:tcPr>
          <w:p>
            <w:pPr>
              <w:ind w:left="396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6,037,983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3,765,277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137,823</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72,986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net investment in direct financing lease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72,682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153,149</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254,951</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597,640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237,769</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6,926,595</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4,403,665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118,531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97,829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69,198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240,223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2,532,453</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4,527,476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4,183,232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4,183,232</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Net investment in direct financing lease, net of current portion</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422,021</w:t>
            </w:r>
          </w:p>
        </w:tc>
        <w:tc>
          <w:tcPr>
            <w:tcW w:w="80" w:type="dxa"/>
            <w:vAlign w:val="bottom"/>
          </w:tcPr>
          <w:p>
            <w:pPr>
              <w:spacing w:after="0"/>
              <w:rPr>
                <w:sz w:val="20"/>
                <w:szCs w:val="20"/>
                <w:color w:val="auto"/>
              </w:rPr>
            </w:pPr>
          </w:p>
        </w:tc>
      </w:tr>
      <w:tr>
        <w:trPr>
          <w:trHeight w:val="262"/>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13,830,009</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13,874,446</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0"/>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2,013,460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2,665,132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Notes payable obligation, current portion</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1,579</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5,947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 obligation, current portion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10,562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39,232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Convertible debt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662,000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246,830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237,690</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2,934,431</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2,948,001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Capital lease obligation, net of current portion</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10,562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discounts and current portion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487,339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Convertible debt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5,800,976</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47,809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2,934,431</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9,294,687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$0.0001 par value, 1,000,000,000 shares authorized; 23,294,024 and 19,642,401 shares issued and</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as of December 31, 2021 and 2020, respectively</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2,329</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1,964</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126,581,702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102,651,304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(115,899,939)</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(98,234,151)</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comprehensive income</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211,486</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160,642</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10,895,578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4,579,759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24"/>
        </w:trPr>
        <w:tc>
          <w:tcPr>
            <w:tcW w:w="868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13,830,009</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13,874,446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34"/>
        </w:trPr>
        <w:tc>
          <w:tcPr>
            <w:tcW w:w="8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92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rPr>
              <w:t>IPSIDY INC. AND SUBSIDIARIES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920" w:type="dxa"/>
            <w:vAlign w:val="bottom"/>
            <w:gridSpan w:val="2"/>
          </w:tcPr>
          <w:p>
            <w:pPr>
              <w:jc w:val="center"/>
              <w:ind w:right="47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56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92"/>
              </w:rPr>
              <w:t>For the Year Ended December</w:t>
            </w:r>
          </w:p>
        </w:tc>
      </w:tr>
      <w:tr>
        <w:trPr>
          <w:trHeight w:val="241"/>
        </w:trPr>
        <w:tc>
          <w:tcPr>
            <w:tcW w:w="29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9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Revenues:</w:t>
            </w:r>
          </w:p>
        </w:tc>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services</w:t>
            </w:r>
          </w:p>
        </w:tc>
        <w:tc>
          <w:tcPr>
            <w:tcW w:w="5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2,242,829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2,083,829</w:t>
            </w:r>
          </w:p>
        </w:tc>
      </w:tr>
      <w:tr>
        <w:trPr>
          <w:trHeight w:val="237"/>
        </w:trPr>
        <w:tc>
          <w:tcPr>
            <w:tcW w:w="2940" w:type="dxa"/>
            <w:vAlign w:val="bottom"/>
          </w:tcPr>
          <w:p>
            <w:pPr>
              <w:ind w:left="180"/>
              <w:spacing w:after="0"/>
              <w:rPr>
                <w:sz w:val="20"/>
                <w:szCs w:val="20"/>
                <w:color w:val="auto"/>
              </w:rPr>
            </w:pPr>
            <w:r>
              <w:rPr>
                <w:rFonts w:ascii="Arial" w:cs="Arial" w:eastAsia="Arial" w:hAnsi="Arial"/>
                <w:sz w:val="18"/>
                <w:szCs w:val="18"/>
                <w:color w:val="auto"/>
              </w:rPr>
              <w:t>Lease income</w:t>
            </w:r>
          </w:p>
        </w:tc>
        <w:tc>
          <w:tcPr>
            <w:tcW w:w="5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49,467</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56,815</w:t>
            </w:r>
          </w:p>
        </w:tc>
      </w:tr>
      <w:tr>
        <w:trPr>
          <w:trHeight w:val="223"/>
        </w:trPr>
        <w:tc>
          <w:tcPr>
            <w:tcW w:w="2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57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2,292,296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2,140,644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29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660,793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661,627</w:t>
            </w:r>
          </w:p>
        </w:tc>
      </w:tr>
      <w:tr>
        <w:trPr>
          <w:trHeight w:val="216"/>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15,949,494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6,743,258</w:t>
            </w: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1,646,702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1,161,416</w:t>
            </w:r>
          </w:p>
        </w:tc>
      </w:tr>
      <w:tr>
        <w:trPr>
          <w:trHeight w:val="216"/>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w:t>
            </w:r>
          </w:p>
        </w:tc>
        <w:tc>
          <w:tcPr>
            <w:tcW w:w="5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831,077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1,333,566</w:t>
            </w:r>
          </w:p>
        </w:tc>
      </w:tr>
      <w:tr>
        <w:trPr>
          <w:trHeight w:val="237"/>
        </w:trPr>
        <w:tc>
          <w:tcPr>
            <w:tcW w:w="29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5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1,260,286</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1,250,542</w:t>
            </w:r>
          </w:p>
        </w:tc>
      </w:tr>
      <w:tr>
        <w:trPr>
          <w:trHeight w:val="223"/>
        </w:trPr>
        <w:tc>
          <w:tcPr>
            <w:tcW w:w="2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57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20,348,352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11,150,409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29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from operations</w:t>
            </w:r>
          </w:p>
        </w:tc>
        <w:tc>
          <w:tcPr>
            <w:tcW w:w="5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(18,056,056)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(9,009,765)</w:t>
            </w:r>
          </w:p>
        </w:tc>
      </w:tr>
      <w:tr>
        <w:trPr>
          <w:trHeight w:val="27"/>
        </w:trPr>
        <w:tc>
          <w:tcPr>
            <w:tcW w:w="2940" w:type="dxa"/>
            <w:vAlign w:val="bottom"/>
            <w:shd w:val="clear" w:color="auto" w:fill="CCEEFF"/>
          </w:tcPr>
          <w:p>
            <w:pPr>
              <w:spacing w:after="0"/>
              <w:rPr>
                <w:sz w:val="2"/>
                <w:szCs w:val="2"/>
                <w:color w:val="auto"/>
              </w:rPr>
            </w:pPr>
          </w:p>
        </w:tc>
        <w:tc>
          <w:tcPr>
            <w:tcW w:w="57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Warrant inducement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Extinguishment of debt - gain (loss)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Interest expense, net</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Shares Outstanding - Basic and Diluted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800" w:hanging="731"/>
        <w:spacing w:after="0"/>
        <w:tabs>
          <w:tab w:leader="none" w:pos="1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(366,795)</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971,522</w:t>
      </w:r>
      <w:r>
        <w:rPr>
          <w:rFonts w:ascii="Arial" w:cs="Arial" w:eastAsia="Arial" w:hAnsi="Arial"/>
          <w:sz w:val="16"/>
          <w:szCs w:val="16"/>
          <w:color w:val="auto"/>
        </w:rPr>
        <w:t>(985,842)</w:t>
      </w:r>
    </w:p>
    <w:p>
      <w:pPr>
        <w:spacing w:after="0" w:line="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25,406</w:t>
      </w:r>
      <w:r>
        <w:rPr>
          <w:rFonts w:ascii="Arial" w:cs="Arial" w:eastAsia="Arial" w:hAnsi="Arial"/>
          <w:sz w:val="16"/>
          <w:szCs w:val="16"/>
          <w:color w:val="auto"/>
        </w:rPr>
        <w:t>69,563</w:t>
      </w:r>
    </w:p>
    <w:p>
      <w:pPr>
        <w:spacing w:after="0" w:line="9" w:lineRule="exact"/>
        <w:rPr>
          <w:sz w:val="20"/>
          <w:szCs w:val="20"/>
          <w:color w:val="auto"/>
        </w:rPr>
      </w:pPr>
    </w:p>
    <w:p>
      <w:pPr>
        <w:jc w:val="right"/>
        <w:ind w:right="40"/>
        <w:spacing w:after="0"/>
        <w:tabs>
          <w:tab w:leader="none" w:pos="700" w:val="left"/>
        </w:tabs>
        <w:rPr>
          <w:sz w:val="20"/>
          <w:szCs w:val="20"/>
          <w:color w:val="auto"/>
        </w:rPr>
      </w:pPr>
      <w:r>
        <w:rPr>
          <w:rFonts w:ascii="Arial" w:cs="Arial" w:eastAsia="Arial" w:hAnsi="Arial"/>
          <w:sz w:val="18"/>
          <w:szCs w:val="18"/>
          <w:color w:val="auto"/>
        </w:rPr>
        <w:t>(585,636)</w:t>
      </w:r>
      <w:r>
        <w:rPr>
          <w:sz w:val="20"/>
          <w:szCs w:val="20"/>
          <w:color w:val="auto"/>
        </w:rPr>
        <w:tab/>
      </w:r>
      <w:r>
        <w:rPr>
          <w:rFonts w:ascii="Arial" w:cs="Arial" w:eastAsia="Arial" w:hAnsi="Arial"/>
          <w:sz w:val="16"/>
          <w:szCs w:val="16"/>
          <w:color w:val="auto"/>
        </w:rPr>
        <w:t>(969,396)</w:t>
      </w:r>
    </w:p>
    <w:p>
      <w:pPr>
        <w:spacing w:after="0" w:line="23" w:lineRule="exact"/>
        <w:rPr>
          <w:sz w:val="20"/>
          <w:szCs w:val="20"/>
          <w:color w:val="auto"/>
        </w:rPr>
      </w:pPr>
    </w:p>
    <w:p>
      <w:pPr>
        <w:jc w:val="both"/>
        <w:ind w:left="560"/>
        <w:spacing w:after="0"/>
        <w:tabs>
          <w:tab w:leader="none" w:pos="1660" w:val="left"/>
        </w:tabs>
        <w:rPr>
          <w:sz w:val="20"/>
          <w:szCs w:val="20"/>
          <w:color w:val="auto"/>
        </w:rPr>
      </w:pPr>
      <w:r>
        <w:rPr>
          <w:rFonts w:ascii="Arial" w:cs="Arial" w:eastAsia="Arial" w:hAnsi="Arial"/>
          <w:sz w:val="18"/>
          <w:szCs w:val="18"/>
          <w:color w:val="auto"/>
        </w:rPr>
        <w:t>411,292</w:t>
      </w:r>
      <w:r>
        <w:rPr>
          <w:sz w:val="20"/>
          <w:szCs w:val="20"/>
          <w:color w:val="auto"/>
        </w:rPr>
        <w:tab/>
      </w:r>
      <w:r>
        <w:rPr>
          <w:rFonts w:ascii="Arial" w:cs="Arial" w:eastAsia="Arial" w:hAnsi="Arial"/>
          <w:sz w:val="18"/>
          <w:szCs w:val="18"/>
          <w:color w:val="auto"/>
        </w:rPr>
        <w:t>(2,252,470)</w:t>
      </w:r>
    </w:p>
    <w:p>
      <w:pPr>
        <w:spacing w:after="0" w:line="265" w:lineRule="exact"/>
        <w:rPr>
          <w:sz w:val="20"/>
          <w:szCs w:val="20"/>
          <w:color w:val="auto"/>
        </w:rPr>
      </w:pPr>
    </w:p>
    <w:p>
      <w:pPr>
        <w:jc w:val="both"/>
        <w:ind w:left="260"/>
        <w:spacing w:after="0"/>
        <w:tabs>
          <w:tab w:leader="none" w:pos="1560" w:val="left"/>
        </w:tabs>
        <w:rPr>
          <w:sz w:val="20"/>
          <w:szCs w:val="20"/>
          <w:color w:val="auto"/>
        </w:rPr>
      </w:pPr>
      <w:r>
        <w:rPr>
          <w:rFonts w:ascii="Arial" w:cs="Arial" w:eastAsia="Arial" w:hAnsi="Arial"/>
          <w:sz w:val="18"/>
          <w:szCs w:val="18"/>
          <w:color w:val="auto"/>
        </w:rPr>
        <w:t>(17,644,764)</w:t>
      </w:r>
      <w:r>
        <w:rPr>
          <w:sz w:val="20"/>
          <w:szCs w:val="20"/>
          <w:color w:val="auto"/>
        </w:rPr>
        <w:tab/>
      </w:r>
      <w:r>
        <w:rPr>
          <w:rFonts w:ascii="Arial" w:cs="Arial" w:eastAsia="Arial" w:hAnsi="Arial"/>
          <w:sz w:val="18"/>
          <w:szCs w:val="18"/>
          <w:color w:val="auto"/>
        </w:rPr>
        <w:t>(11,262,235)</w:t>
      </w:r>
    </w:p>
    <w:p>
      <w:pPr>
        <w:spacing w:after="0" w:line="225" w:lineRule="exact"/>
        <w:rPr>
          <w:sz w:val="20"/>
          <w:szCs w:val="20"/>
          <w:color w:val="auto"/>
        </w:rPr>
      </w:pPr>
    </w:p>
    <w:p>
      <w:pPr>
        <w:jc w:val="right"/>
        <w:ind w:right="40"/>
        <w:spacing w:after="0"/>
        <w:tabs>
          <w:tab w:leader="none" w:pos="600" w:val="left"/>
        </w:tabs>
        <w:rPr>
          <w:sz w:val="20"/>
          <w:szCs w:val="20"/>
          <w:color w:val="auto"/>
        </w:rPr>
      </w:pPr>
      <w:r>
        <w:rPr>
          <w:rFonts w:ascii="Arial" w:cs="Arial" w:eastAsia="Arial" w:hAnsi="Arial"/>
          <w:sz w:val="18"/>
          <w:szCs w:val="18"/>
          <w:color w:val="auto"/>
        </w:rPr>
        <w:t>(21,024)</w:t>
      </w:r>
      <w:r>
        <w:rPr>
          <w:sz w:val="20"/>
          <w:szCs w:val="20"/>
          <w:color w:val="auto"/>
        </w:rPr>
        <w:tab/>
      </w:r>
      <w:r>
        <w:rPr>
          <w:rFonts w:ascii="Arial" w:cs="Arial" w:eastAsia="Arial" w:hAnsi="Arial"/>
          <w:sz w:val="16"/>
          <w:szCs w:val="16"/>
          <w:color w:val="auto"/>
        </w:rPr>
        <w:t>(36,323)</w:t>
      </w:r>
    </w:p>
    <w:p>
      <w:pPr>
        <w:spacing w:after="0" w:line="266" w:lineRule="exact"/>
        <w:rPr>
          <w:sz w:val="20"/>
          <w:szCs w:val="20"/>
          <w:color w:val="auto"/>
        </w:rPr>
      </w:pPr>
    </w:p>
    <w:p>
      <w:pPr>
        <w:spacing w:after="0"/>
        <w:tabs>
          <w:tab w:leader="none" w:pos="240" w:val="left"/>
          <w:tab w:leader="none" w:pos="1320" w:val="left"/>
          <w:tab w:leader="none" w:pos="156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(17,665,788</w:t>
      </w:r>
      <w:r>
        <w:rPr>
          <w:rFonts w:ascii="Arial" w:cs="Arial" w:eastAsia="Arial" w:hAnsi="Arial"/>
          <w:sz w:val="35"/>
          <w:szCs w:val="35"/>
          <w:color w:val="auto"/>
          <w:vertAlign w:val="superscript"/>
        </w:rPr>
        <w:t>)</w:t>
      </w:r>
      <w:r>
        <w:rPr>
          <w:rFonts w:ascii="Arial" w:cs="Arial" w:eastAsia="Arial" w:hAnsi="Arial"/>
          <w:sz w:val="18"/>
          <w:szCs w:val="18"/>
          <w:u w:val="single" w:color="auto"/>
          <w:color w:val="auto"/>
        </w:rPr>
        <w:tab/>
        <w:t>$</w:t>
      </w:r>
      <w:r>
        <w:rPr>
          <w:sz w:val="20"/>
          <w:szCs w:val="20"/>
          <w:color w:val="auto"/>
        </w:rPr>
        <w:tab/>
      </w:r>
      <w:r>
        <w:rPr>
          <w:rFonts w:ascii="Arial" w:cs="Arial" w:eastAsia="Arial" w:hAnsi="Arial"/>
          <w:sz w:val="16"/>
          <w:szCs w:val="16"/>
          <w:u w:val="single" w:color="auto"/>
          <w:color w:val="auto"/>
        </w:rPr>
        <w:t>(11,298,558</w:t>
      </w:r>
      <w:r>
        <w:rPr>
          <w:rFonts w:ascii="Arial" w:cs="Arial" w:eastAsia="Arial" w:hAnsi="Arial"/>
          <w:sz w:val="30"/>
          <w:szCs w:val="30"/>
          <w:color w:val="auto"/>
          <w:vertAlign w:val="superscript"/>
        </w:rPr>
        <w: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409"/>
        </w:trPr>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(0.83</w:t>
            </w:r>
            <w:r>
              <w:rPr>
                <w:rFonts w:ascii="Arial" w:cs="Arial" w:eastAsia="Arial" w:hAnsi="Arial"/>
                <w:sz w:val="35"/>
                <w:szCs w:val="35"/>
                <w:color w:val="auto"/>
                <w:vertAlign w:val="superscript"/>
              </w:rPr>
              <w:t>)</w:t>
            </w:r>
            <w:r>
              <w:rPr>
                <w:rFonts w:ascii="Arial" w:cs="Arial" w:eastAsia="Arial" w:hAnsi="Arial"/>
                <w:sz w:val="18"/>
                <w:szCs w:val="18"/>
                <w:color w:val="auto"/>
              </w:rPr>
              <w:t xml:space="preserve">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(0.63</w:t>
            </w:r>
            <w:r>
              <w:rPr>
                <w:rFonts w:ascii="Arial" w:cs="Arial" w:eastAsia="Arial" w:hAnsi="Arial"/>
                <w:sz w:val="35"/>
                <w:szCs w:val="35"/>
                <w:color w:val="auto"/>
                <w:vertAlign w:val="superscript"/>
              </w:rPr>
              <w:t>)</w:t>
            </w: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320"/>
        <w:spacing w:after="0"/>
        <w:tabs>
          <w:tab w:leader="none" w:pos="1620" w:val="left"/>
        </w:tabs>
        <w:rPr>
          <w:sz w:val="20"/>
          <w:szCs w:val="20"/>
          <w:color w:val="auto"/>
        </w:rPr>
      </w:pPr>
      <w:r>
        <w:rPr>
          <w:rFonts w:ascii="Arial" w:cs="Arial" w:eastAsia="Arial" w:hAnsi="Arial"/>
          <w:sz w:val="17"/>
          <w:szCs w:val="17"/>
          <w:color w:val="auto"/>
        </w:rPr>
        <w:t>21,329,281</w:t>
      </w:r>
      <w:r>
        <w:rPr>
          <w:sz w:val="20"/>
          <w:szCs w:val="20"/>
          <w:color w:val="auto"/>
        </w:rPr>
        <w:tab/>
      </w:r>
      <w:r>
        <w:rPr>
          <w:rFonts w:ascii="Arial" w:cs="Arial" w:eastAsia="Arial" w:hAnsi="Arial"/>
          <w:sz w:val="17"/>
          <w:szCs w:val="17"/>
          <w:color w:val="auto"/>
        </w:rPr>
        <w:t>18,067,603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1560195"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820" w:type="dxa"/>
            <w:vAlign w:val="bottom"/>
            <w:gridSpan w:val="2"/>
          </w:tcPr>
          <w:p>
            <w:pPr>
              <w:jc w:val="right"/>
              <w:ind w:right="1761"/>
              <w:spacing w:after="0"/>
              <w:rPr>
                <w:sz w:val="20"/>
                <w:szCs w:val="20"/>
                <w:color w:val="auto"/>
              </w:rPr>
            </w:pPr>
            <w:r>
              <w:rPr>
                <w:rFonts w:ascii="Arial" w:cs="Arial" w:eastAsia="Arial" w:hAnsi="Arial"/>
                <w:sz w:val="18"/>
                <w:szCs w:val="18"/>
                <w:b w:val="1"/>
                <w:bCs w:val="1"/>
                <w:color w:val="auto"/>
              </w:rPr>
              <w:t>IPSIDY INC. AND SUBSIDIARIES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820" w:type="dxa"/>
            <w:vAlign w:val="bottom"/>
            <w:gridSpan w:val="2"/>
          </w:tcPr>
          <w:p>
            <w:pPr>
              <w:jc w:val="right"/>
              <w:ind w:right="581"/>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560" w:type="dxa"/>
            <w:vAlign w:val="bottom"/>
            <w:gridSpan w:val="6"/>
          </w:tcPr>
          <w:p>
            <w:pPr>
              <w:jc w:val="right"/>
              <w:ind w:right="81"/>
              <w:spacing w:after="0"/>
              <w:rPr>
                <w:sz w:val="20"/>
                <w:szCs w:val="20"/>
                <w:color w:val="auto"/>
              </w:rPr>
            </w:pPr>
            <w:r>
              <w:rPr>
                <w:rFonts w:ascii="Arial" w:cs="Arial" w:eastAsia="Arial" w:hAnsi="Arial"/>
                <w:sz w:val="18"/>
                <w:szCs w:val="18"/>
                <w:b w:val="1"/>
                <w:bCs w:val="1"/>
                <w:color w:val="auto"/>
                <w:w w:val="92"/>
              </w:rPr>
              <w:t>For the Year Ended December</w:t>
            </w:r>
          </w:p>
        </w:tc>
      </w:tr>
      <w:tr>
        <w:trPr>
          <w:trHeight w:val="241"/>
        </w:trPr>
        <w:tc>
          <w:tcPr>
            <w:tcW w:w="30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040" w:type="dxa"/>
            <w:vAlign w:val="bottom"/>
            <w:tcBorders>
              <w:bottom w:val="single" w:sz="8" w:color="CCEEFF"/>
            </w:tcBorders>
          </w:tcPr>
          <w:p>
            <w:pPr>
              <w:spacing w:after="0"/>
              <w:rPr>
                <w:sz w:val="20"/>
                <w:szCs w:val="20"/>
                <w:color w:val="auto"/>
              </w:rPr>
            </w:pPr>
          </w:p>
        </w:tc>
        <w:tc>
          <w:tcPr>
            <w:tcW w:w="5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(17,665,788)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(11,298,558)</w:t>
            </w:r>
          </w:p>
        </w:tc>
        <w:tc>
          <w:tcPr>
            <w:tcW w:w="100" w:type="dxa"/>
            <w:vAlign w:val="bottom"/>
            <w:shd w:val="clear" w:color="auto" w:fill="CCEEFF"/>
          </w:tcPr>
          <w:p>
            <w:pPr>
              <w:spacing w:after="0"/>
              <w:rPr>
                <w:sz w:val="18"/>
                <w:szCs w:val="18"/>
                <w:color w:val="auto"/>
              </w:rPr>
            </w:pPr>
          </w:p>
        </w:tc>
      </w:tr>
      <w:tr>
        <w:trPr>
          <w:trHeight w:val="237"/>
        </w:trPr>
        <w:tc>
          <w:tcPr>
            <w:tcW w:w="3040" w:type="dxa"/>
            <w:vAlign w:val="bottom"/>
          </w:tcPr>
          <w:p>
            <w:pPr>
              <w:ind w:left="200"/>
              <w:spacing w:after="0"/>
              <w:rPr>
                <w:sz w:val="20"/>
                <w:szCs w:val="20"/>
                <w:color w:val="auto"/>
              </w:rPr>
            </w:pPr>
            <w:r>
              <w:rPr>
                <w:rFonts w:ascii="Arial" w:cs="Arial" w:eastAsia="Arial" w:hAnsi="Arial"/>
                <w:sz w:val="18"/>
                <w:szCs w:val="18"/>
                <w:color w:val="auto"/>
                <w:w w:val="90"/>
              </w:rPr>
              <w:t>Foreign currency translation gain (loss)</w:t>
            </w:r>
          </w:p>
        </w:tc>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50,844</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(16,743)</w:t>
            </w:r>
          </w:p>
        </w:tc>
      </w:tr>
      <w:tr>
        <w:trPr>
          <w:trHeight w:val="223"/>
        </w:trPr>
        <w:tc>
          <w:tcPr>
            <w:tcW w:w="30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Comprehensive loss</w:t>
            </w:r>
          </w:p>
        </w:tc>
        <w:tc>
          <w:tcPr>
            <w:tcW w:w="56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(17,614,944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(11,315,301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4020" w:type="dxa"/>
            <w:vAlign w:val="bottom"/>
            <w:gridSpan w:val="8"/>
          </w:tcPr>
          <w:p>
            <w:pPr>
              <w:jc w:val="right"/>
              <w:ind w:right="280"/>
              <w:spacing w:after="0"/>
              <w:rPr>
                <w:sz w:val="20"/>
                <w:szCs w:val="20"/>
                <w:color w:val="auto"/>
              </w:rPr>
            </w:pPr>
            <w:r>
              <w:rPr>
                <w:rFonts w:ascii="Arial" w:cs="Arial" w:eastAsia="Arial" w:hAnsi="Arial"/>
                <w:sz w:val="18"/>
                <w:szCs w:val="18"/>
                <w:b w:val="1"/>
                <w:bCs w:val="1"/>
                <w:color w:val="auto"/>
              </w:rPr>
              <w:t>IPSIDY INC. AND SUBSIDIARIES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900" w:type="dxa"/>
            <w:vAlign w:val="bottom"/>
            <w:gridSpan w:val="13"/>
          </w:tcPr>
          <w:p>
            <w:pPr>
              <w:ind w:left="2360"/>
              <w:spacing w:after="0"/>
              <w:rPr>
                <w:sz w:val="20"/>
                <w:szCs w:val="20"/>
                <w:color w:val="auto"/>
              </w:rPr>
            </w:pPr>
            <w:r>
              <w:rPr>
                <w:rFonts w:ascii="Arial" w:cs="Arial" w:eastAsia="Arial" w:hAnsi="Arial"/>
                <w:sz w:val="18"/>
                <w:szCs w:val="18"/>
                <w:b w:val="1"/>
                <w:bCs w:val="1"/>
                <w:color w:val="auto"/>
                <w:w w:val="99"/>
              </w:rPr>
              <w:t>CONSOLIDATED STATEMENTS OF CHANGES IN STOCKHOLDERS’ EQUITY</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5"/>
        </w:trPr>
        <w:tc>
          <w:tcPr>
            <w:tcW w:w="3280" w:type="dxa"/>
            <w:vAlign w:val="bottom"/>
          </w:tcPr>
          <w:p>
            <w:pPr>
              <w:spacing w:after="0"/>
              <w:rPr>
                <w:sz w:val="22"/>
                <w:szCs w:val="22"/>
                <w:color w:val="auto"/>
              </w:rPr>
            </w:pPr>
          </w:p>
        </w:tc>
        <w:tc>
          <w:tcPr>
            <w:tcW w:w="2700" w:type="dxa"/>
            <w:vAlign w:val="bottom"/>
            <w:gridSpan w:val="5"/>
          </w:tcPr>
          <w:p>
            <w:pPr>
              <w:ind w:left="64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3280" w:type="dxa"/>
            <w:vAlign w:val="bottom"/>
          </w:tcPr>
          <w:p>
            <w:pPr>
              <w:spacing w:after="0"/>
              <w:rPr>
                <w:sz w:val="20"/>
                <w:szCs w:val="20"/>
                <w:color w:val="auto"/>
              </w:rPr>
            </w:pPr>
          </w:p>
        </w:tc>
        <w:tc>
          <w:tcPr>
            <w:tcW w:w="138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20"/>
                <w:szCs w:val="20"/>
                <w:color w:val="auto"/>
              </w:rPr>
            </w:pPr>
          </w:p>
        </w:tc>
        <w:tc>
          <w:tcPr>
            <w:tcW w:w="120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Deficit</w:t>
            </w:r>
          </w:p>
        </w:tc>
        <w:tc>
          <w:tcPr>
            <w:tcW w:w="280" w:type="dxa"/>
            <w:vAlign w:val="bottom"/>
          </w:tcPr>
          <w:p>
            <w:pPr>
              <w:spacing w:after="0"/>
              <w:rPr>
                <w:sz w:val="20"/>
                <w:szCs w:val="20"/>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20"/>
                <w:szCs w:val="20"/>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2019</w:t>
            </w:r>
          </w:p>
        </w:tc>
        <w:tc>
          <w:tcPr>
            <w:tcW w:w="11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17,270,848</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95,032,252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(86,935,593)</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177,385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8,275,771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Modification of warrants issued with</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debt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95,223</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95,223</w:t>
            </w:r>
          </w:p>
        </w:tc>
        <w:tc>
          <w:tcPr>
            <w:tcW w:w="80" w:type="dxa"/>
            <w:vAlign w:val="bottom"/>
          </w:tcPr>
          <w:p>
            <w:pPr>
              <w:spacing w:after="0"/>
              <w:rPr>
                <w:sz w:val="20"/>
                <w:szCs w:val="20"/>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of common stock for cash</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1,862,552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5,076,269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5,076,455</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Warrant exercise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682,700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1,248,915</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1,248,983</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and option cashless exercise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56,094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Warrant exercise inducement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366,795</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366,795</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266,667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823,537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823,564</w:t>
            </w:r>
          </w:p>
        </w:tc>
        <w:tc>
          <w:tcPr>
            <w:tcW w:w="80" w:type="dxa"/>
            <w:vAlign w:val="bottom"/>
            <w:shd w:val="clear" w:color="auto" w:fill="CCEEFF"/>
          </w:tcPr>
          <w:p>
            <w:pPr>
              <w:spacing w:after="0"/>
              <w:rPr>
                <w:sz w:val="18"/>
                <w:szCs w:val="18"/>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Issuance of common stock to settle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3,540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8,270</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8,270</w:t>
            </w:r>
          </w:p>
        </w:tc>
        <w:tc>
          <w:tcPr>
            <w:tcW w:w="80" w:type="dxa"/>
            <w:vAlign w:val="bottom"/>
          </w:tcPr>
          <w:p>
            <w:pPr>
              <w:spacing w:after="0"/>
              <w:rPr>
                <w:sz w:val="20"/>
                <w:szCs w:val="20"/>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repurchase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(11,298,558)</w:t>
            </w: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(11,298,558)</w:t>
            </w:r>
          </w:p>
        </w:tc>
      </w:tr>
      <w:tr>
        <w:trPr>
          <w:trHeight w:val="25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(16,743)</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(16,743)</w:t>
            </w:r>
          </w:p>
        </w:tc>
      </w:tr>
      <w:tr>
        <w:trPr>
          <w:trHeight w:val="203"/>
        </w:trPr>
        <w:tc>
          <w:tcPr>
            <w:tcW w:w="32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Balances, December 31, 2020</w:t>
            </w:r>
          </w:p>
        </w:tc>
        <w:tc>
          <w:tcPr>
            <w:tcW w:w="1120" w:type="dxa"/>
            <w:vAlign w:val="bottom"/>
            <w:tcBorders>
              <w:top w:val="single" w:sz="8" w:color="auto"/>
            </w:tcBorders>
          </w:tcPr>
          <w:p>
            <w:pPr>
              <w:ind w:left="320"/>
              <w:spacing w:after="0" w:line="203" w:lineRule="exact"/>
              <w:rPr>
                <w:sz w:val="20"/>
                <w:szCs w:val="20"/>
                <w:color w:val="auto"/>
              </w:rPr>
            </w:pPr>
            <w:r>
              <w:rPr>
                <w:rFonts w:ascii="Arial" w:cs="Arial" w:eastAsia="Arial" w:hAnsi="Arial"/>
                <w:sz w:val="18"/>
                <w:szCs w:val="18"/>
                <w:color w:val="auto"/>
                <w:w w:val="86"/>
              </w:rPr>
              <w:t>19,642,401</w:t>
            </w: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1,964</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102,651,304</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(98,234,151)</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160,642</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4,579,759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of common stock for cash</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1,642,856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10,282,834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10,282,998</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6,702,797</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6,702,797</w:t>
            </w:r>
          </w:p>
        </w:tc>
        <w:tc>
          <w:tcPr>
            <w:tcW w:w="80" w:type="dxa"/>
            <w:vAlign w:val="bottom"/>
          </w:tcPr>
          <w:p>
            <w:pPr>
              <w:spacing w:after="0"/>
              <w:rPr>
                <w:sz w:val="18"/>
                <w:szCs w:val="18"/>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Settlement of accrued expense with stock</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349,376</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349,376</w:t>
            </w:r>
          </w:p>
        </w:tc>
        <w:tc>
          <w:tcPr>
            <w:tcW w:w="80" w:type="dxa"/>
            <w:vAlign w:val="bottom"/>
            <w:shd w:val="clear" w:color="auto" w:fill="CCEEFF"/>
          </w:tcPr>
          <w:p>
            <w:pPr>
              <w:spacing w:after="0"/>
              <w:rPr>
                <w:sz w:val="20"/>
                <w:szCs w:val="20"/>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w w:val="99"/>
              </w:rPr>
              <w:t>Convertible note converted to common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stock</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1,171,296</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6,232,223</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6,232,340</w:t>
            </w:r>
          </w:p>
        </w:tc>
        <w:tc>
          <w:tcPr>
            <w:tcW w:w="80" w:type="dxa"/>
            <w:vAlign w:val="bottom"/>
          </w:tcPr>
          <w:p>
            <w:pPr>
              <w:spacing w:after="0"/>
              <w:rPr>
                <w:sz w:val="20"/>
                <w:szCs w:val="20"/>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exercise for cash</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10,358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44,493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44,494</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Warrant exercise for cash</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70,835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318,751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318,758</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and option cashless exercise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756,278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(17,665,788)</w:t>
            </w: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(17,665,788)</w:t>
            </w:r>
          </w:p>
        </w:tc>
      </w:tr>
      <w:tr>
        <w:trPr>
          <w:trHeight w:val="25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50,844</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50,844</w:t>
            </w:r>
          </w:p>
        </w:tc>
        <w:tc>
          <w:tcPr>
            <w:tcW w:w="80" w:type="dxa"/>
            <w:vAlign w:val="bottom"/>
            <w:shd w:val="clear" w:color="auto" w:fill="CCEEFF"/>
          </w:tcPr>
          <w:p>
            <w:pPr>
              <w:spacing w:after="0"/>
              <w:rPr>
                <w:sz w:val="21"/>
                <w:szCs w:val="21"/>
                <w:color w:val="auto"/>
              </w:rPr>
            </w:pPr>
          </w:p>
        </w:tc>
      </w:tr>
      <w:tr>
        <w:trPr>
          <w:trHeight w:val="210"/>
        </w:trPr>
        <w:tc>
          <w:tcPr>
            <w:tcW w:w="32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Balances, December 31, 2021</w:t>
            </w:r>
          </w:p>
        </w:tc>
        <w:tc>
          <w:tcPr>
            <w:tcW w:w="1120" w:type="dxa"/>
            <w:vAlign w:val="bottom"/>
            <w:tcBorders>
              <w:top w:val="single" w:sz="8" w:color="auto"/>
              <w:bottom w:val="single" w:sz="8" w:color="auto"/>
            </w:tcBorders>
          </w:tcPr>
          <w:p>
            <w:pPr>
              <w:ind w:left="320"/>
              <w:spacing w:after="0" w:line="203" w:lineRule="exact"/>
              <w:rPr>
                <w:sz w:val="20"/>
                <w:szCs w:val="20"/>
                <w:color w:val="auto"/>
              </w:rPr>
            </w:pPr>
            <w:r>
              <w:rPr>
                <w:rFonts w:ascii="Arial" w:cs="Arial" w:eastAsia="Arial" w:hAnsi="Arial"/>
                <w:sz w:val="18"/>
                <w:szCs w:val="18"/>
                <w:color w:val="auto"/>
                <w:w w:val="86"/>
              </w:rPr>
              <w:t>23,294,024</w:t>
            </w: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2,329</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126,581,702</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(115,899,939</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211,486</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10,895,578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8680" w:type="dxa"/>
            <w:vAlign w:val="bottom"/>
          </w:tcPr>
          <w:p>
            <w:pPr>
              <w:ind w:left="4240"/>
              <w:spacing w:after="0"/>
              <w:rPr>
                <w:sz w:val="20"/>
                <w:szCs w:val="20"/>
                <w:color w:val="auto"/>
              </w:rPr>
            </w:pPr>
            <w:r>
              <w:rPr>
                <w:rFonts w:ascii="Arial" w:cs="Arial" w:eastAsia="Arial" w:hAnsi="Arial"/>
                <w:sz w:val="18"/>
                <w:szCs w:val="18"/>
                <w:b w:val="1"/>
                <w:bCs w:val="1"/>
                <w:color w:val="auto"/>
              </w:rPr>
              <w:t>IPSIDY INC. AND SUBSIDIARIES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500"/>
              <w:spacing w:after="0"/>
              <w:rPr>
                <w:sz w:val="20"/>
                <w:szCs w:val="20"/>
                <w:color w:val="auto"/>
              </w:rPr>
            </w:pPr>
            <w:r>
              <w:rPr>
                <w:rFonts w:ascii="Arial" w:cs="Arial" w:eastAsia="Arial" w:hAnsi="Arial"/>
                <w:sz w:val="18"/>
                <w:szCs w:val="18"/>
                <w:b w:val="1"/>
                <w:bCs w:val="1"/>
                <w:color w:val="auto"/>
              </w:rPr>
              <w:t>CONSOLIDATED STATEMENTS OF CASH FLOWS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8680" w:type="dxa"/>
            <w:vAlign w:val="bottom"/>
          </w:tcPr>
          <w:p>
            <w:pPr>
              <w:spacing w:after="0"/>
              <w:rPr>
                <w:sz w:val="24"/>
                <w:szCs w:val="24"/>
                <w:color w:val="auto"/>
              </w:rPr>
            </w:pPr>
          </w:p>
        </w:tc>
        <w:tc>
          <w:tcPr>
            <w:tcW w:w="2560" w:type="dxa"/>
            <w:vAlign w:val="bottom"/>
            <w:gridSpan w:val="6"/>
          </w:tcPr>
          <w:p>
            <w:pPr>
              <w:jc w:val="right"/>
              <w:ind w:right="121"/>
              <w:spacing w:after="0"/>
              <w:rPr>
                <w:sz w:val="20"/>
                <w:szCs w:val="20"/>
                <w:color w:val="auto"/>
              </w:rPr>
            </w:pPr>
            <w:r>
              <w:rPr>
                <w:rFonts w:ascii="Arial" w:cs="Arial" w:eastAsia="Arial" w:hAnsi="Arial"/>
                <w:sz w:val="18"/>
                <w:szCs w:val="18"/>
                <w:b w:val="1"/>
                <w:bCs w:val="1"/>
                <w:color w:val="auto"/>
                <w:w w:val="92"/>
              </w:rPr>
              <w:t>For the Year Ended December</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(17,665,788)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(11,298,558)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with cash flows from operations: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1,260,286</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1,250,542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6,702,797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(Gain)/loss on extinguishment of notes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(971,522)</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985,842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Amortization of debt discounts and issuance costs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237,435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451,749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losses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831,077</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1,333,566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Provision of Net Investment in direct financing lease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422,022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exercise inducement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(74,182)</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Net investment in direct financing lease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72,681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(188,846)</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446,816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106,674</w:t>
            </w:r>
          </w:p>
        </w:tc>
        <w:tc>
          <w:tcPr>
            <w:tcW w:w="180" w:type="dxa"/>
            <w:vAlign w:val="bottom"/>
          </w:tcPr>
          <w:p>
            <w:pPr>
              <w:spacing w:after="0"/>
              <w:rPr>
                <w:sz w:val="18"/>
                <w:szCs w:val="18"/>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(109,213)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544,481</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9,140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(47,809)</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(187,586)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660"/>
              <w:spacing w:after="0" w:line="203" w:lineRule="exact"/>
              <w:rPr>
                <w:sz w:val="20"/>
                <w:szCs w:val="20"/>
                <w:color w:val="auto"/>
              </w:rPr>
            </w:pPr>
            <w:r>
              <w:rPr>
                <w:rFonts w:ascii="Arial" w:cs="Arial" w:eastAsia="Arial" w:hAnsi="Arial"/>
                <w:sz w:val="18"/>
                <w:szCs w:val="18"/>
                <w:color w:val="auto"/>
              </w:rPr>
              <w:t>Net cash flows from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(8,761,554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(4,668,461</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35"/>
        </w:trPr>
        <w:tc>
          <w:tcPr>
            <w:tcW w:w="8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(90,036)</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intangible assets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(26,705)</w:t>
            </w:r>
          </w:p>
        </w:tc>
        <w:tc>
          <w:tcPr>
            <w:tcW w:w="180" w:type="dxa"/>
            <w:vAlign w:val="bottom"/>
          </w:tcPr>
          <w:p>
            <w:pPr>
              <w:spacing w:after="0"/>
              <w:rPr>
                <w:sz w:val="18"/>
                <w:szCs w:val="18"/>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(22,721)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other assets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(276,715)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660"/>
              <w:spacing w:after="0" w:line="203" w:lineRule="exact"/>
              <w:rPr>
                <w:sz w:val="20"/>
                <w:szCs w:val="20"/>
                <w:color w:val="auto"/>
              </w:rPr>
            </w:pPr>
            <w:r>
              <w:rPr>
                <w:rFonts w:ascii="Arial" w:cs="Arial" w:eastAsia="Arial" w:hAnsi="Arial"/>
                <w:sz w:val="18"/>
                <w:szCs w:val="18"/>
                <w:color w:val="auto"/>
              </w:rPr>
              <w:t>Net cash flows from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(116,741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(299,436</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35"/>
        </w:trPr>
        <w:tc>
          <w:tcPr>
            <w:tcW w:w="8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 net of offering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10,282,998</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5,076,455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exercise of warrants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318,758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1,248,983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44,494</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paycheck protection program</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485,762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repurchase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(104,800)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notes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(5,947)</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Principal payments on capital lease obligation</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(39,232)</w:t>
            </w:r>
          </w:p>
        </w:tc>
        <w:tc>
          <w:tcPr>
            <w:tcW w:w="180" w:type="dxa"/>
            <w:vAlign w:val="bottom"/>
          </w:tcPr>
          <w:p>
            <w:pPr>
              <w:spacing w:after="0"/>
              <w:rPr>
                <w:sz w:val="20"/>
                <w:szCs w:val="20"/>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(40,157)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flows from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11,086,833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8,176,240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8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Currencies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64,168</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(10,147)</w:t>
            </w:r>
          </w:p>
        </w:tc>
        <w:tc>
          <w:tcPr>
            <w:tcW w:w="0" w:type="dxa"/>
            <w:vAlign w:val="bottom"/>
          </w:tcPr>
          <w:p>
            <w:pPr>
              <w:spacing w:after="0"/>
              <w:rPr>
                <w:sz w:val="1"/>
                <w:szCs w:val="1"/>
                <w:color w:val="auto"/>
              </w:rPr>
            </w:pPr>
          </w:p>
        </w:tc>
      </w:tr>
      <w:tr>
        <w:trPr>
          <w:trHeight w:val="135"/>
        </w:trPr>
        <w:tc>
          <w:tcPr>
            <w:tcW w:w="868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2,272,706</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3,198,196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Cash, Beginning of the Year</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3,765,277</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567,081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End of the Year</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6,037,983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3,765,277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8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11,576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9,448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8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Arial" w:cs="Arial" w:eastAsia="Arial" w:hAnsi="Arial"/>
                <w:sz w:val="18"/>
                <w:szCs w:val="18"/>
                <w:color w:val="auto"/>
              </w:rPr>
              <w:t>Reclass from other assets to intangible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8,270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128,005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Modification of warrants issued with convertible debt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Exchange of notes payable and accrued interest for convertible notes payable</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2,662,000</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Settlement of accounts payable with issuance of common stock</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349,376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Conversion of convertible note payable and accrued interest to common stock</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6,232,340</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Reclass from current assets to other assets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106,446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Cashless option and warrant exercises</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524"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SUMMARY OF SIGNIFICANT ACCOUNTING POLICIES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Ipsidy Inc dba authID.ai. (“Ipsidy” or the “Company”) was incorporated on September 21, 2011 under the laws of the State of Delaware. Ipsidy is a leading provider of secure, mobile, biometric identity verification software products delivered by an easy to integrate Identity as a Service (IDaaS) platform. The Company provides its biometric identification services to government and private sector organizations and businesses, seeking to authenticate and manage identities for a variety of security purposes, including issuing identity cards, exercise of rights such as voting in elections and controlling access to digital and physical environments. The Company’s platform comprising internally developed software as well as acquired and licensed technology provides secure, facial biometric, identity verification, and strong customer authentication. The Company’s system enables participants to consent to transactions using their biometric information with a digitally signed authentication response, embedding the underlying transaction data and each user’s identity attributes within every electronic transaction message processed through our platform.</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also owns an entity in South Africa, Cards Plus, which manufactures </w:t>
      </w:r>
      <w:r>
        <w:rPr>
          <w:rFonts w:ascii="Arial" w:cs="Arial" w:eastAsia="Arial" w:hAnsi="Arial"/>
          <w:sz w:val="17"/>
          <w:szCs w:val="17"/>
          <w:b w:val="1"/>
          <w:bCs w:val="1"/>
          <w:color w:val="auto"/>
        </w:rPr>
        <w:t>s</w:t>
      </w:r>
      <w:r>
        <w:rPr>
          <w:rFonts w:ascii="Arial" w:cs="Arial" w:eastAsia="Arial" w:hAnsi="Arial"/>
          <w:sz w:val="17"/>
          <w:szCs w:val="17"/>
          <w:color w:val="auto"/>
        </w:rPr>
        <w:t>ecure plastic identity credentials and loyalty card products.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(“US GAAP”) assuming the Company will continue as a going concern basis, which implies the Company will continue to meet its obligations and continue its operations for the next year following the issuance date of these financial statements.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the Company had an accumulated deficit of approximately $115.9 million. For the year ended December 31, 2021, the Company earned revenue of approximately $2.3 million, used $8.8 million to fund its operations, and incurred a net loss of approximately $17.7 million. Additionally, in March 2022, the Company received notice from a US customer that accounted for 27% of consolidated 2021 revenue that they will not use the service previously rendered after April 1, 2022.</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continuation of the Company as a going concern is dependent upon financial support from the Company’s current shareholders, the ability of the Company to obtain additional debt or equity financing to continue operations, the Company’s ability to generate sufficient cash flows from operations, successfully locating and negotiating with other business entities for potential acquisition, and acquiring new clients to generate revenues and cash flows.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the subsequent event below, the Company has secured additional financing which management believes will provide adequate funding for its operations as it continues to invest in its product, people, and technology. The Company projects that the investments will lead to revenue expansion thereby reducing liquidity needs. The Company may need additional capital in the future but currently it believes it has the required funds to operate its business through December 31,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21, 2022, the Company entered into a Securities Purchase Agreement (“SPA”) with certain accredited investors, including certain directors of the Company or their affiliates (the “Note Investors”), and, pursuant to the SPA, sold to the Note Investors Senior Secured Convertible Notes (the “Convertible Notes”) with an aggregate initial principal amount of approximately $9.2 million and an initial conversion price of $3.70 per share. Also on March 21, 2022, the Company entered into a Facility Agreement the (“Facility Agreement") with Stephen J. Garchik, who is both a current shareholder of the Company and a Note Investor (“Garchik”), pursuant to which Garchik agreed to provide to the Company a $10.0 million unsecured standby line of credit facility that will rank behind the Convertible Notes and may be drawn down in several tranches, subject to certain conditions described in the Facility Agreement. Pursuant to the Facility Agreement, the Company agreed to pay Garchik a facility commitment fee of 100,000 shares of our common stock upon the effective date of the Facility Agreement. On March 18 and March 21, 2022, the Company entered into Subscription Agreements (the “Subscription Agreements”) with an accredited investor and certain members of authID.ai’s management team (the “PIPE Investors”), and, pursuant to the Subscription Agreements, sold to the PIPE Investors a total of 1,063,514 shares of our common stock (the “Other Stock”) at prices of $3.03 per share for an outside investor and $3.70 per share for the management investors (the “PIPE”). The aggregate gross proceeds from the PIPE are approximately $3.3 million before expenses. The Company expects to use the net proceeds from the Notes Private Placement, the PIPE and cash drawn under the Facility Agreement to fund operating expenses and for general working capital, fees and expenses. As of March 21, 2022, the Company has received approximately $11,709,000 and is expecting to receive another $549,000 in cash from the sale of the Convertible Notes and the PIPE.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considered subsequent events through March 22, 2022 in connection with the preparation of these consolidated financial statements, which is the date the financial statements were available to be issued.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Ukraine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war in the Ukraine may impact the Company and its operations in a number of different ways, which are yet to be fully assessed and are therefore uncertain. The Company’s principal concern is for the safety of the personnel who support us from that region. The Company works with third party sub-contractors for outsourced services, including software engineering and development, some of whom are based in Eastern Europe, including Russia and Ukraine. The Company also works with outsourced engineers and developers and third-party providers in other parts of the world, including the United States, Europe, India, South Africa and South America. While the continuing impact of this conflict and the response of the United States and other countries to it by means of trade and economic sanctions, or other actions is still unknown, it could disrupt our ability to work with certain contractors The Company has taken steps to diversify its sub-contractor base, which may in the short term give rise to additional costs and delays in delivering software and product upgrades.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uncertainty impacting and potential interruption in energy and other supply chains resulting from military hostilities in Europe and the response of the United States and other countries to it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Russia or other countries may prompt enterprises to adopt additional security measures such as those offered by the Company.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so long as the hostilities continue and perhaps even thereafter as the situation in Europe unfolds, we may see increased volatility in financial markets and a flight to safety by investors, which may impact our stock price and make it more difficult for the Company to raise additional capital at the time when it needs to do so, or for financing to be available upon acceptable terms. All or any of these risks separately, or in combination could have a material adverse effect on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Covid-19 emerged globally in December 2019, and it has been declared a pandemic. Covid-19 is still impacting customers, business, results and financial condition throughout the world. The Company’s day-to-day operations have been impacted differently depending on geographic location and services that are being performed. The Cards Plus business located in South Africa operations has had limitations on its operations as they are following the guidance and requirements of the South African government. Our operations in the United States and Colombia have suffered less impact as most staff can work remotely and we can continue to develop our product offerings.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That said we have seen our business opportunities develop more slowly as business partners and potential customers include Covid-19 considerations.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Furthermore, working remotely can cause a delay in decision making and finalization of negotiations and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financial statements include the accounts of Ipsidy Inc. and its wholly-owned subsidiaries Innovation in Motion Inc. MultiPay S.A.S., ID Global LATAM, IDGS S.A.S., ID Solutions, Inc., FIN Holdings, Inc., Cards Plus Pty Ltd., Ipsidy Perú S.A.C., and Ipsidy Enterprises Limited (collectively, the “Company”). All significant intercompany balances and transactions have been eliminated in consolidation.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are responsible for their integrity and objectivity. These accounting policies conform to US GAAP in all material respects and have been consistently applied in preparing the accompanying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preparing these consolidated financial statements in conformity with US GAAP, management is required to make estimates and assumptions that may affect the reported amounts of assets and liabilities and disclosure of contingent assets and liabilities as of the date of the consolidated financial statements and the reported amount of revenues and expenses during the reporting periods. Actual results could differ from those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Cards Plus – The Company recognizes revenue for the design and production of cards at the point in time when products are shipped, or services have been performed due to the short term nature of the contracts. Additionally, the cards produced by the Company have no alternative use and the Company has an enforceable right to payment for work performed should the contract be cancelled. As of December 31, 2021, and December 31, 2020, Cards Plus had approximately $48,000 and $87,000, respectively, of contract liability from payments received in advance that will be earned in future periods.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jc w:val="both"/>
        <w:spacing w:after="0" w:line="263" w:lineRule="auto"/>
        <w:rPr>
          <w:sz w:val="20"/>
          <w:szCs w:val="20"/>
          <w:color w:val="auto"/>
        </w:rPr>
      </w:pPr>
      <w:r>
        <w:rPr>
          <w:rFonts w:ascii="Arial" w:cs="Arial" w:eastAsia="Arial" w:hAnsi="Arial"/>
          <w:sz w:val="18"/>
          <w:szCs w:val="18"/>
          <w:color w:val="auto"/>
        </w:rPr>
        <w:t>Payment Processing – The Company recognizes revenue for variable fees generated for payment processing solutions that are earned on a usage fee over time based on monthly transaction volumes or on a monthly flat fee rate. Additionally, the Company also sells certain equipment from time to time for which revenue is recognized at a point in time the equipment is delivered to the customer.</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Identity Solutions Software – The Company recognizes revenue based on the identified performance obligations over the performance period for fixed consideration and/or for variable fees generated that are earned on a usage fee earned over time based on monthly transaction or user volumes and/or on a monthly flat fee rate. The Company had a contract liability of approximately $199,000 and $150,000 as of December 31, 2021, and 2020 respectively for certain revenue that will be earned in future periods. Of the $199,000 of deferred revenue contract liability as of December 31, 2021, approximately $140,000 will be earned in the first quarter of fiscal year 2022 and the balance over the course of the year. The majority of the deferred revenue contract liability as of December 31, 2020, was recognized in the quarter ended March 31, 2021. We have allocated the selling price in the contract to one customer which has multiple performance obligations based on the contract selling price that we believe represents a standalone selling price for the service rendered.</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contracts are reviewed for their respective performance obligations and related revenue and expense recognition implications. Certain of the revenues are derived from identity services that could include multiple performance obligations. A performance obligation is defined as a promise to provide a “distinct” good or service to a customer. The Company has determined that one possible treatment under U.S. GAAP is that these services will represent a stand-ready series of distinct daily services that are substantially the same, with the same pattern of transfer to the customer. Further, the Company has determined that the performance obligation to provide account access and facilitate transactions should meet the criteria for the “as invoiced” practical expedient, in that the Company has a right to consideration from a customer in an amount that corresponds directly with the value to the customer of the Company’s performance completed to date. As a result, the Company anticipates it may recognize revenue in the amount to which the Company has a right to invoice, based on completed performance at the relevant date. Additionally, the contracts could include implementation services, or support on an “as needed” basis and we will review each contract and determine whether such performance obligations are separate and distinct and apply the new standard accordingly to the revenue and expense derived from or related to each such service.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both 2021 and 2020, the Company provided annual software maintenance support services relating to previously licensed software on a stand-ready basis. These fees were billed in advance and recognized ratably over the requisite service period as revenue.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 ended December 31, 2021, the Company had revenues from operations in North America, South America and Africa of $0.6 million, $0.4 million and $1.3 million, respectively, compared to $0.6 million, $0.4 million and $1.5 million, respectively, in the year ended December 31, 2020.</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the Company will capitalize the incremental costs of acquiring and fulfilling a contract with a customer if the Company expects to recover those costs. These incremental costs were immaterial in 2021 and the Company recognizes these costs as incurred as it typically relates to a period of less than 1 year as allowed by the practical expedient and the amounts in 2021 were immaterial.</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Contract cost assets will be amortized using the straight-line method over the expected period of benefit beginning at the time revenue begins to be realized. The amortization of contract fulfillment cost assets associated with facilitating transactions will be recorded as cost of services in the Company’s Consolidated Statements of Operations. The amortization of contract acquisition cost assets associated with sales commissions that qualify for capitalization will be recorded as selling, general and administrative expense in the Company’s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December 31, 2020, the Company did not have any deferred contract costs or fees payable.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Financing revenue related to direct financing leases is outside the scope of Topic 606 and is recognized over the term of the lease using the effective interest method. The Company in 2021 and 2020 leased kiosks to one customer that has met the criteria for a financing lease. The Company is currently discussing the termination of the kiosk lease with the lessee.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All customers are granted credit on a short-term basis and related credit risks are considered minimal. The Company routinely reviews its trade receivables and makes provisions for probable doubtful accounts; however, those provisions are estimates and actual results could differ from those estimates and those differences may be material. Trade receivables are deemed uncollectible and removed from accounts receivable and the allowance for doubtful accounts when collection efforts have been exhausted. At December 31, 2021 and 2020, management determined no allowance for doubtful accounts was required.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Inventory of plastic/ID cards, digital printing material, which are held by Cards Plus Pty Ltd., are at the lower of cost (using the average method) or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Plastic/ID cards and digital printing material are used to provide plastic loyal ID and other types of cards.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at December 31, 2021 and December 31, 2020 consist of cards inventory and the Company recorded an inventory valuation allowance of approximately $20,000 and $18,000, respectively, to reflect net realizable value of the cards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adjustments to reduce the cost of inventories to their net realizable value are recognized in earnings in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Major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financial instruments that potentially expose the Company to a concentration of credit risk consist of cash and accounts receivable.</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Cash: </w:t>
      </w:r>
      <w:r>
        <w:rPr>
          <w:rFonts w:ascii="Arial" w:cs="Arial" w:eastAsia="Arial" w:hAnsi="Arial"/>
          <w:sz w:val="17"/>
          <w:szCs w:val="17"/>
          <w:color w:val="auto"/>
        </w:rPr>
        <w:t>The Company’s cash is deposited at financial institutions and cash balances held in United States (“US”) bank accounts are insured by the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Deposit Insurance Corporation (“FDIC”) up to $250,000. At various times during the year, the Company may have exceeded amounts insured by the FDIC. At December 31, 2021, the Company had approximately $5,505,000 in funds in the United States which were in excess of the insured amounts by the FDIC. For the Company’s foreign subsidiaries, no amounts are insured. At December 31, 2021, the Company held approximately $4,000, $87,000, $183,000, and $8,000 in cash maintained in Peruvian, Colombian, African, and British Banks, respectively.</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2021 Revenues and accounts receivable: </w:t>
      </w:r>
      <w:r>
        <w:rPr>
          <w:rFonts w:ascii="Arial" w:cs="Arial" w:eastAsia="Arial" w:hAnsi="Arial"/>
          <w:sz w:val="18"/>
          <w:szCs w:val="18"/>
          <w:color w:val="auto"/>
        </w:rPr>
        <w:t>For the year ended December 31, 2021, 27% of consolidated revenues were derived from the US and one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represented the majority of US based income. Additionally, for the year ended December 31, 2021, 57%, and 16% of the consolidated revenues were from Cards Plus (Africa) and the Colombian operations, respectively. Revenue for approximately 87% of the Colombian operations were derived from two customers. Revenue for approximately 13% of Cards Plus was from one customer. As of December 31, 2021, accounts receivable related to Cards Plus (Africa) amounted to 64% of the accounts receivable. The US operations represented 19% of the accounts receivable and the balance of 17% was from the Colombian operations, respectively. The US customer that accounted for 27% of the consolidated revenue in 2021 will not use the service previously rendered after April 1, 2022.</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2020 Revenues and accounts receivable: </w:t>
      </w:r>
      <w:r>
        <w:rPr>
          <w:rFonts w:ascii="Arial" w:cs="Arial" w:eastAsia="Arial" w:hAnsi="Arial"/>
          <w:sz w:val="16"/>
          <w:szCs w:val="16"/>
          <w:color w:val="auto"/>
        </w:rPr>
        <w:t>For the year ended December 31, 2020, 27% of consolidated revenues were derived from one customer who is a</w:t>
      </w:r>
      <w:r>
        <w:rPr>
          <w:rFonts w:ascii="Arial" w:cs="Arial" w:eastAsia="Arial" w:hAnsi="Arial"/>
          <w:sz w:val="16"/>
          <w:szCs w:val="16"/>
          <w:i w:val="1"/>
          <w:iCs w:val="1"/>
          <w:color w:val="auto"/>
        </w:rPr>
        <w:t xml:space="preserve"> </w:t>
      </w:r>
      <w:r>
        <w:rPr>
          <w:rFonts w:ascii="Arial" w:cs="Arial" w:eastAsia="Arial" w:hAnsi="Arial"/>
          <w:sz w:val="16"/>
          <w:szCs w:val="16"/>
          <w:color w:val="auto"/>
        </w:rPr>
        <w:t>US customer and is substantially all of the US based income. Additionally, for the year ended December 31, 2021, 55%, and 16% of the consolidated revenues were from Cards Plus (Africa) and the Colombian operations, respectively. Revenue for approximately 87% of the Colombian operations were derived from two customers. As of December 31, 2021, accounts receivable related to Cards Plus (Africa) amounted to 90% of the accounts receivable. The US operations represented 9% of the accounts receivable and the balance of 1% was from the Colombian operations,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income taxes under Financial Accounting Standards Board (“FASB”) Accounting Standards Codification (“ASC”) 740 “Income Taxes.” Under the asset and liability method of FASB ASC 740,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Under FASB ASC 740, the effect on deferred tax assets and liabilities of a change in tax rates is recognized in income in the period the enactment occurs. A valuation allowance is provided for certain deferred tax assets if it is more likely than not that the Company will not realize tax assets through future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leases are classified at the inception as direct finance leases or operating leases based on whether the lease transfers substantially all the risks and rewards of ownership. Leases that transfer to the lessee substantially all of the risks and rewards incidental to ownership of the asset are classified as direct finance leases.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effective January 1, 2020 adopted the provisions of Topic 842. The Company used the practical expedients available under Topic 842 which allowed Ipsidy to run off existing leases, as initially classified as operating or financing, and classify new leases after implementation under the new standard as the business evolves.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practical expedients elected by the Company allows the Company not to reassess our prior conclusions about lease identification, lease classification and initial direct costs. Furthermore, Company elected the short-term lease recognition exemption for leases with a term of 12 or less months which are not reasonably certain of exercising any available renewal options that would extend past 12 months. Additionally, we will continue to account for the executory costs of the direct financing lease as previously concluded and the initial direct costs were not considered significant.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operating leases principally for offices and some of the leases have renewal options. Management evaluates each lease independently to determine the purpose, necessity to its future operations in addition to other appropriate facts and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Property and equipment consist of furniture and fixtures and computer equipment and are stated at cost. Property and equipment are depreciated using the straight-line method over the estimated useful service lives of three to five years. Maintenance and repairs are expensed as incurred and improvements are capitalized. Gains or losses on the disposition of property and equipment are recorded upon disposal.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 – Software Development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assets consist primarily of costs associated with software development of new product offerings and enhancements to existing and new applications. Development costs of computer software to be sold, leased or otherwise marketed are subject to capitalization beginning when a product’s technological feasibility has been established and ending when a product is available for general release to customers. As of December 31, 2020, the balance sheet “Other assets” are under further development and have not been placed in service. During the year ended December 31, 2020, approximately $0.4 million was placed into service. Upon completion, the amounts remaining in “other assets” will be recorded in the appropriate asset category and amortized over their estimated useful lives.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2021, the balance in other assets for software was $-0- and no assets were placed into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Excluding goodwill, acquired intangible assets and internally developed software are amortized over their estimated useful lives. Acquired amortizing intangible assets are carried at cost, less accumulated amortization. Internally developed software costs are capitalized upon reaching technological feasibility. Amortization of acquired finite-lived intangible assets is computed over the estimated useful lives (5- 10 years) of the respective assets which is the shorter of the life of the asset or the period during which sales will be generated.</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evaluation of intangible assets for impairment involves assessing the recoverability of the asset group by comparing the fair value of the asset group to its carrying value. The fair value of the asset group is estimated using the sum of the undiscounted cash flows expected to result from the use and eventual disposition of the asset group, using estimates and assumptions relating to revenue growth rates. The Company has identified two distinct asset groups, of which one was deemed to be fully recoverable. However, in our evaluation, we believe that the other asset group was not deemed to be recoverable and an impairment charge totaling $831,000 was recognized during the year ended December 31, 2021.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Goodwill is recorded when the purchase price paid for an acquisition exceeds the fair value of net identified tangible and intangible assets acquired. The Company performs an annual impairment test of goodwill and further periodic tests to the extent indicators of impairment develop between annual impairment tests. The Company’s impairment review process compares the fair value of the reporting unit to its carrying value, including the goodwill related to the reporting unit utilizing qualitative considerations. To determine the fair value of the reporting unit, the Company may use various approaches including an asset or cost approach, market approach or income approach or any combination thereof. These approaches may require the Company to make certain estimates and assumptions including future cash flows, revenue and expenses. These estimates and assumptions are reviewed each time the Company tests goodwill for impairment and are typically developed as part of the Company’s routine business planning and forecasting process. While the Company believes its estimates and assumptions are reasonable, variations from those estimates could produce materially different results.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2021, the Company’s projection and assessment did not indicate that an impairment charge was required as its fair value was in excess of carrying value.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year ended December 31, 2020, the Company recorded an impairment loss of approximately $1.0 million, associated with goodwill at one of its reporting units. As a result of the current pandemic and its potential impact on future results, the Company updated its reporting unit projections, and it indicated a goodwill impairment as the carrying value may not be recovered as revenue assumptions and related revenue were revised downward.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reporting unit in both years was determined using discounted cash flow model and the market approach.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accounted for stock-based compensation under the provisions of FASB ASC 718 – “Stock Compensation” which requires the use of the fair-value based method to determine compensation for all arrangements under which employees and others receive shares of stock or equity instruments (stock options and common stock purchase warrants). For all awards, the fair value of each stock option award is estimated on the date of grant using the Black-Scholes valuation model that uses assumptions for expected volatility, expected dividends, expected term, and the risk-free interest rate. Expected volatilities are based on historical volatility of peer companies and other factors estimated over the expected term of the stock options. For employee awards, the expected term of options granted is derived using the “simplified method” which computes expected term as the average of the sum of the vesting term plus the contract term. The risk-free rate is based on the U.S. Treasury yield curve in effect at the time of grant for the period of the expected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46"/>
        <w:spacing w:after="0" w:line="263" w:lineRule="auto"/>
        <w:rPr>
          <w:sz w:val="20"/>
          <w:szCs w:val="20"/>
          <w:color w:val="auto"/>
        </w:rPr>
      </w:pPr>
      <w:r>
        <w:rPr>
          <w:rFonts w:ascii="Arial" w:cs="Arial" w:eastAsia="Arial" w:hAnsi="Arial"/>
          <w:sz w:val="18"/>
          <w:szCs w:val="18"/>
          <w:color w:val="auto"/>
        </w:rPr>
        <w:t>Long-lived assets, including intangible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the carrying amount of an asset exceeds its undiscounted estimated future cash flows, an impairment review is performed. An impairment charge is recognized in the amount by which the carrying amount of the asset exceeds the fair value of the asset. Generally, fair value is determined using valuation techniques such as expected discounted cash flows or appraisals, as appropriate. Assets to be disposed of would be separately presented in the balance sheet and reported at the lower of the carrying amount or fair value less costs to sell, and are no longer depreciated or amortized. The assets and liabilities of a disposed group classified as held for sale would be presented separately in the appropriate asset and liability sections of the balance sheet.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t>During the year ended December 31, 2020, the Company recorded an impairment on intangible assets of approximately $0.3 million at one reporting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current projection indicated the carrying value of the intangible assets was in excess of its estimated recoverable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costs consist of expenditures for the research and development of new products and technology. These costs are primarily expenses to incurred to perform research projects and develop technology for the Company’s products. Research and development costs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years ended December 31, 2021 and 2020 because their effect was antidilutive: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payable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117,529</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87"/>
              </w:rPr>
              <w:t>1,776,500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1,403,610</w:t>
            </w:r>
          </w:p>
        </w:tc>
        <w:tc>
          <w:tcPr>
            <w:tcW w:w="1140" w:type="dxa"/>
            <w:vAlign w:val="bottom"/>
          </w:tcPr>
          <w:p>
            <w:pPr>
              <w:ind w:left="400"/>
              <w:spacing w:after="0"/>
              <w:rPr>
                <w:sz w:val="20"/>
                <w:szCs w:val="20"/>
                <w:color w:val="auto"/>
              </w:rPr>
            </w:pPr>
            <w:r>
              <w:rPr>
                <w:rFonts w:ascii="Arial" w:cs="Arial" w:eastAsia="Arial" w:hAnsi="Arial"/>
                <w:sz w:val="18"/>
                <w:szCs w:val="18"/>
                <w:color w:val="auto"/>
                <w:w w:val="87"/>
              </w:rPr>
              <w:t>1,823,267</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8,910,994</w:t>
            </w:r>
          </w:p>
        </w:tc>
        <w:tc>
          <w:tcPr>
            <w:tcW w:w="114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87"/>
              </w:rPr>
              <w:t>5,645,802</w:t>
            </w:r>
          </w:p>
        </w:tc>
        <w:tc>
          <w:tcPr>
            <w:tcW w:w="8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10,432,133</w:t>
            </w:r>
          </w:p>
        </w:tc>
        <w:tc>
          <w:tcPr>
            <w:tcW w:w="1140" w:type="dxa"/>
            <w:vAlign w:val="bottom"/>
          </w:tcPr>
          <w:p>
            <w:pPr>
              <w:ind w:left="400"/>
              <w:spacing w:after="0"/>
              <w:rPr>
                <w:sz w:val="20"/>
                <w:szCs w:val="20"/>
                <w:color w:val="auto"/>
              </w:rPr>
            </w:pPr>
            <w:r>
              <w:rPr>
                <w:rFonts w:ascii="Arial" w:cs="Arial" w:eastAsia="Arial" w:hAnsi="Arial"/>
                <w:sz w:val="18"/>
                <w:szCs w:val="18"/>
                <w:color w:val="auto"/>
                <w:w w:val="87"/>
              </w:rPr>
              <w:t>9,245,569</w:t>
            </w:r>
          </w:p>
        </w:tc>
        <w:tc>
          <w:tcPr>
            <w:tcW w:w="8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assets, liabilities and results of operations of certain of Ipsidy’s subsidiaries are measured using their functional currency which is the currency of the primary foreign economic environment in which they operate. Upon consolidating these subsidiaries with Ipsidy, the applicable assets and liabilities are translated to US dollars at currency exchange rates as of the applicable dates and their revenues and expenses are translated at the weighted average currency exchange rates during the applicable reporting periods. Translation adjustments resulting from the process of translating these subsidiaries’ financial statements are reported in other comprehensive loss in the accompanying consolidated statements of comprehensive loss.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See Notes 5 and 6 for additional information on indebtedness outstanding as of December 31, 2021.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NOTE 2 – PROPERTY AND EQUIPMENT, NET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Property and equipment consisted of the following as of December 31, 2021 and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387,875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297,839</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Equipment under capital lease</w:t>
            </w:r>
          </w:p>
        </w:tc>
        <w:tc>
          <w:tcPr>
            <w:tcW w:w="24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163,407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163,407</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89"/>
              </w:rPr>
              <w:t>551,282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0"/>
              </w:rPr>
              <w:t>(432,751)</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(363,417)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86"/>
              </w:rPr>
              <w:t>118,531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$69,635 and $54,093 for the years ended December 31, 2021 and 2020,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3 – INTANGIBLE ASSETS, NET (OTHER THAN GOODWILL)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intangible assets consist of intellectual property acquired from Multi-Pay and FIN in addition to internally developed software that have been placed into service. They are amortized over their estimated useful lives as indicated below. The following is a summary of activity related to intangible assets for the years ended December 31,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Acquired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0"/>
              </w:rPr>
              <w:t>Customer</w:t>
            </w: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7"/>
              </w:rPr>
              <w:t>Developed</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Intellectual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Relationships</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Software</w:t>
            </w:r>
          </w:p>
        </w:tc>
        <w:tc>
          <w:tcPr>
            <w:tcW w:w="1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Property</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Patents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Useful Lives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 Years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 Years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Years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10 Years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970,019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3,651,924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862,792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5,593,612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404,720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22,721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427,441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(297,937)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(297,937)</w:t>
            </w: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(158,716)</w:t>
            </w: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(885,250)</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(148,384)</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(3,290)</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(1,195,640)</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December 31, 2020</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811,303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3,171,394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416,471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89"/>
              </w:rPr>
              <w:t>128,308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4,527,476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26,705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26,705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(495,976)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(335,101)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(831,077)</w:t>
            </w: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(162,326)</w:t>
            </w: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(932,512)</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(81,370)</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(14,443)</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(1,190,651)</w:t>
            </w:r>
          </w:p>
        </w:tc>
      </w:tr>
      <w:tr>
        <w:trPr>
          <w:trHeight w:val="262"/>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153,001</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2,238,882</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89"/>
              </w:rPr>
              <w:t>140,570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2,532,453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intangible assets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Acquired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Customer</w:t>
            </w: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7"/>
              </w:rPr>
              <w:t>Developed</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Intellectual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Relationships</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Software</w:t>
            </w:r>
          </w:p>
        </w:tc>
        <w:tc>
          <w:tcPr>
            <w:tcW w:w="1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Property</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Patents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372,130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4,476,271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158,303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5,006,704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(219,129)</w:t>
            </w: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(2,237,389)</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(17,733)</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(2,474,251)</w:t>
            </w:r>
          </w:p>
        </w:tc>
      </w:tr>
      <w:tr>
        <w:trPr>
          <w:trHeight w:val="261"/>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153,001</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2,238,882</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140,570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2,532,453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intangible assets as of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Acquired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Customer</w:t>
            </w: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7"/>
              </w:rPr>
              <w:t>Developed</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Intellectual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Relationships</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Software</w:t>
            </w:r>
          </w:p>
        </w:tc>
        <w:tc>
          <w:tcPr>
            <w:tcW w:w="1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Property</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Patents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1,587,159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4,476,271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828,580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131,598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7,023,608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(775,856)</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(1,304,877)</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(412,109)</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(3,290)</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(2,496,132)</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Carrying Value at December 31, 2020</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811,303</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3,171,394</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416,471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128,308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4,527,476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80" w:type="dxa"/>
            <w:vAlign w:val="bottom"/>
            <w:gridSpan w:val="7"/>
          </w:tcPr>
          <w:p>
            <w:pPr>
              <w:spacing w:after="0"/>
              <w:rPr>
                <w:sz w:val="20"/>
                <w:szCs w:val="20"/>
                <w:color w:val="auto"/>
              </w:rPr>
            </w:pPr>
            <w:r>
              <w:rPr>
                <w:rFonts w:ascii="Arial" w:cs="Arial" w:eastAsia="Arial" w:hAnsi="Arial"/>
                <w:sz w:val="18"/>
                <w:szCs w:val="18"/>
                <w:color w:val="auto"/>
                <w:w w:val="99"/>
              </w:rPr>
              <w:t>The following is the future amortization of intangible assets for the year ended December 31: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892,298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841,309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616,996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100,378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19,985</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61,487</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right"/>
              <w:ind w:right="200"/>
              <w:spacing w:after="0"/>
              <w:rPr>
                <w:sz w:val="20"/>
                <w:szCs w:val="20"/>
                <w:color w:val="auto"/>
              </w:rPr>
            </w:pPr>
            <w:r>
              <w:rPr>
                <w:rFonts w:ascii="Arial" w:cs="Arial" w:eastAsia="Arial" w:hAnsi="Arial"/>
                <w:sz w:val="18"/>
                <w:szCs w:val="18"/>
                <w:color w:val="auto"/>
              </w:rPr>
              <w:t>F-17</w:t>
            </w: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4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4 – ACCOUNTS PAYABLE AND ACCRUED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Accounts payable and accrued expenses consisted of the following as of December 31, 2021 and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311,024</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33,533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554,755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836,793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891,790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69,812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117,414</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479,759</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790,149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2,013,460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2,665,132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hanging="192"/>
        <w:spacing w:after="0" w:line="263" w:lineRule="auto"/>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Included in other is accrued Board of Directors Compensation of $-0- and $349,000 as of December 31, 2021 and December 31, 2020, respectively. In May 2021, the non-employee Directors were compensated for their service through the issuance of stock options and therefore the balance of the accrual for Directors’ compensation was $-0- as of December 31, 2021. See Note 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5 – NOTES PAYABLE,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The following is a summary of notes payable as of December 31, 2021 and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Paycheck Protection Program</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485,760</w:t>
            </w:r>
          </w:p>
        </w:tc>
        <w:tc>
          <w:tcPr>
            <w:tcW w:w="8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2"/>
              </w:rPr>
              <w:t>Installment loan payable related to a vehicle acquisition payable in monthly payments of $539 per month at an interest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rate of 10.8% per annum payable for 36 months</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1,579</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7,526</w:t>
            </w:r>
          </w:p>
        </w:tc>
        <w:tc>
          <w:tcPr>
            <w:tcW w:w="80" w:type="dxa"/>
            <w:vAlign w:val="bottom"/>
          </w:tcPr>
          <w:p>
            <w:pPr>
              <w:spacing w:after="0"/>
              <w:rPr>
                <w:sz w:val="21"/>
                <w:szCs w:val="2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Principal Outstanding</w:t>
            </w: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493,286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Notes Payable, current portion</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1,579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5,947</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current portion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487,339</w:t>
            </w:r>
          </w:p>
        </w:tc>
        <w:tc>
          <w:tcPr>
            <w:tcW w:w="8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1,579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493,286</w:t>
            </w:r>
          </w:p>
        </w:tc>
        <w:tc>
          <w:tcPr>
            <w:tcW w:w="8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Paycheck Protection Program Loan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2020, the Company received a loan of approximately $486,000 under the Paycheck Protection Program (“PPP”) as part of the Coronavirus Aid, Relief and Economic Security Act which is administered by the U.S. Small Business Association (“USSBA”) related to its U.S. Operations. The Company received notice from the USSBA in May 2021, that the May 2020 PPP loan was forgiven as we met the applicable requirements.</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January 2021, the Company received a second loan of approximately $486,000 under the PPP related to its U.S. Operations. The Company received notice from the USSBA in August 2021, that the January 2021 PPP loan was forgiven as the Company met the applicable requirements.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470, extinguishment accounting, the amount forgiven by the USSBA is recorded as other income – gain on extinguishment of notes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remaining amounts Notes Payable due as of December 31, 2021 will be paid in the first quarter of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6 – CONVERTIBLE NOTES PAYABLE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13, 2019, the Company entered into Securities Purchase Agreements with several accredited investors (the “8% Note Investors”) providing for the sale by the Company to the 8% Note Investors of 8% Convertible Notes in the aggregate amount of $428,000 (the “8% Notes”). The 8% Notes were to mature on November 30, 2021 and were a general unsecured obligation of the Company.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2020, the Company and the holders of the 8% Notes entered into an amendment agreement pursuant to which the principal and interest due under the 8% Notes will remain due and payable on the same terms as exist in the 8% Notes prior to modification, that the maturity shall be extended to the same maturity date as the 2020 Notes, namely February 28, 2022, and the 8% Notes became a secured obligation of the Company.</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14, 2020 the Company, entered into Securities Purchase Agreements with several accredited investors (the “2020 Note Investors”) providing for the sale by the Company to the 2020 Note Investors of 15% Senior Secured Convertible Notes in the aggregate amount of $1,510,000 (the “2020 Notes”). Philip D. Beck, then Chief Executive Officer and Chairman of the Board, invested $50,000 in consideration of a 2020 Note in the principal amount of $50,000 paid by a deduction from his salary. Theodore Stern, a former director of the Company, invested $50,000 in consideration of a 2020 Note in the principal amount of $50,000. Herbert Selzer, a former director of the Company invested $100,000 in consideration of a 2020 Note in the principal amount of $100,000. Mr. Selzer provided $50,000 on the closing date and provided the balance of the funding in April 2020.</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2020 Notes were to mature February 28, 2022 and were a secured obligation of the Company. At the option of the 2020 Note Investors, they may at any time convert the 2020 Notes. The number of shares delivered shall be equal to 150% of the amount of the principal converted divided by the conversion price of $6.00 per share. The Company may require that the 2020 Note Investors convert all or a portion of the 2020 Notes, if the Company’s volume weighted average price for any preceding 20-day period is equal to or greater than $9.00.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this private offering, the Company paid Network 1 Financial Securities, Inc., a registered broker-dealer, a cash fee of approximately $104,800.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2021, the 8% Note Investors and the 2020 Note Investors representing a total of approximately $6.2 million and a portion of their accrued interest at the option of the noteholders were converted into approximately 1,171,000 shares of common stock of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the outstanding convertible notes payable was $662,000 owed to the Stern Trust with a maturity date of February 28, 2022. During February 2022, the Company and the Stern Trust mutually agreed to extend the due date of the convertible note until December 31, 2022. The Stern Trust shall have the right at its sole option to extend the Maturity Date for a further six months after December 31, 2022, by service of written notice upon the Borrower at any time on or before December 31,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Common Stock</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August 26, 2021, the Company completed the Offering of 1,642,856 shares of its common stock at a public offering price of $7.00 per share, including 214,285 shares sold upon full exercise of the underwriter’s option to purchase additional shares, for gross proceeds of approximately $11.5 million. Two executive officers and three members of the Board of Directors participated in the offering and purchased approximately $1.3 million of common shares.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in Note 6 regarding the $662,000 Stern Trust Note.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Theodore Stern and Herbert Selzer (also a former member of the Board of Directors until June 9, 2021) provided conversion notices for their respective 2020 Notes converting the principal, repayment premium and interest in the amount of approximately $256,000 into approximately 41,000 shares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14, 2021, Phillip L. Kumnick resigned as Chief Executive Officer of Ipsidy Inc., and Thomas L. Thimot was appointed Chief Executive Officer in his place. Further, Philip R. Broenniman resigned as President and Chief Operating Officer and Cecil N. Smith III (Tripp) was appointed President and Chief Technology Officer. In May 2021 the Company granted to each of Mr. Kumnick and Mr. Broenniman options (the “May 2021 Options”) to acquire a total of 1,166,667 shares of common stock at an exercise price of $7.20 per share for a term of ten years that vest upon the achievement of certain market capitalization thresholds, or performance conditions. In November 2021 Mr. Kumnick and Mr. Broenniman agreed to cancel 300,000 and 200,000, respectively, of these stock options in consideration of removing certain service conditions.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Thomas Thimot and Mr. Cecil Smith, became employed by the Company as Chief Executive Officer and President and Chief Technology Officer effective June 14, 2021. Mr. Thimot and the Company entered into an Offer Letter pursuant to which Mr. Thimot will earn an annual salary of $325,000 with a bonus target at 50% of the base salary (pro-rated for 2021) upon terms to be agreed with the Compensation Committee for 2021 and on the understanding that the 2022 target will include a requirement of the Company achieving three times the annual revenue of 2021. Additionally, Mr. Thimot was granted an option to acquire 1,200,000 shares of common stock at an exercise price of $7.80 per share for a term of ten years of which half of the options vest monthly over four years and the balance is subject to certain performance vesting requirements.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14, 2021, Mr. Smith and the Company entered an into an Offer Letter pursuant to which Mr. Smith will earn an annual salary of $275,000 with a bonus target at 50% of the base salary (pro-rated for 2021) upon terms to be agreed with the Compensation Committee for 2021. In addition, Mr. Smith will receive a bonus of $50,000 after 90 days of service. Additionally. Mr. Smith was granted an option to acquire 600,000 shares of common stock at an exercise price of $7.80 per share for a term of ten years of which half of the options vest monthly over four years and the balance is subject to certain performance vesting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Board of Directors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June 9, 2021 Theodore Stern, Herbert Selzer and Thomas Szoke resigned as directors of the Company. The size of the Board of directors was increased to seven and Dr. Michael A. Gorriz, Michael L. Koehneman, Sanjay Puri, Mr. Thimot and Jacqueline L. White were appointed as additional directors of the Company. Messrs. Stern, Selzer and Szoke did not advise the Company of any disagreement with the Company on any matter relating to its operations, policies or practices. Mr. Szoke continued with the Company as Chief Solutions Architect until December 1, 2021 and entered an agreement with the Company in lieu of his Executive Retention Agreement in which he will receive $305,000 equally on a monthly basis for twelve months.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granted each of the four new Directors appointed in June 2021 stock options to acquire 62,500 shares of common stock or a total of 250,000 at an exercise price of $7.80 per share for a term of ten years that vest one third per year after each Annual Meeting. The Company granted the previously serving Directors stock options to acquire 93,470 common shares that were vested upon grant as the services were previously rendered. The stock options were granted in lieu of other forms of Director Compensation. The Company also granted Mr. Selzer and Mr. Stern 22,388 stock options to acquire common shares for service in 2021 prior to their resignation as Directors. Upon their resignation as Directors in June 2021, 13,992 stock options were vested and the balance was cancelled.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Company appointed another Director in November 2021 and granted stock options to acquire 29,173 shares of common stock that vest one third a year after each Annual Meeting beginning in 2022. One of the Directors appointed in June did not stand for reelection to the Board of Directors in December 2021 and forfeited 41,667 stock options. In December 2021, the Company granted additional options to acquire 10,238 shares of common stock each to five of the non-employee Directors by way of annual compensation under the Company’s compensation policy for non-employee directors and which vest monthly over a one-year-period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2021, the Company and Progress Partners Inc. (“Progress”) modified their Business Advisory Agreement dated May 6, 2020 (“Progress Agreement”). The amended Progress Agreement provides for Progress to undertake continuing business development activities for the Company, for which the Company paid Progress $350,000. Additionally, the Company paid Progress, another $115,000 for additional consulting services. Mr. Puri, a former Director of the Company from June 9, to December 29, 2021 is an employee and Managing Director of Progress but is not a principal shareholder nor an executive officer of Progress.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Executive Officers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Phillip Kumnick and Mr. Philip Broenniman, two of the Company’s Director’s became employed by the Company as Chief Executive Officer and President and Chief Operating Officer effective May 22, 2020.</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Kumnick earned an initial base salary of $125,000 per annum, which was increased to $187,500 as of November 1, 2020 and is subject to review after one year. Mr. Kumnick was granted options to acquire 33,333,334 shares of common stock of which 20% vest at grant and the balance vest subject to performance conditions. Mr. Broenniman will earn an initial base salary of $87,500 per annum which was increased to $131,250 as of November 1, 2020 and is subject to review after one year. Mr. Broenniman was granted options to acquire 16,666,666 shares of common stock of which 20% vest at grant and the balance vest subject to performance conditions. Mr. Kumnick and Mr. Broenniman have bonus targets in their respective employment arrangements subject to meeting certain performance thresholds.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Issuance of Common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the Company granted 1,500,000 shares of Restricted Common Stock to each of Phillip Kumnick and Philip Broenniman, new members of our Board of Directors, in connection with their compensation for service as Board Members. The restricted stock vested in 2021 upon the achievement of certain performance criteria.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Exercises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30, 2020, Company entered into and consummated a private transaction pursuant to which a portion of the Company’s warrants exercisable at per share price of $3.00 (the “$3.00 Warrants”) were exercised for cash at an exercise price of $2.10 per share. In addition, the holders that exercised the $3.00 Warrants received a warrant exercisable for two years to acquire one share of common stock at an exercise price of $4.50 per share (the $4.50 Warrants”) for every four $3.00 Warrants exercised. Mr. Theodore Stern, a director of the Company, participated in the private transaction resulting in the issuance of 33,334 shares of common stock and 8,333 $4.50 Warrants in consideration of $70,000; and Varana Capital Focused, LP (“VCFLP”), participated in the private transaction resulting in the issuance of 123,889 shares of common stock and 30,792 $4.50 Warrants, in consideration of $260,167. Mr. Philip Broenniman, a director, the President and COO of the Company is the investment manager of VCFLP.</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June 30, 2020, Company entered into and consummated a private transaction pursuant to which a portion of the Company’s warrants exercisable at per share price of $1.80 (the “$1.80 Warrants”) were exercised. In addition, the holders that exercised the $1.80 Warrants also received a $4.50 Warrant for every two $1.80 Warrants exercised. Vista Associates, L.P., (“Vista”) of which, Mr. Herbert Selzer a director of the Company, is the General Partner, participated in the private transaction resulting in the issuance of 29,333 shares of common stock and 14,667 $4.50 Warrants, in consideration of $52,800.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30, 2020, the Company also entered into a Subscription Agreement with VCFLP pursuant to which VCFLP purchased 23,810 shares of common stock in consideration of $50,000.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Theodore Stern and Philip Beck former members of the Board of Directors of the Company, invested $50,000 each in consideration of the 2020 Notes. Another former director, Herbert Selzer invested $100,000 in consideration of a 2020 Note in the principal amount of $100,000. Vista held 29,33 2015 Warrants, which were also extended as a result of Mr. Selzer’s investment and as noted above were exercised for cash on June 30, 2020. See Note 6</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the Company and the Stern Trust entered the Restated Stern Note providing that the $2,000,000 principal of the Stern Note will be due and payable on the same terms (bearing interest at 15% per annum) and on the same maturity date as the 2020 Notes and subject to the same Security Agreement. The interest due under the Stern Note as of January 31, 2020 in the amount of $662,000 has been capitalized and will earn interest at 10% per annum, which at the election of the Stern Trust can be paid in shares of common stock at a conversion price of $0.20 and the maturity of such interest shall be extended to the same maturity date as the 2020 Notes. The Restated Stern Note includes a 50% repayment premium. Mr. Stern, the Trustee of the Stern Trust also entered into the Security Agreement as one of the joint collateral agents.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offering of the 2020 Notes and the sale of common stock in the fourth quarter of 2020, the Company paid Network 1 Financial Securities, Inc., a registered broker-dealer (“Network 1”), a cash fee of approximately $471,800. A former member of the Company’s Board of Director’s maintains a partnership with a principal of Network 1.</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the Company rents office space in Long Beach, New York at a monthly cost of $5,000 (as of January 1, 2020 reduced from $7,425). The rent was further reduced to $2,500 per month beginning October 1, 2020. The agreement is month to month and can be terminated on 30 days’ notice. The agreement is between the Company and Bridgeworks LLC, an entity principally owned by Mr. Beck, a former member of the Board of Directors and his family. During years ended December 31, 2021 and 2020, the Company paid rent of $52,500 and $89,100 respectively.</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22, 2020, the Company and Mr. Beck entered into a separation letter agreement, which provided for payment to Mr. Beck of one year’s severance in the amount of $350,000 as well as certain employee benefits, payable in accordance with the terms of Mr. Beck’s Retention Agreement. Mr. Beck’s severance was paid over a one-year period. Furthermore, the company started recording the expense associated with Mr. Beck’s restricted stock agreement dated September 29, 2017. In connection with the separation letter agreement, the Company exchanged the September 29, 2017 Restricted Stock Agreement to substantially modify the vesting provisions of the previously issued 500,000 shares of restricted stock and allows a time-vesting provision whereby the restricted shares will fully vest by May 2022. On October 30, 2020, pursuant to the terms of Mr. Beck’s Restricted Stock Agreement, as amended by the Separation Agreement, the Company repurchased for $1.00 the 500,000 Unvested Restricted Stock upon his resignation from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authorized to issue 1,000,000,000 shares of common stock. The Company had 23,294,024 and 19,642,401 shares of common stock issued and outstanding as of December 31, 2021 and 2020, respectively. In addition, the Company is authorized to issue 20,000,000 shares of preferred stock but no shares of preferred stock have been issued.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Common Stock Transactions</w:t>
      </w:r>
    </w:p>
    <w:p>
      <w:pPr>
        <w:spacing w:after="0" w:line="225" w:lineRule="exact"/>
        <w:rPr>
          <w:sz w:val="20"/>
          <w:szCs w:val="20"/>
          <w:color w:val="auto"/>
        </w:rPr>
      </w:pPr>
    </w:p>
    <w:p>
      <w:pPr>
        <w:jc w:val="both"/>
        <w:ind w:left="660" w:hanging="328"/>
        <w:spacing w:after="0" w:line="31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August 26, 2021, the Company completed the Offering, pursuant to a Registration Statement on Form S-1, of 1,642,856 shares of its common stock at a public offering price of $7.00 per share, including 214,285 shares sold upon full exercise of the underwriter’s option to purchase additional shares, for gross proceeds of approximately $11.5 million, before deducting underwriting discounts and offering expenses.</w:t>
      </w:r>
    </w:p>
    <w:p>
      <w:pPr>
        <w:spacing w:after="0" w:line="1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2021, convertible notes totaling approximately $6.2 million and a portion of their accrued interest at the option of the noteholders were converted into approximately 1,171,000 shares of common stock of the Company.</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2021, the Company issued approximately 756,000 shares of common stock pursuant to cashless exercises of common stock purchase warrants and options, and approximately 81,000 shares of common stock pursuant to exercises of common stock purchase warrants and options for cash.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2020 Common Stock Transactions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year ended December 31, 2020, the Company granted 266,667 shares of Restricted Common Stock of which 100,000 shares were granted to two new members of our Board of Directors in connection with their compensation for service as Board Members and 166,667 to an employee in connection with his employment compensation. The shares were valued at the fair market value at the date of grant. The restricted stock vests upon the achievement of certain performance criteria.</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year ended December 31, 2020, the Company issued approximately 3,540 shares of common stock to a third-party provider of services in lieu of cash compensation.</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June 2020, the Company entered into Subscription Agreements with two accredited investors (the “June 2020 Accredited Investors”) pursuant to which the June 2020 Accredited Investors agreed to purchase 114,719 shares of common stock for $200,000.</w:t>
      </w:r>
    </w:p>
    <w:p>
      <w:pPr>
        <w:spacing w:after="0" w:line="14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June 30, 2020, Company entered into and consummated a private transaction pursuant to which a portion of the Company’s $3.00 Warrants were exercised for cash at an exercise price of $2.10 per share. In addition, the holders that exercised the $3.00 Warrants received a $0.15 Warrant for every four $3.00 Warrants exercised. As a result, the Company issued 333,611 shares of common stock and 83,403 $4.50 Warrants in consideration of $700,583.</w:t>
      </w:r>
    </w:p>
    <w:p>
      <w:pPr>
        <w:spacing w:after="0" w:line="18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June 30, 2020, Company entered into and consummated a private transaction pursuant to which a portion of the Company’s $1.50 Warrants were exercised for cash. In addition, the holders that exercised the $1.50 Warrants received a $4.50 Warrant for every two $1.50 Warrants exercised. As a result, the Company issued 154,400 shares of common stock and 77,200 $4.50 Warrants, in consideration of $231,600. Separately, certain holders of the $1.50 Warrants to acquire 59,000 shares of common stock exercised on a cashless basis resulting in the issuance of 18,689 shares of common stock.</w:t>
      </w:r>
    </w:p>
    <w:p>
      <w:pPr>
        <w:spacing w:after="0" w:line="187"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June 30, 2020, Company entered into and consummated a private transaction pursuant to which a portion of the Company’s $1.80 Warrants were exercised. In addition, the holders that exercised the $1.80 Warrants also received $4.50 Warrant for every two $1.80 Warrants exercised. As a result, the Company issued 176,000 shares of common stock and 88,000 $4.50 Warrants in consideration of $316,800.</w:t>
      </w:r>
    </w:p>
    <w:p>
      <w:pPr>
        <w:spacing w:after="0" w:line="148" w:lineRule="exact"/>
        <w:rPr>
          <w:rFonts w:ascii="Arial" w:cs="Arial" w:eastAsia="Arial" w:hAnsi="Arial"/>
          <w:sz w:val="16"/>
          <w:szCs w:val="16"/>
          <w:color w:val="auto"/>
        </w:rPr>
      </w:pPr>
    </w:p>
    <w:p>
      <w:pPr>
        <w:jc w:val="both"/>
        <w:ind w:left="660" w:hanging="328"/>
        <w:spacing w:after="0" w:line="25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October 30, 2020 and on November 6, 2020, Ipsidy Inc. entered into Securities Purchase Agreements with several accredited investors (the “October 2020 Accredited Investors”) pursuant to which the October 2020 Accredited Investors agreed to purchase approximately 1,748,000 shares of the Company’s common stock together with Warrants to acquire approximately 874,000 shares of common stock for a term of five years at an exercise price of $4.50 per share for an aggregate purchase price of approximately $5.24 million. In connection with this private offering, the Company paid a registered broker-dealer, a cash fee of approximately $367,000 and issue the broker-dealer a common stock purchase warrant to acquire approximately 105,000 shares of common stock of the Company exercisable for a term of five years at an exercise price of $4.50 per share.</w:t>
      </w:r>
    </w:p>
    <w:p>
      <w:pPr>
        <w:spacing w:after="0" w:line="19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2020, the Company issued approximately 56,000 shares of common stock pursuant to cashless exercises of common stock purchase warrants and options, other than the June 2020 warrant exercises.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left="660" w:hanging="328"/>
        <w:spacing w:after="0" w:line="279"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During 2021, under the terms of the Underwriting Agreement in connection with the Offering, the Company issued underwriters warrants (the “Representative’s Warrants”) to purchase an aggregate of 64,286 shares of common stock (4.5% of the total shares issued in the Offering). The Representative’s Warrants are exercisable at a per share price of $8.75 (equal to 125% of the Offering price of the Company’s common stock). The Representative’s Warrants are exercisable for a term of four and one half years beginning on February 23, 2022.</w:t>
      </w:r>
    </w:p>
    <w:p>
      <w:pPr>
        <w:spacing w:after="0" w:line="171" w:lineRule="exact"/>
        <w:rPr>
          <w:rFonts w:ascii="Arial" w:cs="Arial" w:eastAsia="Arial" w:hAnsi="Arial"/>
          <w:sz w:val="17"/>
          <w:szCs w:val="17"/>
          <w:color w:val="auto"/>
        </w:rPr>
      </w:pPr>
    </w:p>
    <w:p>
      <w:pPr>
        <w:jc w:val="both"/>
        <w:ind w:left="660" w:right="20" w:hanging="328"/>
        <w:spacing w:after="0" w:line="22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year ended December 31, 2020, the Company issued approximately 980,000 common stock warrants in connection with its sale of common stock in the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 of 2020 for a term of five years at an exercise price $4.50 per share. Of the approximate 980,000 shares, approximately 105,000 shares were issued to a broker-dealer in connection with the sale of common stock.</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0" w:name="page91"/>
    <w:bookmarkEnd w:id="90"/>
    <w:p>
      <w:pPr>
        <w:jc w:val="both"/>
        <w:ind w:left="660" w:hanging="328"/>
        <w:spacing w:after="0" w:line="286"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During the year ended December 31, 2020, the Company issued approximately 250,000 common stock warrants for a term of five years at an average exercise price of $4.50 cents in connection with cash exercises of previously issued warrants. The Company recorded a charge of approximately $367,000 in connection with an inducement to the warrant holders who exercised their outstanding warrants.</w:t>
      </w:r>
    </w:p>
    <w:p>
      <w:pPr>
        <w:spacing w:after="0" w:line="16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See Common Stock Transaction above for a further description of the warrant issuances.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warrant activity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41"/>
        </w:trPr>
        <w:tc>
          <w:tcPr>
            <w:tcW w:w="732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on January 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1,581,774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9"/>
              </w:rPr>
              <w:t>3.30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1,227,389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4.50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 Years</w:t>
            </w:r>
          </w:p>
        </w:tc>
      </w:tr>
      <w:tr>
        <w:trPr>
          <w:trHeight w:val="24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Exercised/Cancelled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(985,896)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2.70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Outstanding at December 31, 2020</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1,823,267</w:t>
            </w: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gridSpan w:val="2"/>
          </w:tcPr>
          <w:p>
            <w:pPr>
              <w:ind w:left="660"/>
              <w:spacing w:after="0" w:line="203" w:lineRule="exact"/>
              <w:rPr>
                <w:sz w:val="20"/>
                <w:szCs w:val="20"/>
                <w:color w:val="auto"/>
              </w:rPr>
            </w:pPr>
            <w:r>
              <w:rPr>
                <w:rFonts w:ascii="Arial" w:cs="Arial" w:eastAsia="Arial" w:hAnsi="Arial"/>
                <w:sz w:val="18"/>
                <w:szCs w:val="18"/>
                <w:color w:val="auto"/>
              </w:rPr>
              <w:t>4.20</w:t>
            </w:r>
          </w:p>
        </w:tc>
        <w:tc>
          <w:tcPr>
            <w:tcW w:w="1220" w:type="dxa"/>
            <w:vAlign w:val="bottom"/>
            <w:tcBorders>
              <w:top w:val="single" w:sz="8" w:color="CCEE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3.4 Years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64,286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8.75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 Years</w:t>
            </w: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Exercised/Cancelled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(483,943)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3.22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1,403,610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4.61</w:t>
            </w:r>
          </w:p>
        </w:tc>
        <w:tc>
          <w:tcPr>
            <w:tcW w:w="12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 Years</w:t>
            </w: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adopted the Ipsidy Inc. 2014 Equity Compensation Plan, 2017 Incentive Stock Plan, and the 2021 Equity Incentive Plan. The Company has no other stock options plans in effect as of December 31, 2021.</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21, 2014, our Board of Directors authorized the Ipsidy Inc. Equity Compensation Plan (the “2014 Plan”). On September 28, 2017, the shareholders of the Company approved the 2017 Incentive Stock Plan (“2017 Incentive Plan”) and on December 29, 2021, the shareholders of the Company approved the 2021 Equity Incentive Plan. (“2021 Plan”). The following is a summary of principal features of the 2014 Plan, the 2017 Incentive Plan, and the 2021 Plan. The summaries, however, does not purport to be a complete description of all the provisions of each plan.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terms of Awards granted under the plans shall be contained in an agreement between the participant and the Company and such terms shall be determined by the Compensation Committee consistent with the provisions of the applicable plan. The terms of Awards may or not require a performance condition in order to vest the equity comprised in the relevant Award. The terms of each Option granted shall be contained in a stock option agreement between the optionee and the Company and such terms shall be determined by the Compensation Committee consistent with the provisions of the applicable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also granted equity awards that have not been approved by security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Stock Option Issuances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granted Mr. Thimot and Mr. Smith stock options to acquire 1,200,000 and 600,000 shares of common stock respectively upon their employment of which half of the options vest monthly over four years and the balance vest upon the achievement of certain market capitalization thresholds or performance conditions.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1" w:name="page92"/>
    <w:bookmarkEnd w:id="91"/>
    <w:p>
      <w:pPr>
        <w:jc w:val="both"/>
        <w:ind w:left="660" w:hanging="328"/>
        <w:spacing w:after="0" w:line="286"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Company granted each of Mr. Kumnick and Mr. Broenniman stock options to acquire 583,333 shares of common stock that vest upon the achievement of certain market capitalization thresholds or performance conditions. In November 2021 Mr. Kumnick and Mr. Broenniman agreed to cancel 300,000 and 200,000, respectively, of these stock options in consideration of removing certain service conditions.</w:t>
      </w:r>
    </w:p>
    <w:p>
      <w:pPr>
        <w:spacing w:after="0" w:line="165" w:lineRule="exact"/>
        <w:rPr>
          <w:rFonts w:ascii="Arial" w:cs="Arial" w:eastAsia="Arial" w:hAnsi="Arial"/>
          <w:sz w:val="17"/>
          <w:szCs w:val="17"/>
          <w:color w:val="auto"/>
        </w:rPr>
      </w:pPr>
    </w:p>
    <w:p>
      <w:pPr>
        <w:ind w:left="660" w:hanging="328"/>
        <w:spacing w:after="0" w:line="25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granted each of the four new Directors appointed June 2021 (“June Directors”) stock options to acquire 62,500 shares of common stock or a total of 250,000 that vest one third a year after each Annual Meeting. Additionally, the Company added another Director in November 2021 and granted stock options to acquire 29,173 shares of common stock that vest one third a year after each Annual Meeting beginning in 2022. One of the June Directors did not stand for reelection to the Board of Directors in December 2021 and forfeited 41,667 stock options. In December 2021, the Company granted additional options to acquire 10,238 shares of common stock each to five of the non-employee Directors, by way of annual compensation under the Company’s compensation policy for non-employee directors and which vests monthly over a one-year-period.</w:t>
      </w:r>
    </w:p>
    <w:p>
      <w:pPr>
        <w:spacing w:after="0" w:line="194"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granted the previously serving Directors stock options to acquire 93,470 common shares that are vested as the services were rendered. The stock options were granted in lieu of other forms of Board of Director Compensation and was used to eliminate previously accrued Board of Director compensation. The Company also granted to each of Mr. Selzer and Mr. Stern 22,388 stock options to acquire common shares for service in 2021 prior to their resignation as Directors. Upon their resignation as directors in June 2021, 6,997 stock options to each of them were vested and the balance was cancelled.</w:t>
      </w:r>
    </w:p>
    <w:p>
      <w:pPr>
        <w:spacing w:after="0" w:line="18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Additionally, the Company granted options to acquire common stock to employees. The options for the majority vest annually over a three-year period, 100,000 vest equally over a four-year period, and the balance of 100,000 vest upon the achievement of certain market capitalization thresholds or performance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Stock Option Issuances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the year ended December 31, 2020, the Company granted Mr. Kumnick and Mr. Broenniman granted options to acquire 1,111,111 and 555,555,respectively, shares of common stock upon their employment. The options granted to Mr. Kumnick and Mr. Broenniman vest 20% at date of the grant with the balance vesting upon achieving certain performance thresholds. The performance thresholds have been met. Additionally, the Company granted options to acquire approximately 422,000 shares of common stock to employees and one service provider in connection with service. The options have a term of ten years with vesting ranging from immediate to a three-year period. All options granted approximated fair value.</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determined the grant date fair value of the options granted during the years ended December 31, 2021 and 2020 using the Black Scholes Method and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Pr>
          <w:p>
            <w:pPr>
              <w:spacing w:after="0"/>
              <w:rPr>
                <w:sz w:val="20"/>
                <w:szCs w:val="20"/>
                <w:color w:val="auto"/>
              </w:rPr>
            </w:pPr>
          </w:p>
        </w:tc>
        <w:tc>
          <w:tcPr>
            <w:tcW w:w="6480" w:type="dxa"/>
            <w:vAlign w:val="bottom"/>
            <w:gridSpan w:val="2"/>
          </w:tcPr>
          <w:p>
            <w:pPr>
              <w:jc w:val="center"/>
              <w:ind w:left="51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16"/>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70%</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67% to 75%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Expected Term</w:t>
            </w:r>
          </w:p>
        </w:tc>
        <w:tc>
          <w:tcPr>
            <w:tcW w:w="526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1.0 – 5.0 Years</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2.5 – 5.9 Years</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5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0.16% to 1.27%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0.33 to 0.5%</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Dividend Rate</w:t>
            </w:r>
          </w:p>
        </w:tc>
        <w:tc>
          <w:tcPr>
            <w:tcW w:w="6480" w:type="dxa"/>
            <w:vAlign w:val="bottom"/>
            <w:gridSpan w:val="2"/>
          </w:tcPr>
          <w:p>
            <w:pPr>
              <w:jc w:val="center"/>
              <w:ind w:left="5170"/>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0.00%</w:t>
            </w:r>
          </w:p>
        </w:tc>
      </w:tr>
      <w:tr>
        <w:trPr>
          <w:trHeight w:val="641"/>
        </w:trPr>
        <w:tc>
          <w:tcPr>
            <w:tcW w:w="34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3"/>
          </w:tcPr>
          <w:p>
            <w:pPr>
              <w:ind w:left="2040"/>
              <w:spacing w:after="0"/>
              <w:rPr>
                <w:sz w:val="20"/>
                <w:szCs w:val="20"/>
                <w:color w:val="auto"/>
              </w:rPr>
            </w:pPr>
            <w:r>
              <w:rPr>
                <w:rFonts w:ascii="Arial" w:cs="Arial" w:eastAsia="Arial" w:hAnsi="Arial"/>
                <w:sz w:val="18"/>
                <w:szCs w:val="18"/>
                <w:color w:val="auto"/>
              </w:rPr>
              <w:t>F-26</w:t>
            </w: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Activity related to stock options for the years ended December 31, 2021, and 2020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598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Term (Yrs.)</w:t>
            </w: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3,646,667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2,089,135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Forfeited/cancelled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(23,333)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6.12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5,645,802</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13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8,283,639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598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4,583,609</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7.56</w:t>
            </w:r>
          </w:p>
        </w:tc>
        <w:tc>
          <w:tcPr>
            <w:tcW w:w="13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10.0</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(599,661)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3,485,482</w:t>
            </w:r>
          </w:p>
        </w:tc>
        <w:tc>
          <w:tcPr>
            <w:tcW w:w="80" w:type="dxa"/>
            <w:vAlign w:val="bottom"/>
            <w:shd w:val="clear" w:color="auto" w:fill="CCEEFF"/>
          </w:tcPr>
          <w:p>
            <w:pPr>
              <w:spacing w:after="0"/>
              <w:rPr>
                <w:sz w:val="18"/>
                <w:szCs w:val="18"/>
                <w:color w:val="auto"/>
              </w:rPr>
            </w:pPr>
          </w:p>
        </w:tc>
      </w:tr>
      <w:tr>
        <w:trPr>
          <w:trHeight w:val="250"/>
        </w:trPr>
        <w:tc>
          <w:tcPr>
            <w:tcW w:w="5980" w:type="dxa"/>
            <w:vAlign w:val="bottom"/>
          </w:tcPr>
          <w:p>
            <w:pPr>
              <w:spacing w:after="0"/>
              <w:rPr>
                <w:sz w:val="20"/>
                <w:szCs w:val="20"/>
                <w:color w:val="auto"/>
              </w:rPr>
            </w:pPr>
            <w:r>
              <w:rPr>
                <w:rFonts w:ascii="Arial" w:cs="Arial" w:eastAsia="Arial" w:hAnsi="Arial"/>
                <w:sz w:val="18"/>
                <w:szCs w:val="18"/>
                <w:color w:val="auto"/>
              </w:rPr>
              <w:t>Forfeited/cancelled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(718,756)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8,910,994</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w:t>
            </w:r>
          </w:p>
        </w:tc>
        <w:tc>
          <w:tcPr>
            <w:tcW w:w="13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67,488,214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Exercisable as of December 31, 2021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4,957,184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43,678,807</w:t>
            </w:r>
          </w:p>
        </w:tc>
        <w:tc>
          <w:tcPr>
            <w:tcW w:w="8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information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Outstanding</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Life (Yrs.)</w:t>
            </w: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Exercisable</w:t>
            </w:r>
          </w:p>
        </w:tc>
      </w:tr>
      <w:tr>
        <w:trPr>
          <w:trHeight w:val="216"/>
        </w:trPr>
        <w:tc>
          <w:tcPr>
            <w:tcW w:w="7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$.03 - $4.00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3,570,045</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4.6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3,278,268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$4.01</w:t>
            </w:r>
          </w:p>
        </w:tc>
        <w:tc>
          <w:tcPr>
            <w:tcW w:w="6760" w:type="dxa"/>
            <w:vAlign w:val="bottom"/>
          </w:tcPr>
          <w:p>
            <w:pPr>
              <w:ind w:left="20"/>
              <w:spacing w:after="0"/>
              <w:rPr>
                <w:sz w:val="20"/>
                <w:szCs w:val="20"/>
                <w:color w:val="auto"/>
              </w:rPr>
            </w:pPr>
            <w:r>
              <w:rPr>
                <w:rFonts w:ascii="Arial" w:cs="Arial" w:eastAsia="Arial" w:hAnsi="Arial"/>
                <w:sz w:val="18"/>
                <w:szCs w:val="18"/>
                <w:color w:val="auto"/>
              </w:rPr>
              <w:t>- $7.00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162,784</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4.5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162,784</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$7.01</w:t>
            </w: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3,466,135</w:t>
            </w: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9.3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449,464</w:t>
            </w:r>
          </w:p>
        </w:tc>
      </w:tr>
      <w:tr>
        <w:trPr>
          <w:trHeight w:val="229"/>
        </w:trPr>
        <w:tc>
          <w:tcPr>
            <w:tcW w:w="7200" w:type="dxa"/>
            <w:vAlign w:val="bottom"/>
            <w:gridSpan w:val="2"/>
          </w:tcPr>
          <w:p>
            <w:pPr>
              <w:spacing w:after="0"/>
              <w:rPr>
                <w:sz w:val="20"/>
                <w:szCs w:val="20"/>
                <w:color w:val="auto"/>
              </w:rPr>
            </w:pPr>
            <w:r>
              <w:rPr>
                <w:rFonts w:ascii="Arial" w:cs="Arial" w:eastAsia="Arial" w:hAnsi="Arial"/>
                <w:sz w:val="18"/>
                <w:szCs w:val="18"/>
                <w:color w:val="auto"/>
              </w:rPr>
              <w:t>$10.01 - $13.50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1,712,030</w:t>
            </w:r>
          </w:p>
        </w:tc>
        <w:tc>
          <w:tcPr>
            <w:tcW w:w="240" w:type="dxa"/>
            <w:vAlign w:val="bottom"/>
          </w:tcPr>
          <w:p>
            <w:pPr>
              <w:spacing w:after="0"/>
              <w:rPr>
                <w:sz w:val="19"/>
                <w:szCs w:val="19"/>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5.9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1,066,668</w:t>
            </w:r>
          </w:p>
        </w:tc>
      </w:tr>
      <w:tr>
        <w:trPr>
          <w:trHeight w:val="27"/>
        </w:trPr>
        <w:tc>
          <w:tcPr>
            <w:tcW w:w="440" w:type="dxa"/>
            <w:vAlign w:val="bottom"/>
            <w:shd w:val="clear" w:color="auto" w:fill="CCEEFF"/>
          </w:tcPr>
          <w:p>
            <w:pPr>
              <w:spacing w:after="0"/>
              <w:rPr>
                <w:sz w:val="2"/>
                <w:szCs w:val="2"/>
                <w:color w:val="auto"/>
              </w:rPr>
            </w:pPr>
          </w:p>
        </w:tc>
        <w:tc>
          <w:tcPr>
            <w:tcW w:w="6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40" w:type="dxa"/>
            <w:vAlign w:val="bottom"/>
            <w:shd w:val="clear" w:color="auto" w:fill="CCEEFF"/>
          </w:tcPr>
          <w:p>
            <w:pPr>
              <w:spacing w:after="0"/>
              <w:rPr>
                <w:sz w:val="21"/>
                <w:szCs w:val="21"/>
                <w:color w:val="auto"/>
              </w:rPr>
            </w:pPr>
          </w:p>
        </w:tc>
        <w:tc>
          <w:tcPr>
            <w:tcW w:w="6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8,910,994</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6.7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4,957,184</w:t>
            </w: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there was approximately $15,597,000 of unrecognized compensation costs related to employee stock options outstanding which will be recognized in 2022 through 2025. The company will recognize forfeitures as they occur. Stock compensation expense for the years ended December 31, 2021, and 2020 was approximately $5,475,000 and $823,000,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Company recorded approximately $1,228,000 in 2021 for restricted stock expense in which the Company met certain performance thresholds.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criteria for certain performance-based stock options awarded in 2021 have not been achieved as of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DIRECT FINANCING LEASE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September 2016, the Company and an entity in Colombia entered into a rental contract for the rental of kiosks to provide cash collection and fare services at transportation stations. The lease term commenced in May 2017 when the kiosks were installed and operational. The term of the rental contract is ten years at an approximate monthly rental of $11,900. The lessee has the option at the end of the lease term to purchase each unit for approximately $40. The term of the lease approximates the expected economic life of the kiosks. As such, the lease was accounted for as a direct financing lease.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3" w:name="page94"/>
    <w:bookmarkEnd w:id="93"/>
    <w:p>
      <w:pPr>
        <w:jc w:val="both"/>
        <w:spacing w:after="0" w:line="259" w:lineRule="auto"/>
        <w:rPr>
          <w:sz w:val="20"/>
          <w:szCs w:val="20"/>
          <w:color w:val="auto"/>
        </w:rPr>
      </w:pPr>
      <w:r>
        <w:rPr>
          <w:rFonts w:ascii="Arial" w:cs="Arial" w:eastAsia="Arial" w:hAnsi="Arial"/>
          <w:sz w:val="18"/>
          <w:szCs w:val="18"/>
          <w:color w:val="auto"/>
        </w:rPr>
        <w:t>The equipment under the capital lease is valued at approximately $748,000. At the inception of the lease term, the aggregate minimum future lease payments to be received was approximately $1,422,000 before executory cost. Unearned income recorded at the inception of this lease was approximately $474,000 and will be recorded over the term of the lease using the effective income rate method. Future minimum lease payments to be received under the lease for the next five years and thereafter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122,148</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122,148</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122,148</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122,148</w:t>
            </w:r>
          </w:p>
        </w:tc>
      </w:tr>
      <w:tr>
        <w:trPr>
          <w:trHeight w:val="249"/>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40,716</w:t>
            </w:r>
          </w:p>
        </w:tc>
      </w:tr>
      <w:tr>
        <w:trPr>
          <w:trHeight w:val="203"/>
        </w:trPr>
        <w:tc>
          <w:tcPr>
            <w:tcW w:w="99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529,308</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Deferred revenue</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(107,286)</w:t>
            </w:r>
          </w:p>
        </w:tc>
      </w:tr>
      <w:tr>
        <w:trPr>
          <w:trHeight w:val="236"/>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Reserve for doubtful accounts</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(422,022)</w:t>
            </w:r>
          </w:p>
        </w:tc>
      </w:tr>
      <w:tr>
        <w:trPr>
          <w:trHeight w:val="250"/>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investment in lease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2021, the lessee under the rental arrangement unilaterally removed the equipment from service and raised doubt with respect to the future payments under the lease. The Company intends to use commercially reasonable means to collect the obligation due under the direct financing lease. However, as a result, the Company has recorded a reserve for doubtful accounts for the entire balance remaining.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 OBLIGATION PAYABLE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entered into a lease in March 2017 for the rental of its printer for its secured plastic and credential card products business under an arrangement that is classified as a capital lease. The leased equipment is amortized on a straight line basis over its lease term including the last payment (61 payments) which would transfer ownership to the Company. Total amortization related to the lease equipment as of December 31, 2021 is $155,370. The following is a schedule showing the future minimum lease payments under capital lease by year and the present value of the minimum lease payments as of December 31, 2021. The interest rate related to the lease obligation is 12% and the maturity date is March 31, 2022. Future cash payments related to this capital lease for 2022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10,774</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10,774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100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002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10,562</w:t>
            </w: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in accordance with ASC 740 which prescribes a recognition threshold and measurement process for financial statement recognition and measurement of a tax position taken or expected to be taken in a tax return. ASC 740 also provides guidance on de-recognition, classification, interest and penalties, accounting in interim period, disclosure and transition. There were no unrecognized tax benefits as of December 31, 2021 and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The Company’s loss before income taxes from US and Foreign sources for the years ended December 31, 2021 and 2020,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(16,466,423)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(8,899,719)</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Outside United States</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(1,198,341)</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(2,362,516)</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(17,664,764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(11,262,235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significant differences between the U.S. Federal statutory tax rate and the Company’s effective tax rate for financial statement purposes for the years ended December 31,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State taxes</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3.94%</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4.35%</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deferred adjustments</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Change in tax rates</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-1.53%</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4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-21.39%</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-30.62%</w:t>
            </w:r>
          </w:p>
        </w:tc>
      </w:tr>
      <w:tr>
        <w:trPr>
          <w:trHeight w:val="237"/>
        </w:trPr>
        <w:tc>
          <w:tcPr>
            <w:tcW w:w="8600" w:type="dxa"/>
            <w:vAlign w:val="bottom"/>
            <w:tcBorders>
              <w:top w:val="single" w:sz="8" w:color="CCEEFF"/>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8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paid certain minimum taxes and other obligations during the years ended December 31, 2021, and 2020 of approximately $21,000 and $36,000,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tax effects of temporary differences that give rise to deferred tax assets and liabilities as of December 31, 2021 and 2020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12,702,731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8,472,849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Charitable contributions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1,267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5,922,550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6,359,279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Federal tax credits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303,556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Basis difference in intangible and fixed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(206,925)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64,848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Convertible note payable discount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205,557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186,159</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(18,891,154)</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(15,289,959)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2021, the Company has available federal net operating loss carry forward of $51.7 million and state net operating loss carry forwards of $36.4 million. Operating loss carryforwards of approximately $14.4 million will expire through 2037 and the balance of $37.3 million have an indefinite life. Additionally, the Company has income tax net operating loss carryforwards related to our international operations which have an indefinite life.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assess the recoverability of its net operating loss carry forwards and other deferred tax assets and records a valuation allowance to the extent recoverability does not satisfy the “more likely than not” recognition criteria. The Company continues to maintain the valuation allowance until sufficient positive evidence exists to support full or partial reversal. As of December 31, 2021, the Company had a valuation allowance of approximately $18.9 million against its deferred tax assets, net of deferred tax liabilities, due to insufficient positive evidence, primarily consisting of losses within the taxing jurisdictions that have tax attributes and deferred tax assets.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our business. While any litigation contains an element of uncertainty, we have no reason to believe that the outcome of such proceedings will have a material adverse effect on the financial condition or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Compensation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2021, the Company had employment agreements with members of the management team providing base salary amounts and provisions for stock compensation, cash bonuses and other benefits to be granted at the discretion of the Board of Directors. Additionally, certain employment agreements include provisions for base salary, bonus amounts upon meeting certain performance milestones, severance benefits for involuntary termination from a change in control or other events as defined in their respective agreements. Additionally, the vesting of certain awards could be accelerated upon a change in control (as defined) or by action of the Board of Directors. As of December 31, 2021, the Company has an agreement with a former member of the management team to pay a total of approximately $279,600 on a monthly basis over the next eleven months.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spacing w:after="0"/>
              <w:rPr>
                <w:sz w:val="20"/>
                <w:szCs w:val="20"/>
                <w:color w:val="auto"/>
              </w:rPr>
            </w:pPr>
            <w:r>
              <w:rPr>
                <w:rFonts w:ascii="Arial" w:cs="Arial" w:eastAsia="Arial" w:hAnsi="Arial"/>
                <w:sz w:val="18"/>
                <w:szCs w:val="18"/>
                <w:i w:val="1"/>
                <w:iCs w:val="1"/>
                <w:color w:val="auto"/>
              </w:rPr>
              <w:t>Leases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gridSpan w:val="2"/>
          </w:tcPr>
          <w:p>
            <w:pPr>
              <w:spacing w:after="0"/>
              <w:rPr>
                <w:sz w:val="20"/>
                <w:szCs w:val="20"/>
                <w:color w:val="auto"/>
              </w:rPr>
            </w:pPr>
            <w:r>
              <w:rPr>
                <w:rFonts w:ascii="Arial" w:cs="Arial" w:eastAsia="Arial" w:hAnsi="Arial"/>
                <w:sz w:val="18"/>
                <w:szCs w:val="18"/>
                <w:color w:val="auto"/>
              </w:rPr>
              <w:t>The lease related balances included in the Consolidated Balance Sheet as of December 31, 2021 were as follows: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gridSpan w:val="2"/>
          </w:tcPr>
          <w:p>
            <w:pPr>
              <w:spacing w:after="0"/>
              <w:rPr>
                <w:sz w:val="20"/>
                <w:szCs w:val="20"/>
                <w:color w:val="auto"/>
              </w:rPr>
            </w:pPr>
            <w:r>
              <w:rPr>
                <w:rFonts w:ascii="Arial" w:cs="Arial" w:eastAsia="Arial" w:hAnsi="Arial"/>
                <w:sz w:val="18"/>
                <w:szCs w:val="18"/>
                <w:i w:val="1"/>
                <w:iCs w:val="1"/>
                <w:color w:val="auto"/>
              </w:rPr>
              <w:t>Assets: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operating lease ROU assets - included in other current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74,654</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ROU assets – included in Other Assets</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lease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74,654</w:t>
            </w:r>
          </w:p>
        </w:tc>
        <w:tc>
          <w:tcPr>
            <w:tcW w:w="0" w:type="dxa"/>
            <w:vAlign w:val="bottom"/>
          </w:tcPr>
          <w:p>
            <w:pPr>
              <w:spacing w:after="0"/>
              <w:rPr>
                <w:sz w:val="1"/>
                <w:szCs w:val="1"/>
                <w:color w:val="auto"/>
              </w:rPr>
            </w:pP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Liabilities: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ROU liabilities – included in Accounts payable and accrued expenses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69,812</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portion of ROU liabilities – included in Other liabilities</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69,812</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weighted average lease term remining is less than one year and the weighted average discount rate is 13.55%.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gridSpan w:val="2"/>
          </w:tcPr>
          <w:p>
            <w:pPr>
              <w:spacing w:after="0"/>
              <w:rPr>
                <w:sz w:val="20"/>
                <w:szCs w:val="20"/>
                <w:color w:val="auto"/>
              </w:rPr>
            </w:pPr>
            <w:r>
              <w:rPr>
                <w:rFonts w:ascii="Arial" w:cs="Arial" w:eastAsia="Arial" w:hAnsi="Arial"/>
                <w:sz w:val="18"/>
                <w:szCs w:val="18"/>
                <w:color w:val="auto"/>
              </w:rPr>
              <w:t>The following table presents the maturity of the Company’s operating lease liabilities as of December 31, 2021:</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72,852</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operating lease payments</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72,852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69,812</w:t>
            </w: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ind w:left="5460"/>
              <w:spacing w:after="0"/>
              <w:rPr>
                <w:sz w:val="20"/>
                <w:szCs w:val="20"/>
                <w:color w:val="auto"/>
              </w:rPr>
            </w:pPr>
            <w:r>
              <w:rPr>
                <w:rFonts w:ascii="Arial" w:cs="Arial" w:eastAsia="Arial" w:hAnsi="Arial"/>
                <w:sz w:val="18"/>
                <w:szCs w:val="18"/>
                <w:color w:val="auto"/>
              </w:rPr>
              <w:t>F-30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0020" w:type="dxa"/>
            <w:vAlign w:val="bottom"/>
            <w:tcBorders>
              <w:bottom w:val="single" w:sz="8" w:color="auto"/>
            </w:tcBorders>
            <w:gridSpan w:val="2"/>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96" w:name="page97"/>
    <w:bookmarkEnd w:id="96"/>
    <w:p>
      <w:pPr>
        <w:jc w:val="both"/>
        <w:spacing w:after="0" w:line="263" w:lineRule="auto"/>
        <w:rPr>
          <w:sz w:val="20"/>
          <w:szCs w:val="20"/>
          <w:color w:val="auto"/>
        </w:rPr>
      </w:pPr>
      <w:r>
        <w:rPr>
          <w:rFonts w:ascii="Arial" w:cs="Arial" w:eastAsia="Arial" w:hAnsi="Arial"/>
          <w:sz w:val="18"/>
          <w:szCs w:val="18"/>
          <w:color w:val="auto"/>
        </w:rPr>
        <w:t>The Company rents office space in Long Beach, New York at a monthly cost of $2,500 (reduced from $5,000 in September 2020) in 2021 and 2020, respectively. The agreement is month to month and can be terminated on 30 days notice. The agreement is between the Company and Bridgeworks LLC, an entity principally owned by Mr. Beck, our former CEO and Director and his family.</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leased office space in Plantation, Florida for a monthly rental of approximately $2,700 plus a share of building expenses. The lease ended in August 2020. The Company leased office space in Alpharetta, Georgia for a monthly rental of approximately $3,800 per month. The lease ended March 31, 2020.</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leased an office location in Bogota, Colombia with a base rent of approximately $8,500 per month which was adjusted for inflation when compared to the original lease date in 2017. In April 2021, MultiPay entered into a six-month lease for a monthly rental of approximately $1,375 which terminated in September 2021. In October 2021, MultiPay entered into a one-year-lease for approximately $2,900 per month. The Company leased an apartment for a management team member for approximately $2,000 a month through April 2020. The Company did not renew the apartment lease after it ended in October 2020.</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leases space for its operation in South Africa. The current lease is through June 30, 2022, and the approximate monthly rent is $8,000.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plans to renew the lease of the current space or locate a similar facility.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included in general and administrative on the Consolidated Statements of Operations for the years ended December 31, 2021 and 2020 was approximately $187,000 and $284,000,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Obligation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entered into an agreement with a facial recognition software company for the grant of a perpetual license for commercial use (unless terminated for breach by either party). The initial payment under the license of $160,000 was paid in 2018 with two additional installments due on the first and second anniversary of the Effective Date of the arrangement amounting to $80,000 and $40,000, respectively. The Company has recorded the outstanding liability and it is included in “Other of Accounts Payable and Accrued Expenses”. See Note 4. The Company is in discussion with the provider with respect to functionality as well as the financial obligation.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segment and geographic information provided in the table below is being reported consistent with the Company’s method of internal reporting. Operating segments are defined as components of an enterprise for which separate financial information is available and which is evaluated regularly by the chief operating decision maker (“CODM”) in deciding how to allocate resources and in assessing performance. The CODM regularly reviews net revenue and gross profit by geographic regions. The Company products and services operate in two reportable segments: identity management and payment processing.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revenue, profit/loss and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CODM evaluates performance and allocates resources based on net revenue and operating results of the geographic region as the current operations of each geography are either primarily identity management or payment processing. Identity management revenue is generated in North America and Africa and payment processing is earned in South America which are the three geographic regions of the Company. We have included the lease income in payment processing are the leases are related to unattended ticking kiosks.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 lived assets are in North America, South America and Africa. Most assets are intangible assets recorded from the acquisition of MultiPay (South America) in 2015 and FIN Holdings (North America and Africa) in 2016 as well as the investment the Company has made in Acquired and Developed Software. Assets for North America, South America and Africa amounted to approximately $7.4 million (goodwill $4.2 million), $0.1 million and $0.2 million, respectively. North America is the only geographic region with a goodwill balance).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7" w:name="page98"/>
    <w:bookmarkEnd w:id="97"/>
    <w:p>
      <w:pPr>
        <w:spacing w:after="0" w:line="308" w:lineRule="auto"/>
        <w:rPr>
          <w:sz w:val="20"/>
          <w:szCs w:val="20"/>
          <w:color w:val="auto"/>
        </w:rPr>
      </w:pPr>
      <w:r>
        <w:rPr>
          <w:rFonts w:ascii="Arial" w:cs="Arial" w:eastAsia="Arial" w:hAnsi="Arial"/>
          <w:sz w:val="17"/>
          <w:szCs w:val="17"/>
          <w:color w:val="auto"/>
        </w:rPr>
        <w:t>Analysis of revenue by segment and geographic region and reconciliation to consolidated revenue, gross profit, and net loss are provided below. The Company has included in the schedule below an allocation of corporate overhead based on management’s estimate of resource requirements.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2"/>
              </w:rPr>
              <w:t>Year Ended December 31,</w:t>
            </w:r>
          </w:p>
        </w:tc>
      </w:tr>
      <w:tr>
        <w:trPr>
          <w:trHeight w:val="236"/>
        </w:trPr>
        <w:tc>
          <w:tcPr>
            <w:tcW w:w="36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5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613,516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612,271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South America</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360,751</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349,374</w:t>
            </w:r>
          </w:p>
        </w:tc>
      </w:tr>
      <w:tr>
        <w:trPr>
          <w:trHeight w:val="249"/>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5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1,318,029</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1,178,999</w:t>
            </w:r>
          </w:p>
        </w:tc>
      </w:tr>
      <w:tr>
        <w:trPr>
          <w:trHeight w:val="210"/>
        </w:trPr>
        <w:tc>
          <w:tcPr>
            <w:tcW w:w="3640" w:type="dxa"/>
            <w:vAlign w:val="bottom"/>
            <w:tcBorders>
              <w:top w:val="single" w:sz="8" w:color="CCEEFF"/>
              <w:bottom w:val="single" w:sz="8" w:color="CCEEFF"/>
            </w:tcBorders>
          </w:tcPr>
          <w:p>
            <w:pPr>
              <w:spacing w:after="0"/>
              <w:rPr>
                <w:sz w:val="18"/>
                <w:szCs w:val="18"/>
                <w:color w:val="auto"/>
              </w:rPr>
            </w:pPr>
          </w:p>
        </w:tc>
        <w:tc>
          <w:tcPr>
            <w:tcW w:w="50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2,292,296</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2,140,644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Identity Management</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1,931,545</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1,791,270</w:t>
            </w:r>
          </w:p>
        </w:tc>
      </w:tr>
      <w:tr>
        <w:trPr>
          <w:trHeight w:val="249"/>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Payment Processing</w:t>
            </w:r>
          </w:p>
        </w:tc>
        <w:tc>
          <w:tcPr>
            <w:tcW w:w="5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360,751</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349,374</w:t>
            </w:r>
          </w:p>
        </w:tc>
      </w:tr>
      <w:tr>
        <w:trPr>
          <w:trHeight w:val="210"/>
        </w:trPr>
        <w:tc>
          <w:tcPr>
            <w:tcW w:w="3640" w:type="dxa"/>
            <w:vAlign w:val="bottom"/>
            <w:tcBorders>
              <w:top w:val="single" w:sz="8" w:color="CCEEFF"/>
              <w:bottom w:val="single" w:sz="8" w:color="CCEEFF"/>
            </w:tcBorders>
          </w:tcPr>
          <w:p>
            <w:pPr>
              <w:spacing w:after="0"/>
              <w:rPr>
                <w:sz w:val="18"/>
                <w:szCs w:val="18"/>
                <w:color w:val="auto"/>
              </w:rPr>
            </w:pPr>
          </w:p>
        </w:tc>
        <w:tc>
          <w:tcPr>
            <w:tcW w:w="50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2,292,296</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2,140,644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7"/>
              </w:rPr>
              <w:t>(14,808,426)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(5,498,577)</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South America</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(2,086,507)</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(1,702,141)</w:t>
            </w:r>
          </w:p>
        </w:tc>
      </w:tr>
      <w:tr>
        <w:trPr>
          <w:trHeight w:val="249"/>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5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(1,161,123)</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(1,809,047)</w:t>
            </w:r>
          </w:p>
        </w:tc>
      </w:tr>
      <w:tr>
        <w:trPr>
          <w:trHeight w:val="210"/>
        </w:trPr>
        <w:tc>
          <w:tcPr>
            <w:tcW w:w="3640" w:type="dxa"/>
            <w:vAlign w:val="bottom"/>
            <w:tcBorders>
              <w:top w:val="single" w:sz="8" w:color="CCEEFF"/>
              <w:bottom w:val="single" w:sz="8" w:color="CCEEFF"/>
            </w:tcBorders>
          </w:tcPr>
          <w:p>
            <w:pPr>
              <w:spacing w:after="0"/>
              <w:rPr>
                <w:sz w:val="18"/>
                <w:szCs w:val="18"/>
                <w:color w:val="auto"/>
              </w:rPr>
            </w:pPr>
          </w:p>
        </w:tc>
        <w:tc>
          <w:tcPr>
            <w:tcW w:w="50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(18,056,056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(9,009,765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364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Identity Management</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(16,894,933)</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(7,307,624)</w:t>
            </w:r>
          </w:p>
        </w:tc>
      </w:tr>
      <w:tr>
        <w:trPr>
          <w:trHeight w:val="25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Payment Processing</w:t>
            </w:r>
          </w:p>
        </w:tc>
        <w:tc>
          <w:tcPr>
            <w:tcW w:w="5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(1,161,123)</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(1,702,141)</w:t>
            </w:r>
          </w:p>
        </w:tc>
      </w:tr>
      <w:tr>
        <w:trPr>
          <w:trHeight w:val="210"/>
        </w:trPr>
        <w:tc>
          <w:tcPr>
            <w:tcW w:w="3640" w:type="dxa"/>
            <w:vAlign w:val="bottom"/>
            <w:tcBorders>
              <w:top w:val="single" w:sz="8" w:color="CCEEFF"/>
              <w:bottom w:val="single" w:sz="8" w:color="CCEEFF"/>
            </w:tcBorders>
          </w:tcPr>
          <w:p>
            <w:pPr>
              <w:spacing w:after="0"/>
              <w:rPr>
                <w:sz w:val="18"/>
                <w:szCs w:val="18"/>
                <w:color w:val="auto"/>
              </w:rPr>
            </w:pPr>
          </w:p>
        </w:tc>
        <w:tc>
          <w:tcPr>
            <w:tcW w:w="50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(18,056,056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(9,009,765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364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Interest Expense</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(585,636)</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(969,396)</w:t>
            </w:r>
          </w:p>
        </w:tc>
      </w:tr>
      <w:tr>
        <w:trPr>
          <w:trHeight w:val="237"/>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5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996,928</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(1,283,074)</w:t>
            </w:r>
          </w:p>
        </w:tc>
      </w:tr>
      <w:tr>
        <w:trPr>
          <w:trHeight w:val="216"/>
        </w:trPr>
        <w:tc>
          <w:tcPr>
            <w:tcW w:w="364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5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7"/>
              </w:rPr>
              <w:t>(17,644,764)</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(11,262,235)</w:t>
            </w:r>
          </w:p>
        </w:tc>
      </w:tr>
      <w:tr>
        <w:trPr>
          <w:trHeight w:val="216"/>
        </w:trPr>
        <w:tc>
          <w:tcPr>
            <w:tcW w:w="364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(21,024)</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(36,323)</w:t>
            </w:r>
          </w:p>
        </w:tc>
      </w:tr>
      <w:tr>
        <w:trPr>
          <w:trHeight w:val="216"/>
        </w:trPr>
        <w:tc>
          <w:tcPr>
            <w:tcW w:w="364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(17,665,788</w:t>
            </w:r>
            <w:r>
              <w:rPr>
                <w:rFonts w:ascii="Arial" w:cs="Arial" w:eastAsia="Arial" w:hAnsi="Arial"/>
                <w:sz w:val="29"/>
                <w:szCs w:val="29"/>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(11,298,558</w:t>
            </w:r>
            <w:r>
              <w:rPr>
                <w:rFonts w:ascii="Arial" w:cs="Arial" w:eastAsia="Arial" w:hAnsi="Arial"/>
                <w:sz w:val="29"/>
                <w:szCs w:val="29"/>
                <w:color w:val="auto"/>
                <w:vertAlign w:val="superscript"/>
              </w:rPr>
              <w:t>)</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6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2"/>
          </w:tcPr>
          <w:p>
            <w:pPr>
              <w:jc w:val="right"/>
              <w:ind w:right="3040"/>
              <w:spacing w:after="0"/>
              <w:rPr>
                <w:sz w:val="20"/>
                <w:szCs w:val="20"/>
                <w:color w:val="auto"/>
              </w:rPr>
            </w:pPr>
            <w:r>
              <w:rPr>
                <w:rFonts w:ascii="Arial" w:cs="Arial" w:eastAsia="Arial" w:hAnsi="Arial"/>
                <w:sz w:val="18"/>
                <w:szCs w:val="18"/>
                <w:color w:val="auto"/>
              </w:rPr>
              <w:t>F-32</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PURUSANT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 AS AMENDED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2021, Ipsidy Inc. (“we,” “our,” “us” or the “Company”) had one class of securities registered under Section 12 of the Securities Exchange Act of 1934, as amended (the “Exchange Act”): its common stock with a par value of $0.0001 per share (“Common Stock”).</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authorized capital stock consists of 1,020,000,000 shares, all with a par value of $0.0001 per share, of which 1,000,000,000 shares are designated as Common Stock and 20,000,000 shares are designated as preferred stock. The following descriptions of our capital stock and certain provisions of our certificate of incorporation and bylaws are summaries and are qualified by reference to the amended and restated certificate of incorporation and amended and restated bylaws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Except as required by law or matters relating solely to the terms of preferred stock, each outstanding share of Common Stock is entitled to one vote on all matters submitted to a vote of stockholders. Holders of shares of our Common Stock shall have no cumulative voting rights. Except in respect of matters relating to the election and removal of directors on our board of directors and as otherwise provided in our amended and restated certificate of incorporation or required by law, all matters to be voted on by our stockholders must be approved by a majority of the shares present in person or by proxy at the meeting and entitled to vote on the subject matter. In the case of election of directors, the affirmative vote of a plurality of the shares present in person or by proxy at the meeting and entitled to vote on the election of directors is required, and the nominees receiving the largest number of votes will be elected as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the liquidation, dissolution or winding up of our company,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 shares of our preferred stock are outstanding. Pursuant to the certificate of incorporation, we are authorized to issue up to 20,000,000 shares of preferred stock. Our certificate of incorporation authorizes our board,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Our board may authorize the issuance of preferred stock with voting or conversion rights that could adversely affect the voting power or other rights of the holders of our Common Stock. Additionally, the issuance of preferred stock may decrease the market price of our Common Stock. We currently have no plans to issue any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authorized but unissued shares of preferred stock and Common Stock, and our board of directors may authorize the issuance of one or more series of preferred stock without stockholder approval. These shares could be used by our board of directors to make it more difficult or to discourage an attempt to obtain control of us through a merger, tender offer, proxy contest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84"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certificate of incorporation bylaws provide that we are required to indemnify our directors and officers, in each case to the fullest extent permitted by Delaware law. Our bylaws also will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limitation of liability and indemnification provisions in our certificate of incorporation and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Insofar as indemnification for liabilities arising under the Securities Act of 1933, as amended, may be permitted to our directors, officers and controlling persons pursuant to the foregoing provisions, or otherwise, we have been advised that, in the opinion of the Securities and Exchange Commission, such indemnification is against public policy as expressed in the Securities Act of 1933, as amended, and is, therefore, unenforceable.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stock transfer agent for our securities is Computershare N.A. 150 Royall Street, Canton, MA 02021, and its telephone number is 877-373-6374.</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“AUID.” Our Common Stock began trading on Nasdaq on August 24, 2021. Our Common Stock was previously traded on the OTC Markets, OTCQB, under the symbol “AUID.”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ind w:left="10220"/>
        <w:spacing w:after="0"/>
        <w:rPr>
          <w:sz w:val="20"/>
          <w:szCs w:val="20"/>
          <w:color w:val="auto"/>
        </w:rPr>
      </w:pPr>
      <w:r>
        <w:rPr>
          <w:rFonts w:ascii="Arial" w:cs="Arial" w:eastAsia="Arial" w:hAnsi="Arial"/>
          <w:sz w:val="16"/>
          <w:szCs w:val="16"/>
          <w:b w:val="1"/>
          <w:bCs w:val="1"/>
          <w:color w:val="auto"/>
        </w:rPr>
        <w:t>Exhibit 10.14</w:t>
      </w:r>
    </w:p>
    <w:p>
      <w:pPr>
        <w:spacing w:after="0" w:line="248" w:lineRule="exact"/>
        <w:rPr>
          <w:sz w:val="20"/>
          <w:szCs w:val="20"/>
          <w:color w:val="auto"/>
        </w:rPr>
      </w:pPr>
    </w:p>
    <w:p>
      <w:pPr>
        <w:ind w:left="9340"/>
        <w:spacing w:after="0"/>
        <w:rPr>
          <w:sz w:val="20"/>
          <w:szCs w:val="20"/>
          <w:color w:val="auto"/>
        </w:rPr>
      </w:pPr>
      <w:r>
        <w:rPr>
          <w:rFonts w:ascii="Arial" w:cs="Arial" w:eastAsia="Arial" w:hAnsi="Arial"/>
          <w:sz w:val="18"/>
          <w:szCs w:val="18"/>
          <w:b w:val="1"/>
          <w:bCs w:val="1"/>
          <w:color w:val="auto"/>
        </w:rPr>
        <w:t>Thomas L.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88745" cy="7886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1388745" cy="788670"/>
                    </a:xfrm>
                    <a:prstGeom prst="rect">
                      <a:avLst/>
                    </a:prstGeom>
                    <a:noFill/>
                  </pic:spPr>
                </pic:pic>
              </a:graphicData>
            </a:graphic>
          </wp:anchor>
        </w:drawing>
      </w:r>
    </w:p>
    <w:p>
      <w:pPr>
        <w:spacing w:after="0" w:line="182" w:lineRule="exact"/>
        <w:rPr>
          <w:sz w:val="20"/>
          <w:szCs w:val="20"/>
          <w:color w:val="auto"/>
        </w:rPr>
      </w:pPr>
    </w:p>
    <w:p>
      <w:pPr>
        <w:ind w:left="934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tomthimot@authid.ai</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November 19, 2021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E-MAIL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thomasszoke@authid.ai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Thomas R. Szoke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921 Parkside Pointe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Apopke, FL 32712</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Terms of Separation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Tom:</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This letter confirms the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between you and Ipsidy Inc. (the “</w:t>
      </w:r>
      <w:r>
        <w:rPr>
          <w:rFonts w:ascii="Arial" w:cs="Arial" w:eastAsia="Arial" w:hAnsi="Arial"/>
          <w:sz w:val="18"/>
          <w:szCs w:val="18"/>
          <w:b w:val="1"/>
          <w:bCs w:val="1"/>
          <w:color w:val="auto"/>
        </w:rPr>
        <w:t>Company</w:t>
      </w:r>
      <w:r>
        <w:rPr>
          <w:rFonts w:ascii="Arial" w:cs="Arial" w:eastAsia="Arial" w:hAnsi="Arial"/>
          <w:sz w:val="18"/>
          <w:szCs w:val="18"/>
          <w:color w:val="auto"/>
        </w:rPr>
        <w:t>”), concerning your separation from the Company. You and the Company shall collectively be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62"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1"/>
          <w:szCs w:val="11"/>
          <w:b w:val="1"/>
          <w:bCs w:val="1"/>
          <w:color w:val="auto"/>
        </w:rPr>
        <w:t>HEREAS</w:t>
      </w:r>
      <w:r>
        <w:rPr>
          <w:rFonts w:ascii="Arial" w:cs="Arial" w:eastAsia="Arial" w:hAnsi="Arial"/>
          <w:sz w:val="16"/>
          <w:szCs w:val="16"/>
          <w:color w:val="auto"/>
        </w:rPr>
        <w:t>, the Parties entered into that certain Employment Offer Letter dated January 31, 2017 (the “</w:t>
      </w:r>
      <w:r>
        <w:rPr>
          <w:rFonts w:ascii="Arial" w:cs="Arial" w:eastAsia="Arial" w:hAnsi="Arial"/>
          <w:sz w:val="16"/>
          <w:szCs w:val="16"/>
          <w:b w:val="1"/>
          <w:bCs w:val="1"/>
          <w:color w:val="auto"/>
        </w:rPr>
        <w:t>Offer Letter</w:t>
      </w:r>
      <w:r>
        <w:rPr>
          <w:rFonts w:ascii="Arial" w:cs="Arial" w:eastAsia="Arial" w:hAnsi="Arial"/>
          <w:sz w:val="16"/>
          <w:szCs w:val="16"/>
          <w:color w:val="auto"/>
        </w:rPr>
        <w:t>”) and that certain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Retention Agreement dated January 31, 2017 (the “</w:t>
      </w:r>
      <w:r>
        <w:rPr>
          <w:rFonts w:ascii="Arial" w:cs="Arial" w:eastAsia="Arial" w:hAnsi="Arial"/>
          <w:sz w:val="16"/>
          <w:szCs w:val="16"/>
          <w:b w:val="1"/>
          <w:bCs w:val="1"/>
          <w:color w:val="auto"/>
        </w:rPr>
        <w:t>Retention Agreement</w:t>
      </w:r>
      <w:r>
        <w:rPr>
          <w:rFonts w:ascii="Arial" w:cs="Arial" w:eastAsia="Arial" w:hAnsi="Arial"/>
          <w:sz w:val="16"/>
          <w:szCs w:val="16"/>
          <w:color w:val="auto"/>
        </w:rPr>
        <w:t>”), through which you were employed by the Company as an Executive Officer;</w:t>
      </w:r>
    </w:p>
    <w:p>
      <w:pPr>
        <w:spacing w:after="0" w:line="116" w:lineRule="exact"/>
        <w:rPr>
          <w:sz w:val="20"/>
          <w:szCs w:val="20"/>
          <w:color w:val="auto"/>
        </w:rPr>
      </w:pPr>
    </w:p>
    <w:p>
      <w:pPr>
        <w:ind w:right="20" w:firstLine="648"/>
        <w:spacing w:after="0" w:line="312"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color w:val="auto"/>
        </w:rPr>
        <w:t>, you have indicated your intent to retire from the Company as of December 1, 2021 and the Parties have agreed to the terms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separation from the Company as an Executive Officer as more fully set forth below and your continuing as a consultant to the Company;</w:t>
      </w:r>
    </w:p>
    <w:p>
      <w:pPr>
        <w:spacing w:after="0" w:line="140"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color w:val="auto"/>
        </w:rPr>
        <w:t>, the Parties desire to fully and finally discharge, compromise, settle, and resolve any and all disputes, claims or controversies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including those arising from or related to the Offer Letter, the Retention Agreement and your separation from the Company;</w:t>
      </w:r>
    </w:p>
    <w:p>
      <w:pPr>
        <w:spacing w:after="0" w:line="14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the Parties expressly agree and acknowledge that the Retention Agreement and the separation benefits set forth therein do not apply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superseded and replaced in full by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Ipsidy Inc. ● 670 Long Beach Boulevard ● Long Beach, New York 11561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Thomas R. Szoke: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977265" cy="522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977265" cy="52260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19, 2021</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THEREFORE</w:t>
      </w:r>
      <w:r>
        <w:rPr>
          <w:rFonts w:ascii="Arial" w:cs="Arial" w:eastAsia="Arial" w:hAnsi="Arial"/>
          <w:sz w:val="18"/>
          <w:szCs w:val="18"/>
          <w:color w:val="auto"/>
        </w:rPr>
        <w:t>, the Parties enter into this Agreement under the following terms:</w:t>
      </w:r>
    </w:p>
    <w:p>
      <w:pPr>
        <w:spacing w:after="0" w:line="225" w:lineRule="exact"/>
        <w:rPr>
          <w:sz w:val="20"/>
          <w:szCs w:val="20"/>
          <w:color w:val="auto"/>
        </w:rPr>
      </w:pPr>
    </w:p>
    <w:p>
      <w:pPr>
        <w:ind w:left="840" w:hanging="184"/>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Separation Date</w:t>
      </w:r>
      <w:r>
        <w:rPr>
          <w:rFonts w:ascii="Arial" w:cs="Arial" w:eastAsia="Arial" w:hAnsi="Arial"/>
          <w:sz w:val="18"/>
          <w:szCs w:val="18"/>
          <w:color w:val="auto"/>
        </w:rPr>
        <w:t>: December 1, 2021 is your last day of employment with the Company (the “</w:t>
      </w:r>
      <w:r>
        <w:rPr>
          <w:rFonts w:ascii="Arial" w:cs="Arial" w:eastAsia="Arial" w:hAnsi="Arial"/>
          <w:sz w:val="18"/>
          <w:szCs w:val="18"/>
          <w:b w:val="1"/>
          <w:bCs w:val="1"/>
          <w:color w:val="auto"/>
        </w:rPr>
        <w:t>Separation Date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840" w:hanging="184"/>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Final Pay &amp;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firstLine="1224"/>
        <w:spacing w:after="0" w:line="277"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Company agrees to pay you your final pay through the Separation Date on November 30, 2021. All payments hereunder shall be made subject to all required State and Federal payroll deductions.</w:t>
      </w:r>
    </w:p>
    <w:p>
      <w:pPr>
        <w:spacing w:after="0" w:line="170" w:lineRule="exact"/>
        <w:rPr>
          <w:rFonts w:ascii="Arial" w:cs="Arial" w:eastAsia="Arial" w:hAnsi="Arial"/>
          <w:sz w:val="18"/>
          <w:szCs w:val="18"/>
          <w:color w:val="auto"/>
        </w:rPr>
      </w:pPr>
    </w:p>
    <w:p>
      <w:pPr>
        <w:jc w:val="both"/>
        <w:ind w:left="80" w:firstLine="1224"/>
        <w:spacing w:after="0" w:line="263" w:lineRule="auto"/>
        <w:tabs>
          <w:tab w:leader="none" w:pos="1553" w:val="left"/>
        </w:tabs>
        <w:numPr>
          <w:ilvl w:val="1"/>
          <w:numId w:val="46"/>
        </w:numPr>
        <w:rPr>
          <w:rFonts w:ascii="Arial" w:cs="Arial" w:eastAsia="Arial" w:hAnsi="Arial"/>
          <w:sz w:val="18"/>
          <w:szCs w:val="18"/>
          <w:color w:val="auto"/>
        </w:rPr>
      </w:pPr>
      <w:r>
        <w:rPr>
          <w:rFonts w:ascii="Arial" w:cs="Arial" w:eastAsia="Arial" w:hAnsi="Arial"/>
          <w:sz w:val="18"/>
          <w:szCs w:val="18"/>
          <w:color w:val="auto"/>
        </w:rPr>
        <w:t>Within ten (10) days following submission to the Company of proper expense reports by the Executive, the Company shall reimburse the Executive for all expenses incurred by the Executive, consistent with the Company’s expense reimbursement policy in effect prior to the incurring of each such expense, in connection with the business of the Company prior to the Termination Date.</w:t>
      </w:r>
    </w:p>
    <w:p>
      <w:pPr>
        <w:spacing w:after="0" w:line="399" w:lineRule="exact"/>
        <w:rPr>
          <w:rFonts w:ascii="Arial" w:cs="Arial" w:eastAsia="Arial" w:hAnsi="Arial"/>
          <w:sz w:val="18"/>
          <w:szCs w:val="18"/>
          <w:color w:val="auto"/>
        </w:rPr>
      </w:pPr>
    </w:p>
    <w:p>
      <w:pPr>
        <w:ind w:firstLine="656"/>
        <w:spacing w:after="0" w:line="277" w:lineRule="auto"/>
        <w:tabs>
          <w:tab w:leader="none" w:pos="84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Separation Benefits</w:t>
      </w:r>
      <w:r>
        <w:rPr>
          <w:rFonts w:ascii="Arial" w:cs="Arial" w:eastAsia="Arial" w:hAnsi="Arial"/>
          <w:sz w:val="18"/>
          <w:szCs w:val="18"/>
          <w:color w:val="auto"/>
        </w:rPr>
        <w:t>: In exchange for your agreement to the general mutual release and waiver of claims as set forth below and your other promises herein, and following the Effective Date of this Agreement (defined below), the Company agrees to provide you with:</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1567"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COBRA</w:t>
      </w:r>
      <w:r>
        <w:rPr>
          <w:rFonts w:ascii="Arial" w:cs="Arial" w:eastAsia="Arial" w:hAnsi="Arial"/>
          <w:sz w:val="18"/>
          <w:szCs w:val="18"/>
          <w:color w:val="auto"/>
        </w:rPr>
        <w:t>: As you are enrolled in the Company’s healthcare plans, coverage will end on the last day of the month during which separation occurs, namely December 31, 2021. Commencing January 1, 2022, you are eligible for continued medical coverage under the federal law known as COBRA. Coverage may be purchased for such period as may permitted by law. Upon your timely election to continue your existing health benefits under COBRA, and provided, however, that (i) you constitute a qualified beneficiary, as defined in Section 4980(B)(g)(1)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(ii) you elect continuation coverage within the time period prescribed pursuant to COBRA, and consistent with the terms of COBRA and the Company’s health insurance plan, you may continue coverage under the Company’s then existing health benefits plan. You will thereafter be responsible for the payment of premiums for any health insurance. Notwithstanding the foregoing at your election, you will make arrangements for your own health insurance</w:t>
      </w:r>
    </w:p>
    <w:p>
      <w:pPr>
        <w:spacing w:after="0" w:line="191" w:lineRule="exact"/>
        <w:rPr>
          <w:rFonts w:ascii="Arial" w:cs="Arial" w:eastAsia="Arial" w:hAnsi="Arial"/>
          <w:sz w:val="18"/>
          <w:szCs w:val="18"/>
          <w:color w:val="auto"/>
        </w:rPr>
      </w:pPr>
    </w:p>
    <w:p>
      <w:pPr>
        <w:jc w:val="both"/>
        <w:ind w:firstLine="1304"/>
        <w:spacing w:after="0" w:line="259" w:lineRule="auto"/>
        <w:tabs>
          <w:tab w:leader="none" w:pos="1564"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terms of that certain Indemnification Agreement, dated as of January 31, 2017, by and between you and the Company shall govern all claims related to actions arising prior to the Separation Date to the fullest extent permitted by law, and the Company shall continue to provide coverage under the Company’s Directors and Officers Insurance Policy for not less than twenty-four (24) months following the Separation Date under substantially the same terms in effect immediately prior to the Separation Date.</w:t>
      </w:r>
    </w:p>
    <w:p>
      <w:pPr>
        <w:spacing w:after="0" w:line="182" w:lineRule="exact"/>
        <w:rPr>
          <w:rFonts w:ascii="Arial" w:cs="Arial" w:eastAsia="Arial" w:hAnsi="Arial"/>
          <w:sz w:val="18"/>
          <w:szCs w:val="18"/>
          <w:color w:val="auto"/>
        </w:rPr>
      </w:pPr>
    </w:p>
    <w:p>
      <w:pPr>
        <w:jc w:val="both"/>
        <w:ind w:right="20" w:firstLine="1304"/>
        <w:spacing w:after="0" w:line="261"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Your outstanding options to purchase (the “</w:t>
      </w:r>
      <w:r>
        <w:rPr>
          <w:rFonts w:ascii="Arial" w:cs="Arial" w:eastAsia="Arial" w:hAnsi="Arial"/>
          <w:sz w:val="18"/>
          <w:szCs w:val="18"/>
          <w:b w:val="1"/>
          <w:bCs w:val="1"/>
          <w:color w:val="auto"/>
        </w:rPr>
        <w:t>Stock Options</w:t>
      </w:r>
      <w:r>
        <w:rPr>
          <w:rFonts w:ascii="Arial" w:cs="Arial" w:eastAsia="Arial" w:hAnsi="Arial"/>
          <w:sz w:val="18"/>
          <w:szCs w:val="18"/>
          <w:color w:val="auto"/>
        </w:rPr>
        <w:t>”) 33,334 shares of the Common Stock (“</w:t>
      </w:r>
      <w:r>
        <w:rPr>
          <w:rFonts w:ascii="Arial" w:cs="Arial" w:eastAsia="Arial" w:hAnsi="Arial"/>
          <w:sz w:val="18"/>
          <w:szCs w:val="18"/>
          <w:b w:val="1"/>
          <w:bCs w:val="1"/>
          <w:color w:val="auto"/>
        </w:rPr>
        <w:t>Shares</w:t>
      </w:r>
      <w:r>
        <w:rPr>
          <w:rFonts w:ascii="Arial" w:cs="Arial" w:eastAsia="Arial" w:hAnsi="Arial"/>
          <w:sz w:val="18"/>
          <w:szCs w:val="18"/>
          <w:color w:val="auto"/>
        </w:rPr>
        <w:t>”) granted to you May 5, 2021 shall become fully vested upon the Separation Date and shall remain outstanding and may be exercised for the remaining term applicable to such Stock Options. Your remaining Stock Options to purchase 333,333 shares are already fully vested and shall remain outstanding and may be exercised for the remaining term applicable to such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Ipsidy Inc. ● 670 Long Beach Boulevard ● Long Beach, New York 11561 ● Tel +1 516 274 8700 ● www.authid.ai</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Thomas R. Szoke: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977265" cy="522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977265" cy="52260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19, 2021</w:t>
      </w:r>
    </w:p>
    <w:p>
      <w:pPr>
        <w:spacing w:after="0" w:line="332" w:lineRule="exact"/>
        <w:rPr>
          <w:sz w:val="20"/>
          <w:szCs w:val="20"/>
          <w:color w:val="auto"/>
        </w:rPr>
      </w:pPr>
    </w:p>
    <w:p>
      <w:pPr>
        <w:jc w:val="both"/>
        <w:ind w:firstLine="656"/>
        <w:spacing w:after="0" w:line="255" w:lineRule="auto"/>
        <w:tabs>
          <w:tab w:leader="none" w:pos="82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Proprietary Information</w:t>
      </w:r>
      <w:r>
        <w:rPr>
          <w:rFonts w:ascii="Arial" w:cs="Arial" w:eastAsia="Arial" w:hAnsi="Arial"/>
          <w:sz w:val="18"/>
          <w:szCs w:val="18"/>
          <w:color w:val="auto"/>
        </w:rPr>
        <w:t>: You hereby acknowledge that you are bound by the Employee Invention Assignment and Confidentiality Agreement dated January 31, 2017 (the “</w:t>
      </w:r>
      <w:r>
        <w:rPr>
          <w:rFonts w:ascii="Arial" w:cs="Arial" w:eastAsia="Arial" w:hAnsi="Arial"/>
          <w:sz w:val="18"/>
          <w:szCs w:val="18"/>
          <w:b w:val="1"/>
          <w:bCs w:val="1"/>
          <w:color w:val="auto"/>
        </w:rPr>
        <w:t>Invention Assignment Agreement</w:t>
      </w:r>
      <w:r>
        <w:rPr>
          <w:rFonts w:ascii="Arial" w:cs="Arial" w:eastAsia="Arial" w:hAnsi="Arial"/>
          <w:sz w:val="18"/>
          <w:szCs w:val="18"/>
          <w:color w:val="auto"/>
        </w:rPr>
        <w:t>”) and that as a result of your employment with the Company you have had access to the Company’s Confidential Information (as defined in the Invention Assignment Agreement), that you will hold all Confidential Information in strictest confidence and that you will not make use of such Confidential Information on behalf of anyone, other than the Company. The Invention Assignment Agreement shall remain in full force and effect and shall continue to apply to any Confidential Information you may receive as a consultant of the Company.</w:t>
      </w:r>
    </w:p>
    <w:p>
      <w:pPr>
        <w:spacing w:after="0" w:line="192" w:lineRule="exact"/>
        <w:rPr>
          <w:rFonts w:ascii="Arial" w:cs="Arial" w:eastAsia="Arial" w:hAnsi="Arial"/>
          <w:sz w:val="18"/>
          <w:szCs w:val="18"/>
          <w:color w:val="auto"/>
        </w:rPr>
      </w:pPr>
    </w:p>
    <w:p>
      <w:pPr>
        <w:ind w:left="840" w:hanging="184"/>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Mutual General Release and Waiver of Claims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8" w:lineRule="auto"/>
        <w:tabs>
          <w:tab w:leader="none" w:pos="1559" w:val="left"/>
        </w:tabs>
        <w:numPr>
          <w:ilvl w:val="1"/>
          <w:numId w:val="47"/>
        </w:numPr>
        <w:rPr>
          <w:rFonts w:ascii="Arial" w:cs="Arial" w:eastAsia="Arial" w:hAnsi="Arial"/>
          <w:sz w:val="17"/>
          <w:szCs w:val="17"/>
          <w:color w:val="auto"/>
        </w:rPr>
      </w:pPr>
      <w:r>
        <w:rPr>
          <w:rFonts w:ascii="Arial" w:cs="Arial" w:eastAsia="Arial" w:hAnsi="Arial"/>
          <w:sz w:val="17"/>
          <w:szCs w:val="17"/>
          <w:color w:val="auto"/>
        </w:rPr>
        <w:t>To the fullest extent permitted by law, in consideration of the Parties’ mutual waivers and releases hereunder and the provision of severance and other benefits hereunder you for yourself and your agents, successors, heirs, executors, administrators and assigns, (collectively the “</w:t>
      </w:r>
      <w:r>
        <w:rPr>
          <w:rFonts w:ascii="Arial" w:cs="Arial" w:eastAsia="Arial" w:hAnsi="Arial"/>
          <w:sz w:val="17"/>
          <w:szCs w:val="17"/>
          <w:b w:val="1"/>
          <w:bCs w:val="1"/>
          <w:color w:val="auto"/>
        </w:rPr>
        <w:t>Szoke</w:t>
      </w:r>
      <w:r>
        <w:rPr>
          <w:rFonts w:ascii="Arial" w:cs="Arial" w:eastAsia="Arial" w:hAnsi="Arial"/>
          <w:sz w:val="17"/>
          <w:szCs w:val="17"/>
          <w:color w:val="auto"/>
        </w:rPr>
        <w:t xml:space="preserve"> </w:t>
      </w:r>
      <w:r>
        <w:rPr>
          <w:rFonts w:ascii="Arial" w:cs="Arial" w:eastAsia="Arial" w:hAnsi="Arial"/>
          <w:sz w:val="17"/>
          <w:szCs w:val="17"/>
          <w:b w:val="1"/>
          <w:bCs w:val="1"/>
          <w:color w:val="auto"/>
        </w:rPr>
        <w:t>Releasees</w:t>
      </w:r>
      <w:r>
        <w:rPr>
          <w:rFonts w:ascii="Arial" w:cs="Arial" w:eastAsia="Arial" w:hAnsi="Arial"/>
          <w:sz w:val="17"/>
          <w:szCs w:val="17"/>
          <w:color w:val="auto"/>
        </w:rPr>
        <w:t>”) hereby irrevocably and unconditionally forever release and discharge the Company and each of its current and former predecessors,</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affiliates, subsidiaries, benefit plans and assigns, and each of their current and former directors, officers, members, trustees, administrators, employees, representatives and agents (collectively, the “</w:t>
      </w:r>
      <w:r>
        <w:rPr>
          <w:rFonts w:ascii="Arial" w:cs="Arial" w:eastAsia="Arial" w:hAnsi="Arial"/>
          <w:sz w:val="17"/>
          <w:szCs w:val="17"/>
          <w:b w:val="1"/>
          <w:bCs w:val="1"/>
          <w:color w:val="auto"/>
        </w:rPr>
        <w:t>Company Releasees</w:t>
      </w:r>
      <w:r>
        <w:rPr>
          <w:rFonts w:ascii="Arial" w:cs="Arial" w:eastAsia="Arial" w:hAnsi="Arial"/>
          <w:sz w:val="17"/>
          <w:szCs w:val="17"/>
          <w:color w:val="auto"/>
        </w:rPr>
        <w:t>”) and the Company Releasees hereby irrevocably and unconditionally forever release and discharge the Szoke Releasees from any claims they may have against each other, up to and including the date of this Agreement, subject to sub-section 5(b) below. For the purpose of implementing a full and complete release and discharge of the Company Releasees and the Szoke Releasees respectively as set forth above, the Parties acknowledge and agree that this Release is intended to include in its effect, without limitation, all claims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 claims arising from or related to the Retention Agreement, your Offer Letter claims under Title VII of the 1964 Civil Rights Act, as amended, the New York Human Rights Law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 the Family and Medical Leave Act and any similar state laws, all applicable state and local wage and hour laws, and the Codes, Rules and Regulations of the State of New York and the State of Florida.</w:t>
      </w:r>
    </w:p>
    <w:p>
      <w:pPr>
        <w:spacing w:after="0" w:line="179" w:lineRule="exact"/>
        <w:rPr>
          <w:rFonts w:ascii="Arial" w:cs="Arial" w:eastAsia="Arial" w:hAnsi="Arial"/>
          <w:sz w:val="17"/>
          <w:szCs w:val="17"/>
          <w:color w:val="auto"/>
        </w:rPr>
      </w:pPr>
    </w:p>
    <w:p>
      <w:pPr>
        <w:jc w:val="both"/>
        <w:ind w:firstLine="1304"/>
        <w:spacing w:after="0" w:line="259" w:lineRule="auto"/>
        <w:tabs>
          <w:tab w:leader="none" w:pos="1555"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The Parties do not intend to release claims that may not be released as a matter of law, nor any claims for indemnity (including under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of this Agreement), any claims for enforcement of this Agreement, or any claims arising after the date hereof. To the fullest extent permitted by law, any dispute regarding the scope of this general release shall be determined by an arbitrator under the procedures set forth in the arbitration clause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Ipsidy Inc. ● 670 Long Beach Boulevard ● Long Beach, New York 11561 ● Tel +1 516 274 8700 ● www.authid.ai</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Thomas R. Szoke: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977265" cy="522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977265" cy="52260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19, 2021</w:t>
      </w:r>
    </w:p>
    <w:p>
      <w:pPr>
        <w:spacing w:after="0" w:line="332" w:lineRule="exact"/>
        <w:rPr>
          <w:sz w:val="20"/>
          <w:szCs w:val="20"/>
          <w:color w:val="auto"/>
        </w:rPr>
      </w:pPr>
    </w:p>
    <w:p>
      <w:pPr>
        <w:ind w:left="840" w:hanging="184"/>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4"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Disputes Subject to Arbitration</w:t>
      </w:r>
      <w:r>
        <w:rPr>
          <w:rFonts w:ascii="Arial" w:cs="Arial" w:eastAsia="Arial" w:hAnsi="Arial"/>
          <w:sz w:val="18"/>
          <w:szCs w:val="18"/>
          <w:color w:val="auto"/>
        </w:rPr>
        <w:t>. Any claim, dispute or controversy arising out of this Agreement (other than claims relating to misuse or misappropriation of the intellectual property of the Company), the interpretation, validity or enforceability of this Agreement or the alleged breach thereof shall be submitted by the parties to binding arbitration by a sole arbitrator under the rules of the American Arbitration Association; provided, however, that (a) the arbitrator shall have no authority to make any ruling or judgment that would confer any rights with respect to the trade secrets, confidential and proprietary information or other intellectual property of the Company upon you or any third party; and (b) this arbitration provision shall not preclude the Company from seeking legal and equitable relief from any court having jurisdiction with respect to any disputes or claims relating to or arising out of the misuse or misappropriation of the Company’s intellectual property. Judgment may be entered on the award of the arbitrator in any court having jurisdiction.</w:t>
      </w:r>
    </w:p>
    <w:p>
      <w:pPr>
        <w:spacing w:after="0" w:line="191" w:lineRule="exact"/>
        <w:rPr>
          <w:rFonts w:ascii="Arial" w:cs="Arial" w:eastAsia="Arial" w:hAnsi="Arial"/>
          <w:sz w:val="18"/>
          <w:szCs w:val="18"/>
          <w:color w:val="auto"/>
        </w:rPr>
      </w:pPr>
    </w:p>
    <w:p>
      <w:pPr>
        <w:ind w:firstLine="1304"/>
        <w:spacing w:after="0" w:line="308" w:lineRule="auto"/>
        <w:tabs>
          <w:tab w:leader="none" w:pos="1551"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Costs of Arbitration</w:t>
      </w:r>
      <w:r>
        <w:rPr>
          <w:rFonts w:ascii="Arial" w:cs="Arial" w:eastAsia="Arial" w:hAnsi="Arial"/>
          <w:sz w:val="17"/>
          <w:szCs w:val="17"/>
          <w:color w:val="auto"/>
        </w:rPr>
        <w:t>. All costs of arbitration, including your reasonable attorney’s fees, will be borne by the Company, except that if you initiate arbitration and the arbitrator finds your claims to be frivolous you shall be responsible for his own costs and attorneys fees.</w:t>
      </w:r>
    </w:p>
    <w:p>
      <w:pPr>
        <w:spacing w:after="0" w:line="146" w:lineRule="exact"/>
        <w:rPr>
          <w:rFonts w:ascii="Arial" w:cs="Arial" w:eastAsia="Arial" w:hAnsi="Arial"/>
          <w:sz w:val="17"/>
          <w:szCs w:val="17"/>
          <w:color w:val="auto"/>
        </w:rPr>
      </w:pPr>
    </w:p>
    <w:p>
      <w:pPr>
        <w:ind w:left="1540" w:hanging="236"/>
        <w:spacing w:after="0"/>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Site of Arbitration</w:t>
      </w:r>
      <w:r>
        <w:rPr>
          <w:rFonts w:ascii="Arial" w:cs="Arial" w:eastAsia="Arial" w:hAnsi="Arial"/>
          <w:sz w:val="18"/>
          <w:szCs w:val="18"/>
          <w:color w:val="auto"/>
        </w:rPr>
        <w:t>. The site of the arbitration proceeding shall be in New York City, New York.</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2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xml:space="preserve">: If any action is brought to enforce the terms of this Agreement that is not subject to mandatory arbitration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above, the prevailing party will be entitled to recover its reasonable attorneys’ fees, costs and expenses from the other party, in addition to any other relief to which the prevailing party may be entitled.</w:t>
      </w:r>
    </w:p>
    <w:p>
      <w:pPr>
        <w:spacing w:after="0" w:line="183" w:lineRule="exact"/>
        <w:rPr>
          <w:rFonts w:ascii="Arial" w:cs="Arial" w:eastAsia="Arial" w:hAnsi="Arial"/>
          <w:sz w:val="18"/>
          <w:szCs w:val="18"/>
          <w:color w:val="auto"/>
        </w:rPr>
      </w:pPr>
    </w:p>
    <w:p>
      <w:pPr>
        <w:ind w:firstLine="656"/>
        <w:spacing w:after="0" w:line="277" w:lineRule="auto"/>
        <w:tabs>
          <w:tab w:leader="none" w:pos="82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This Agreement is not and shall not be construed or contended by either party to be an admission or evidence of any wrongdoing or liability on the part of the Parties or the respective Releasees.</w:t>
      </w:r>
    </w:p>
    <w:p>
      <w:pPr>
        <w:spacing w:after="0" w:line="170" w:lineRule="exact"/>
        <w:rPr>
          <w:rFonts w:ascii="Arial" w:cs="Arial" w:eastAsia="Arial" w:hAnsi="Arial"/>
          <w:sz w:val="18"/>
          <w:szCs w:val="18"/>
          <w:color w:val="auto"/>
        </w:rPr>
      </w:pPr>
    </w:p>
    <w:p>
      <w:pPr>
        <w:jc w:val="both"/>
        <w:ind w:firstLine="656"/>
        <w:spacing w:after="0" w:line="272" w:lineRule="auto"/>
        <w:tabs>
          <w:tab w:leader="none" w:pos="841"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Complete Agreement</w:t>
      </w:r>
      <w:r>
        <w:rPr>
          <w:rFonts w:ascii="Arial" w:cs="Arial" w:eastAsia="Arial" w:hAnsi="Arial"/>
          <w:sz w:val="17"/>
          <w:szCs w:val="17"/>
          <w:color w:val="auto"/>
        </w:rPr>
        <w:t>: This Agreement constitutes the entire agreement between the Parties and their respective Releasees with respect to the subject matter hereof and supersedes all prior negotiations and agreements, whether written or oral, relating to such subject matter, specifically including but not limited to the Retention Agreement and the Offer Letter; provided, however, that this Agreement expressly does not supersede, modify, amend or affect the Indemnification Agreement and the Invention Agreement, (except to the extent expressly amended hereby).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Ipsidy Inc. ● 670 Long Beach Boulevard ● Long Beach, New York 11561 ● Tel +1 516 274 8700 ● www.authid.ai</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Thomas R. Szoke: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977265" cy="522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977265" cy="52260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19, 2021</w:t>
      </w:r>
    </w:p>
    <w:p>
      <w:pPr>
        <w:spacing w:after="0" w:line="332" w:lineRule="exact"/>
        <w:rPr>
          <w:sz w:val="20"/>
          <w:szCs w:val="20"/>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Voluntary Execution</w:t>
      </w:r>
      <w:r>
        <w:rPr>
          <w:rFonts w:ascii="Arial" w:cs="Arial" w:eastAsia="Arial" w:hAnsi="Arial"/>
          <w:sz w:val="18"/>
          <w:szCs w:val="18"/>
          <w:color w:val="auto"/>
        </w:rPr>
        <w:t>. You explicitly and unconditionally acknowledge and agree that you:</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 have carefully read and fully understand all of the terms of this Agreement;</w:t>
      </w:r>
    </w:p>
    <w:p>
      <w:pPr>
        <w:spacing w:after="0" w:line="225" w:lineRule="exact"/>
        <w:rPr>
          <w:sz w:val="20"/>
          <w:szCs w:val="20"/>
          <w:color w:val="auto"/>
        </w:rPr>
      </w:pPr>
    </w:p>
    <w:p>
      <w:pPr>
        <w:ind w:right="20" w:firstLine="656"/>
        <w:spacing w:after="0" w:line="277" w:lineRule="auto"/>
        <w:tabs>
          <w:tab w:leader="none" w:pos="9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understand that by signing this Agreement, you are waiving your rights to all claims described in Paragraph 5 of this Agreement, and that you are not waiving any rights arising after the date that this Agreement is signed;</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knowingly and voluntarily agree to all of the terms set forth in this Agreement;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knowingly and voluntarily intend to be legally bound by this Agreement;</w:t>
      </w:r>
    </w:p>
    <w:p>
      <w:pPr>
        <w:spacing w:after="0" w:line="225" w:lineRule="exact"/>
        <w:rPr>
          <w:rFonts w:ascii="Arial" w:cs="Arial" w:eastAsia="Arial" w:hAnsi="Arial"/>
          <w:sz w:val="18"/>
          <w:szCs w:val="18"/>
          <w:color w:val="auto"/>
        </w:rPr>
      </w:pPr>
    </w:p>
    <w:p>
      <w:pPr>
        <w:ind w:firstLine="65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are receiving consideration (i.e. equity and other benefits and resolution of a dispute without the risks and burdens of arbitration, a release) in addition to anything of value to which you are already entitled;</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are hereby advised in writing to consult with an attorney prior to signing this Agreement;</w:t>
      </w:r>
    </w:p>
    <w:p>
      <w:pPr>
        <w:spacing w:after="0" w:line="225" w:lineRule="exact"/>
        <w:rPr>
          <w:rFonts w:ascii="Arial" w:cs="Arial" w:eastAsia="Arial" w:hAnsi="Arial"/>
          <w:sz w:val="18"/>
          <w:szCs w:val="18"/>
          <w:color w:val="auto"/>
        </w:rPr>
      </w:pPr>
    </w:p>
    <w:p>
      <w:pPr>
        <w:ind w:right="20" w:firstLine="656"/>
        <w:spacing w:after="0" w:line="277" w:lineRule="auto"/>
        <w:tabs>
          <w:tab w:leader="none" w:pos="9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have been given 21 days within which to consider this Agreement before signing it, and understand that the running of that 21-day period will not be re-started by any changes to this Agreement;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are hereby advised that you may revoke this Agreement in writing within 7 days of signing it (by submitting such written revocation to first by e-mail and then by U.S. Mail Stuart Stoller, CFO, Ipsidy Inc., 670 Long Beach Boulevard, Long Beach, NY 11561 no later than the 8th day after signing), and that therefore, this Agreement shall not become effective or enforceable, nor shall any consideration be paid, until this 7-day revocation period has expired (the “Effective Date”); and</w:t>
      </w:r>
    </w:p>
    <w:p>
      <w:pPr>
        <w:spacing w:after="0" w:line="186"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have not been coerced, threatened, or intimidated in any way into signing this Agreement.</w:t>
      </w:r>
    </w:p>
    <w:p>
      <w:pPr>
        <w:spacing w:after="0" w:line="225" w:lineRule="exact"/>
        <w:rPr>
          <w:sz w:val="20"/>
          <w:szCs w:val="20"/>
          <w:color w:val="auto"/>
        </w:rPr>
      </w:pPr>
    </w:p>
    <w:p>
      <w:pPr>
        <w:jc w:val="both"/>
        <w:ind w:firstLine="656"/>
        <w:spacing w:after="0" w:line="263" w:lineRule="auto"/>
        <w:tabs>
          <w:tab w:leader="none" w:pos="91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Employment Verification</w:t>
      </w:r>
      <w:r>
        <w:rPr>
          <w:rFonts w:ascii="Arial" w:cs="Arial" w:eastAsia="Arial" w:hAnsi="Arial"/>
          <w:sz w:val="18"/>
          <w:szCs w:val="18"/>
          <w:color w:val="auto"/>
        </w:rPr>
        <w:t>: All inquiries regarding your employment with the Company should be directed to Stuart Stoller – CFO, Ipsidy Inc., 670 Long Beach Boulevard, Long Beach, NY 11651, or email: StuartStoller@authid.ai. Reference inquiries will be responded to only by verifying dates of employment and last position held.</w:t>
      </w:r>
    </w:p>
    <w:p>
      <w:pPr>
        <w:spacing w:after="0" w:line="183" w:lineRule="exact"/>
        <w:rPr>
          <w:rFonts w:ascii="Arial" w:cs="Arial" w:eastAsia="Arial" w:hAnsi="Arial"/>
          <w:sz w:val="18"/>
          <w:szCs w:val="18"/>
          <w:color w:val="auto"/>
        </w:rPr>
      </w:pPr>
    </w:p>
    <w:p>
      <w:pPr>
        <w:ind w:firstLine="656"/>
        <w:spacing w:after="0" w:line="308" w:lineRule="auto"/>
        <w:tabs>
          <w:tab w:leader="none" w:pos="918"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Future Address &amp; Email Changes</w:t>
      </w:r>
      <w:r>
        <w:rPr>
          <w:rFonts w:ascii="Arial" w:cs="Arial" w:eastAsia="Arial" w:hAnsi="Arial"/>
          <w:sz w:val="17"/>
          <w:szCs w:val="17"/>
          <w:color w:val="auto"/>
        </w:rPr>
        <w:t>: As it may be necessary for the Company to reach you in the future, Company requests that you notify the Company if you change your residence or email address. All such notifications should be sent to Stuart Stoller – CFO, Ipsidy Inc., as above.</w:t>
      </w:r>
    </w:p>
    <w:p>
      <w:pPr>
        <w:spacing w:after="0" w:line="146" w:lineRule="exact"/>
        <w:rPr>
          <w:rFonts w:ascii="Arial" w:cs="Arial" w:eastAsia="Arial" w:hAnsi="Arial"/>
          <w:sz w:val="17"/>
          <w:szCs w:val="17"/>
          <w:color w:val="auto"/>
        </w:rPr>
      </w:pPr>
    </w:p>
    <w:p>
      <w:pPr>
        <w:jc w:val="both"/>
        <w:ind w:firstLine="656"/>
        <w:spacing w:after="0" w:line="259" w:lineRule="auto"/>
        <w:tabs>
          <w:tab w:leader="none" w:pos="91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part of it is found to be invalid or unenforceable,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Ipsidy Inc. ● 670 Long Beach Boulevard ● Long Beach, New York 11561 ● Tel +1 516 274 8700 ● www.authid.ai</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Thomas R. Szoke: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977265" cy="522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977265" cy="52260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19, 2021</w:t>
      </w:r>
    </w:p>
    <w:p>
      <w:pPr>
        <w:spacing w:after="0" w:line="332" w:lineRule="exact"/>
        <w:rPr>
          <w:sz w:val="20"/>
          <w:szCs w:val="20"/>
          <w:color w:val="auto"/>
        </w:rPr>
      </w:pPr>
    </w:p>
    <w:p>
      <w:pPr>
        <w:jc w:val="both"/>
        <w:ind w:firstLine="656"/>
        <w:spacing w:after="0" w:line="296" w:lineRule="auto"/>
        <w:tabs>
          <w:tab w:leader="none" w:pos="94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Modification; Counterparts; Electronic Signatures</w:t>
      </w:r>
      <w:r>
        <w:rPr>
          <w:rFonts w:ascii="Arial" w:cs="Arial" w:eastAsia="Arial" w:hAnsi="Arial"/>
          <w:sz w:val="16"/>
          <w:szCs w:val="16"/>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 facsimile, PDF or other electronic signature (e.g., DocuSign, EchoSign) shall have the same force and effect as execution of an original, and a copy of a signature will be equally admissible in any legal proceeding as if an original.</w:t>
      </w:r>
    </w:p>
    <w:p>
      <w:pPr>
        <w:spacing w:after="0" w:line="161" w:lineRule="exact"/>
        <w:rPr>
          <w:rFonts w:ascii="Arial" w:cs="Arial" w:eastAsia="Arial" w:hAnsi="Arial"/>
          <w:sz w:val="16"/>
          <w:szCs w:val="16"/>
          <w:color w:val="auto"/>
        </w:rPr>
      </w:pPr>
    </w:p>
    <w:p>
      <w:pPr>
        <w:ind w:left="920" w:hanging="264"/>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Additional Matters and Further Assurance</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7" w:lineRule="auto"/>
        <w:tabs>
          <w:tab w:leader="none" w:pos="904" w:val="left"/>
        </w:tabs>
        <w:numPr>
          <w:ilvl w:val="0"/>
          <w:numId w:val="53"/>
        </w:numPr>
        <w:rPr>
          <w:rFonts w:ascii="Arial" w:cs="Arial" w:eastAsia="Arial" w:hAnsi="Arial"/>
          <w:sz w:val="18"/>
          <w:szCs w:val="18"/>
          <w:color w:val="auto"/>
        </w:rPr>
      </w:pPr>
      <w:r>
        <w:rPr>
          <w:rFonts w:ascii="Arial" w:cs="Arial" w:eastAsia="Arial" w:hAnsi="Arial"/>
          <w:sz w:val="18"/>
          <w:szCs w:val="18"/>
          <w:color w:val="auto"/>
        </w:rPr>
        <w:t>You hereby agree to do all such acts and execute and deliver all such documents and property as the Company may reasonably require at its cost in order to (1) resign from all other offices of the Company and its subsidiaries; (2) remove yourself as a signatory of any bank or other financial accounts of the Company or its subsidiaries; (3) transfer to or to the order of the Company any property which you hold on its behalf as trustee or nominee, or otherwise in connection with your employment; and (4) carry out the intent and accomplish the purposes of this Agreement and the consummation of the transactions contemplated hereby.</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hereby agrees to do all such acts and execute and deliver all such documents and property as you may reasonably require at the Company’s cost in order to carry out the intent and accomplish the purposes of this Agreement and the consummation of the transactions contemplated hereby.</w:t>
      </w:r>
    </w:p>
    <w:p>
      <w:pPr>
        <w:spacing w:after="0" w:line="183" w:lineRule="exact"/>
        <w:rPr>
          <w:rFonts w:ascii="Arial" w:cs="Arial" w:eastAsia="Arial" w:hAnsi="Arial"/>
          <w:sz w:val="18"/>
          <w:szCs w:val="18"/>
          <w:color w:val="auto"/>
        </w:rPr>
      </w:pPr>
    </w:p>
    <w:p>
      <w:pPr>
        <w:ind w:firstLine="656"/>
        <w:spacing w:after="0" w:line="277" w:lineRule="auto"/>
        <w:tabs>
          <w:tab w:leader="none" w:pos="88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agrees to accord you the title of “Founder Emeritus”, which it intends to include in the press release announcing your retirement. Company may include your likeness and such title and a brief bio on its website, at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Ipsidy Inc. ● 670 Long Beach Boulevard ● Long Beach, New York 11561 ● Tel +1 516 274 8700 ● www.authid.ai</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Thomas R. Szoke: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977265" cy="522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977265" cy="52260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19, 2021</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appreciate your long years of service and contributions to the Company.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PSIDY</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Thomas L. Thimot</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Thomas L. Thimot, CEO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READ, AGREED AND CONSENTED TO:</w:t>
            </w:r>
          </w:p>
        </w:tc>
        <w:tc>
          <w:tcPr>
            <w:tcW w:w="4040" w:type="dxa"/>
            <w:vAlign w:val="bottom"/>
          </w:tcPr>
          <w:p>
            <w:pPr>
              <w:spacing w:after="0"/>
              <w:rPr>
                <w:sz w:val="20"/>
                <w:szCs w:val="20"/>
                <w:color w:val="auto"/>
              </w:rPr>
            </w:pPr>
          </w:p>
        </w:tc>
      </w:tr>
      <w:tr>
        <w:trPr>
          <w:trHeight w:val="453"/>
        </w:trPr>
        <w:tc>
          <w:tcPr>
            <w:tcW w:w="7200" w:type="dxa"/>
            <w:vAlign w:val="bottom"/>
            <w:gridSpan w:val="2"/>
          </w:tcPr>
          <w:p>
            <w:pPr>
              <w:spacing w:after="0"/>
              <w:rPr>
                <w:sz w:val="20"/>
                <w:szCs w:val="20"/>
                <w:color w:val="auto"/>
              </w:rPr>
            </w:pPr>
            <w:r>
              <w:rPr>
                <w:rFonts w:ascii="Arial" w:cs="Arial" w:eastAsia="Arial" w:hAnsi="Arial"/>
                <w:sz w:val="18"/>
                <w:szCs w:val="18"/>
                <w:color w:val="auto"/>
              </w:rPr>
              <w:t>/s/ Thomas R. Szoke</w:t>
            </w:r>
          </w:p>
        </w:tc>
        <w:tc>
          <w:tcPr>
            <w:tcW w:w="4040" w:type="dxa"/>
            <w:vAlign w:val="bottom"/>
          </w:tcPr>
          <w:p>
            <w:pPr>
              <w:spacing w:after="0"/>
              <w:rPr>
                <w:sz w:val="20"/>
                <w:szCs w:val="20"/>
                <w:color w:val="auto"/>
              </w:rPr>
            </w:pPr>
            <w:r>
              <w:rPr>
                <w:rFonts w:ascii="Arial" w:cs="Arial" w:eastAsia="Arial" w:hAnsi="Arial"/>
                <w:sz w:val="18"/>
                <w:szCs w:val="18"/>
                <w:color w:val="auto"/>
              </w:rPr>
              <w:t>November 20, 2021</w:t>
            </w:r>
          </w:p>
        </w:tc>
      </w:tr>
      <w:tr>
        <w:trPr>
          <w:trHeight w:val="230"/>
        </w:trPr>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R. SZOKE</w:t>
            </w:r>
          </w:p>
        </w:tc>
        <w:tc>
          <w:tcPr>
            <w:tcW w:w="3140" w:type="dxa"/>
            <w:vAlign w:val="bottom"/>
          </w:tcPr>
          <w:p>
            <w:pPr>
              <w:spacing w:after="0"/>
              <w:rPr>
                <w:sz w:val="20"/>
                <w:szCs w:val="20"/>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Ipsidy Inc. ● 670 Long Beach Boulevard ● Long Beach, New York 11561 ● Tel +1 516 274 8700 ● www.authid.ai</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hereby consent to the inclusion in this Annual Report on Form 10-K of Ipsidy, Inc. and Subsidiaries (d/b/a authID.ai) (the “Company”) for the years ended December 31, 2021 and 2020 of our report dated March 22, 2022 and the incorporation by reference of our report dated March 22, 2022 in the Company’s Registration Statements on Form S-3 (No. 333-260641) dated November 1, 2021, Form S-8 (No. 333-261042) dated November 12, 2021, and Form S-8 (No. 333-262454) dated February 1, 2022, relating to the consolidated financial statements of the Company for the years ended December 31, 2021 and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22, 2022</w:t>
      </w:r>
    </w:p>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Thimot, Chief Executive Officer, certify that:</w:t>
      </w:r>
    </w:p>
    <w:p>
      <w:pPr>
        <w:spacing w:after="0" w:line="225"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Ipsidy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3" w:lineRule="exact"/>
        <w:rPr>
          <w:rFonts w:ascii="Arial" w:cs="Arial" w:eastAsia="Arial" w:hAnsi="Arial"/>
          <w:sz w:val="18"/>
          <w:szCs w:val="18"/>
          <w:color w:val="auto"/>
        </w:rPr>
      </w:pPr>
    </w:p>
    <w:p>
      <w:pPr>
        <w:ind w:right="20" w:firstLine="8"/>
        <w:spacing w:after="0" w:line="308" w:lineRule="auto"/>
        <w:tabs>
          <w:tab w:leader="none" w:pos="181"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6" w:lineRule="exact"/>
        <w:rPr>
          <w:rFonts w:ascii="Arial" w:cs="Arial" w:eastAsia="Arial" w:hAnsi="Arial"/>
          <w:sz w:val="17"/>
          <w:szCs w:val="17"/>
          <w:color w:val="auto"/>
        </w:rPr>
      </w:pPr>
    </w:p>
    <w:p>
      <w:pPr>
        <w:jc w:val="both"/>
        <w:ind w:firstLine="8"/>
        <w:spacing w:after="0" w:line="263" w:lineRule="auto"/>
        <w:tabs>
          <w:tab w:leader="none" w:pos="2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 (f))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308" w:lineRule="auto"/>
        <w:tabs>
          <w:tab w:leader="none" w:pos="212" w:val="left"/>
        </w:tabs>
        <w:numPr>
          <w:ilvl w:val="0"/>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annual period that has materially affected, or is reasonably likely to materially affect, the registrant’s internal control over financial reporting;</w:t>
      </w:r>
    </w:p>
    <w:p>
      <w:pPr>
        <w:spacing w:after="0" w:line="146" w:lineRule="exact"/>
        <w:rPr>
          <w:sz w:val="20"/>
          <w:szCs w:val="20"/>
          <w:color w:val="auto"/>
        </w:rPr>
      </w:pPr>
    </w:p>
    <w:p>
      <w:pPr>
        <w:ind w:right="20" w:firstLine="8"/>
        <w:spacing w:after="0" w:line="308" w:lineRule="auto"/>
        <w:tabs>
          <w:tab w:leader="none" w:pos="197"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sz w:val="20"/>
          <w:szCs w:val="20"/>
          <w:color w:val="auto"/>
        </w:rPr>
      </w:pPr>
    </w:p>
    <w:p>
      <w:pPr>
        <w:ind w:firstLine="8"/>
        <w:spacing w:after="0" w:line="277" w:lineRule="auto"/>
        <w:tabs>
          <w:tab w:leader="none" w:pos="1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22, 2022</w:t>
      </w:r>
      <w:r>
        <w:rPr>
          <w:sz w:val="20"/>
          <w:szCs w:val="20"/>
          <w:color w:val="auto"/>
        </w:rPr>
        <w:tab/>
      </w:r>
      <w:r>
        <w:rPr>
          <w:rFonts w:ascii="Arial" w:cs="Arial" w:eastAsia="Arial" w:hAnsi="Arial"/>
          <w:sz w:val="16"/>
          <w:szCs w:val="16"/>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Thomas Thimot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Stuart Stoller, Chief Financial Officer, certify that:</w:t>
      </w:r>
    </w:p>
    <w:p>
      <w:pPr>
        <w:spacing w:after="0" w:line="225"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Ipsidy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3" w:lineRule="exact"/>
        <w:rPr>
          <w:rFonts w:ascii="Arial" w:cs="Arial" w:eastAsia="Arial" w:hAnsi="Arial"/>
          <w:sz w:val="18"/>
          <w:szCs w:val="18"/>
          <w:color w:val="auto"/>
        </w:rPr>
      </w:pPr>
    </w:p>
    <w:p>
      <w:pPr>
        <w:ind w:right="20" w:firstLine="8"/>
        <w:spacing w:after="0" w:line="308" w:lineRule="auto"/>
        <w:tabs>
          <w:tab w:leader="none" w:pos="181"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6" w:lineRule="exact"/>
        <w:rPr>
          <w:rFonts w:ascii="Arial" w:cs="Arial" w:eastAsia="Arial" w:hAnsi="Arial"/>
          <w:sz w:val="17"/>
          <w:szCs w:val="17"/>
          <w:color w:val="auto"/>
        </w:rPr>
      </w:pPr>
    </w:p>
    <w:p>
      <w:pPr>
        <w:jc w:val="both"/>
        <w:ind w:firstLine="8"/>
        <w:spacing w:after="0" w:line="263" w:lineRule="auto"/>
        <w:tabs>
          <w:tab w:leader="none" w:pos="2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 (f))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308" w:lineRule="auto"/>
        <w:tabs>
          <w:tab w:leader="none" w:pos="212" w:val="left"/>
        </w:tabs>
        <w:numPr>
          <w:ilvl w:val="0"/>
          <w:numId w:val="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annual period that has materially affected, or is reasonably likely to materially affect, the registrant’s internal control over financial reporting;</w:t>
      </w:r>
    </w:p>
    <w:p>
      <w:pPr>
        <w:spacing w:after="0" w:line="146" w:lineRule="exact"/>
        <w:rPr>
          <w:sz w:val="20"/>
          <w:szCs w:val="20"/>
          <w:color w:val="auto"/>
        </w:rPr>
      </w:pPr>
    </w:p>
    <w:p>
      <w:pPr>
        <w:ind w:right="20" w:firstLine="8"/>
        <w:spacing w:after="0" w:line="308" w:lineRule="auto"/>
        <w:tabs>
          <w:tab w:leader="none" w:pos="197"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sz w:val="20"/>
          <w:szCs w:val="20"/>
          <w:color w:val="auto"/>
        </w:rPr>
      </w:pPr>
    </w:p>
    <w:p>
      <w:pPr>
        <w:ind w:firstLine="8"/>
        <w:spacing w:after="0" w:line="277" w:lineRule="auto"/>
        <w:tabs>
          <w:tab w:leader="none" w:pos="18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22, 2022</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Ipsidy Inc. (the “Company”) on Form 10-K for the period ending December 31, 2021 as filed with the Securities and Exchange Commission on the date hereof (the “Report”), I, Thomas Thimot, Chief Executive Officer of the Company, certify, pursuant to 18 U.S.C. section 906 of the Sarbanes-Oxley Act of 2002, that:</w:t>
      </w:r>
    </w:p>
    <w:p>
      <w:pPr>
        <w:spacing w:after="0" w:line="184" w:lineRule="exact"/>
        <w:rPr>
          <w:sz w:val="20"/>
          <w:szCs w:val="20"/>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22, 2022</w:t>
      </w:r>
      <w:r>
        <w:rPr>
          <w:sz w:val="20"/>
          <w:szCs w:val="20"/>
          <w:color w:val="auto"/>
        </w:rPr>
        <w:tab/>
      </w:r>
      <w:r>
        <w:rPr>
          <w:rFonts w:ascii="Arial" w:cs="Arial" w:eastAsia="Arial" w:hAnsi="Arial"/>
          <w:sz w:val="16"/>
          <w:szCs w:val="16"/>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Thomas Thimot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Ipsidy Inc. (the “Company”) on Form 10-K for the period ending December 31, 2021 as filed with the Securities and Exchange Commission on the date hereof (the “Report”), I, Stuart Stoller, Chief Financial Officer of the Company, certify, pursuant to 18 U.S.C. section 906 of the Sarbanes-Oxley Act of 2002, that:</w:t>
      </w:r>
    </w:p>
    <w:p>
      <w:pPr>
        <w:spacing w:after="0" w:line="184"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22, 2022</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lvl w:ilvl="1">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decimal"/>
      <w:start w:val="2"/>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1)"/>
      <w:numFmt w:val="decimal"/>
      <w:start w:val="2"/>
    </w:lvl>
    <w:lvl w:ilvl="1">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2"/>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4"/>
    </w:lvl>
    <w:lvl w:ilvl="1">
      <w:lvlJc w:val="left"/>
      <w:lvlText w:val="(%2)"/>
      <w:numFmt w:val="lowerRoman"/>
      <w:start w:val="7"/>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1."/>
      <w:numFmt w:val="decimal"/>
      <w:start w:val="1"/>
    </w:lvl>
    <w:lvl w:ilvl="1">
      <w:lvlJc w:val="left"/>
      <w:lvlText w:val="(%2)"/>
      <w:numFmt w:val="lowerLetter"/>
      <w:start w:val="1"/>
    </w:lvl>
  </w:abstractNum>
  <w:abstractNum w:abstractNumId="46">
    <w:nsid w:val="23F9C13C"/>
    <w:multiLevelType w:val="hybridMultilevel"/>
    <w:lvl w:ilvl="0">
      <w:lvlJc w:val="left"/>
      <w:lvlText w:val="%1."/>
      <w:numFmt w:val="decimal"/>
      <w:start w:val="4"/>
    </w:lvl>
    <w:lvl w:ilvl="1">
      <w:lvlJc w:val="left"/>
      <w:lvlText w:val="(%2)"/>
      <w:numFmt w:val="lowerLetter"/>
      <w:start w:val="1"/>
    </w:lvl>
  </w:abstractNum>
  <w:abstractNum w:abstractNumId="47">
    <w:nsid w:val="649BB77C"/>
    <w:multiLevelType w:val="hybridMultilevel"/>
    <w:lvl w:ilvl="0">
      <w:lvlJc w:val="left"/>
      <w:lvlText w:val="%1."/>
      <w:numFmt w:val="decimal"/>
      <w:start w:val="6"/>
    </w:lvl>
    <w:lvl w:ilvl="1">
      <w:lvlJc w:val="left"/>
      <w:lvlText w:val="(%2)"/>
      <w:numFmt w:val="lowerLetter"/>
      <w:start w:val="1"/>
    </w:lvl>
  </w:abstractNum>
  <w:abstractNum w:abstractNumId="48">
    <w:nsid w:val="275AC794"/>
    <w:multiLevelType w:val="hybridMultilevel"/>
    <w:lvl w:ilvl="0">
      <w:lvlJc w:val="left"/>
      <w:lvlText w:val="%1."/>
      <w:numFmt w:val="decimal"/>
      <w:start w:val="10"/>
    </w:lvl>
  </w:abstractNum>
  <w:abstractNum w:abstractNumId="49">
    <w:nsid w:val="39386575"/>
    <w:multiLevelType w:val="hybridMultilevel"/>
    <w:lvl w:ilvl="0">
      <w:lvlJc w:val="left"/>
      <w:lvlText w:val="(%1)"/>
      <w:numFmt w:val="lowerLetter"/>
      <w:start w:val="2"/>
    </w:lvl>
  </w:abstractNum>
  <w:abstractNum w:abstractNumId="50">
    <w:nsid w:val="1CF10FD8"/>
    <w:multiLevelType w:val="hybridMultilevel"/>
    <w:lvl w:ilvl="0">
      <w:lvlJc w:val="left"/>
      <w:lvlText w:val="%1."/>
      <w:numFmt w:val="decimal"/>
      <w:start w:val="11"/>
    </w:lvl>
  </w:abstractNum>
  <w:abstractNum w:abstractNumId="51">
    <w:nsid w:val="180115BE"/>
    <w:multiLevelType w:val="hybridMultilevel"/>
    <w:lvl w:ilvl="0">
      <w:lvlJc w:val="left"/>
      <w:lvlText w:val="%1."/>
      <w:numFmt w:val="decimal"/>
      <w:start w:val="14"/>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decimal"/>
      <w:start w:val="5"/>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5"/>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101" Type="http://schemas.openxmlformats.org/officeDocument/2006/relationships/image" Target="media/image65.png"/><Relationship Id="rId102" Type="http://schemas.openxmlformats.org/officeDocument/2006/relationships/image" Target="media/image66.jpeg"/><Relationship Id="rId103" Type="http://schemas.openxmlformats.org/officeDocument/2006/relationships/image" Target="media/image67.png"/><Relationship Id="rId104" Type="http://schemas.openxmlformats.org/officeDocument/2006/relationships/image" Target="media/image68.png"/><Relationship Id="rId105" Type="http://schemas.openxmlformats.org/officeDocument/2006/relationships/image" Target="media/image69.jpeg"/><Relationship Id="rId106" Type="http://schemas.openxmlformats.org/officeDocument/2006/relationships/image" Target="media/image70.png"/><Relationship Id="rId107" Type="http://schemas.openxmlformats.org/officeDocument/2006/relationships/image" Target="media/image71.png"/><Relationship Id="rId108" Type="http://schemas.openxmlformats.org/officeDocument/2006/relationships/image" Target="media/image72.png"/><Relationship Id="rId109" Type="http://schemas.openxmlformats.org/officeDocument/2006/relationships/image" Target="media/image73.png"/><Relationship Id="rId110" Type="http://schemas.openxmlformats.org/officeDocument/2006/relationships/image" Target="media/image74.png"/><Relationship Id="rId111" Type="http://schemas.openxmlformats.org/officeDocument/2006/relationships/image" Target="media/image75.png"/><Relationship Id="rId112" Type="http://schemas.openxmlformats.org/officeDocument/2006/relationships/image" Target="media/image76.png"/><Relationship Id="rId113" Type="http://schemas.openxmlformats.org/officeDocument/2006/relationships/image" Target="media/image77.png"/><Relationship Id="rId114" Type="http://schemas.openxmlformats.org/officeDocument/2006/relationships/image" Target="media/image78.png"/><Relationship Id="rId115" Type="http://schemas.openxmlformats.org/officeDocument/2006/relationships/image" Target="media/image79.png"/><Relationship Id="rId116"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jpe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jpe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jpe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jpe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jpe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jpe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jpe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72" Type="http://schemas.openxmlformats.org/officeDocument/2006/relationships/hyperlink" Target="http://www.sec.gov/Archives/edgar/data/1534154/000121390021017290/ea138222ex3-1_ipsidyinc.htm" TargetMode="External"/><Relationship Id="rId73" Type="http://schemas.openxmlformats.org/officeDocument/2006/relationships/hyperlink" Target="http://www.sec.gov/Archives/edgar/data/1534154/000121390021003556/ea133739ex3-1_ipsidy.htm" TargetMode="External"/><Relationship Id="rId74" Type="http://schemas.openxmlformats.org/officeDocument/2006/relationships/hyperlink" Target="http://www.sec.gov/Archives/edgar/data/1534154/000121390021032569/ea142763ex3-1_ipsidyinc.htm" TargetMode="External"/><Relationship Id="rId75" Type="http://schemas.openxmlformats.org/officeDocument/2006/relationships/hyperlink" Target="http://www.sec.gov/Archives/edgar/data/1534154/000121390021032569/ea142763ex4-1_ipsidyinc.htm" TargetMode="External"/><Relationship Id="rId76" Type="http://schemas.openxmlformats.org/officeDocument/2006/relationships/hyperlink" Target="http://www.sec.gov/Archives/edgar/data/1534154/000121390019026249/f8k121019ex4-3_ipsidy.htm" TargetMode="External"/><Relationship Id="rId77" Type="http://schemas.openxmlformats.org/officeDocument/2006/relationships/hyperlink" Target="http://www.sec.gov/Archives/edgar/data/1534154/000121390020004127/f8k021420ex4-1_ipsidyinc.htm" TargetMode="External"/><Relationship Id="rId78" Type="http://schemas.openxmlformats.org/officeDocument/2006/relationships/hyperlink" Target="http://www.sec.gov/Archives/edgar/data/1534154/000121390020004127/f8k021420ex4-2_ipsidyinc.htm" TargetMode="External"/><Relationship Id="rId79" Type="http://schemas.openxmlformats.org/officeDocument/2006/relationships/hyperlink" Target="http://www.sec.gov/Archives/edgar/data/1534154/000121390020011887/ea121728ex4-1_ipsidyinc.htm" TargetMode="External"/><Relationship Id="rId80" Type="http://schemas.openxmlformats.org/officeDocument/2006/relationships/hyperlink" Target="http://www.sec.gov/Archives/edgar/data/1534154/000121390021024897/f10q0321ex4-15_ipsidyinc.htm" TargetMode="External"/><Relationship Id="rId81" Type="http://schemas.openxmlformats.org/officeDocument/2006/relationships/hyperlink" Target="http://www.sec.gov/Archives/edgar/data/1534154/000121390021032569/ea142763ex10-6_ipsidyinc.htm" TargetMode="External"/><Relationship Id="rId82" Type="http://schemas.openxmlformats.org/officeDocument/2006/relationships/hyperlink" Target="http://www.sec.gov/Archives/edgar/data/1534154/000121390021032569/ea142763ex10-5_ipsidyinc.htm" TargetMode="External"/><Relationship Id="rId83" Type="http://schemas.openxmlformats.org/officeDocument/2006/relationships/hyperlink" Target="http://www.sec.gov/Archives/edgar/data/1534154/000161577417000313/s105211_ex4-1.htm" TargetMode="External"/><Relationship Id="rId84" Type="http://schemas.openxmlformats.org/officeDocument/2006/relationships/hyperlink" Target="http://www.sec.gov/Archives/edgar/data/1534154/000161577417000380/s105242_ex10-4.htm" TargetMode="External"/><Relationship Id="rId85" Type="http://schemas.openxmlformats.org/officeDocument/2006/relationships/hyperlink" Target="http://www.sec.gov/Archives/edgar/data/1534154/000161577418003344/s109839_ex10-27.htm" TargetMode="External"/><Relationship Id="rId86" Type="http://schemas.openxmlformats.org/officeDocument/2006/relationships/hyperlink" Target="http://www.sec.gov/Archives/edgar/data/1534154/000121390021032569/ea142763ex10-1_ipsidyinc.htm" TargetMode="External"/><Relationship Id="rId87" Type="http://schemas.openxmlformats.org/officeDocument/2006/relationships/hyperlink" Target="http://www.sec.gov/Archives/edgar/data/1534154/000121390021032569/ea142763ex10-2_ipsidyinc.htm" TargetMode="External"/><Relationship Id="rId88" Type="http://schemas.openxmlformats.org/officeDocument/2006/relationships/hyperlink" Target="http://www.sec.gov/Archives/edgar/data/1534154/000121390021032569/ea142763ex10-3_ipsidyinc.htm" TargetMode="External"/><Relationship Id="rId89" Type="http://schemas.openxmlformats.org/officeDocument/2006/relationships/hyperlink" Target="http://www.sec.gov/Archives/edgar/data/1534154/000121390021032569/ea142763ex10-4_ipsidyinc.htm" TargetMode="External"/><Relationship Id="rId90" Type="http://schemas.openxmlformats.org/officeDocument/2006/relationships/hyperlink" Target="http://www.sec.gov/Archives/edgar/data/1534154/000121390021057337/f10q0921ex10-11_ipsidyinc.htm" TargetMode="External"/><Relationship Id="rId91" Type="http://schemas.openxmlformats.org/officeDocument/2006/relationships/hyperlink" Target="http://www.sec.gov/Archives/edgar/data/1534154/000121390021057337/f10q0921ex10-12_ipsidyinc.htm" TargetMode="External"/><Relationship Id="rId92" Type="http://schemas.openxmlformats.org/officeDocument/2006/relationships/hyperlink" Target="http://www.sec.gov/Archives/edgar/data/1534154/000121390022004803/ea154748ex4-1_ipsidyinc.htm" TargetMode="External"/><Relationship Id="rId93" Type="http://schemas.openxmlformats.org/officeDocument/2006/relationships/hyperlink" Target="http://www.sec.gov/Archives/edgar/data/1534154/000121390022013739/ea157152ex10-1_ipsidyinc.htm" TargetMode="External"/><Relationship Id="rId94" Type="http://schemas.openxmlformats.org/officeDocument/2006/relationships/hyperlink" Target="http://www.sec.gov/Archives/edgar/data/1534154/000121390022013739/ea157152ex10-2_ipsidyinc.htm" TargetMode="External"/><Relationship Id="rId95" Type="http://schemas.openxmlformats.org/officeDocument/2006/relationships/hyperlink" Target="http://www.sec.gov/Archives/edgar/data/1534154/000121390022013739/ea157152ex10-3_ipsidyinc.htm" TargetMode="External"/><Relationship Id="rId96" Type="http://schemas.openxmlformats.org/officeDocument/2006/relationships/hyperlink" Target="http://www.sec.gov/Archives/edgar/data/1534154/000121390022013739/ea157152ex10-5_ipsidyinc.htm" TargetMode="External"/><Relationship Id="rId97" Type="http://schemas.openxmlformats.org/officeDocument/2006/relationships/hyperlink" Target="http://www.sec.gov/Archives/edgar/data/1534154/000121390022013739/ea157152ex10-6_ipsidyinc.htm" TargetMode="External"/><Relationship Id="rId98" Type="http://schemas.openxmlformats.org/officeDocument/2006/relationships/hyperlink" Target="http://www.sec.gov/Archives/edgar/data/1534154/000121390022013739/ea157152ex10-7_ipsidyinc.htm" TargetMode="External"/><Relationship Id="rId99" Type="http://schemas.openxmlformats.org/officeDocument/2006/relationships/hyperlink" Target="http://www.sec.gov/Archives/edgar/data/1534154/000161577417003593/s106516_ex14-1.htm" TargetMode="External"/><Relationship Id="rId100" Type="http://schemas.openxmlformats.org/officeDocument/2006/relationships/hyperlink" Target="http://www.sec.gov/Archives/edgar/data/1534154/000161577417003593/s106516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2022-03-22T16:20:51Z</dcterms:created>
  <dcterms:modified xsi:type="dcterms:W3CDTF">2022-03-22T16:20:51Z</dcterms:modified>
</cp:coreProperties>
</file>