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7047865" cy="6252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625221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Daguro Rhoniel</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AUTHID INC. 1580 N. LOGAN ST.</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STE 660 UNIT 51767</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CO</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80203</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1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authID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AUID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r>
      <w:tr>
        <w:trPr>
          <w:trHeight w:val="179"/>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17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214"/>
        </w:trPr>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05/27/2026</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0000FF"/>
              </w:rPr>
              <w:t>Chief Executive Officer</w:t>
            </w:r>
          </w:p>
        </w:tc>
      </w:tr>
      <w:tr>
        <w:trPr>
          <w:trHeight w:val="32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60" w:space="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6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$0.0001 par value per share</w:t>
            </w: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24,833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800,248</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1.24</w:t>
            </w: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3"/>
                <w:szCs w:val="3"/>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800,248</w:t>
            </w:r>
          </w:p>
        </w:tc>
        <w:tc>
          <w:tcPr>
            <w:tcW w:w="300" w:type="dxa"/>
            <w:vAlign w:val="bottom"/>
          </w:tcPr>
          <w:p>
            <w:pPr>
              <w:spacing w:after="0"/>
              <w:rPr>
                <w:sz w:val="3"/>
                <w:szCs w:val="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05/27/2027</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05/27/2036</w:t>
            </w: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9"/>
              </w:rPr>
              <w:t>$0.0001</w:t>
            </w:r>
          </w:p>
        </w:tc>
        <w:tc>
          <w:tcPr>
            <w:tcW w:w="600" w:type="dxa"/>
            <w:vAlign w:val="bottom"/>
            <w:vMerge w:val="continue"/>
          </w:tcPr>
          <w:p>
            <w:pPr>
              <w:spacing w:after="0"/>
              <w:rPr>
                <w:sz w:val="3"/>
                <w:szCs w:val="3"/>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800,248</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ind w:left="60"/>
              <w:spacing w:after="0" w:line="156" w:lineRule="exact"/>
              <w:rPr>
                <w:sz w:val="20"/>
                <w:szCs w:val="20"/>
                <w:color w:val="auto"/>
              </w:rPr>
            </w:pPr>
            <w:r>
              <w:rPr>
                <w:rFonts w:ascii="Times New Roman" w:cs="Times New Roman" w:eastAsia="Times New Roman" w:hAnsi="Times New Roman"/>
                <w:sz w:val="12"/>
                <w:szCs w:val="12"/>
                <w:color w:val="0000FF"/>
              </w:rPr>
              <w:t>Options</w:t>
            </w:r>
            <w:r>
              <w:rPr>
                <w:rFonts w:ascii="Times New Roman" w:cs="Times New Roman" w:eastAsia="Times New Roman" w:hAnsi="Times New Roman"/>
                <w:sz w:val="18"/>
                <w:szCs w:val="18"/>
                <w:color w:val="008000"/>
                <w:vertAlign w:val="superscript"/>
              </w:rPr>
              <w:t>(2)(3)</w:t>
            </w:r>
          </w:p>
        </w:tc>
        <w:tc>
          <w:tcPr>
            <w:tcW w:w="7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jc w:val="center"/>
              <w:ind w:right="2"/>
              <w:spacing w:after="0" w:line="76" w:lineRule="exact"/>
              <w:rPr>
                <w:sz w:val="20"/>
                <w:szCs w:val="20"/>
                <w:color w:val="auto"/>
              </w:rPr>
            </w:pPr>
            <w:r>
              <w:rPr>
                <w:rFonts w:ascii="Times New Roman" w:cs="Times New Roman" w:eastAsia="Times New Roman" w:hAnsi="Times New Roman"/>
                <w:sz w:val="8"/>
                <w:szCs w:val="8"/>
                <w:color w:val="0000FF"/>
              </w:rPr>
              <w:t>par value</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7"/>
              </w:rPr>
              <w:t>per share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center"/>
              <w:ind w:right="12"/>
              <w:spacing w:after="0"/>
              <w:rPr>
                <w:sz w:val="20"/>
                <w:szCs w:val="20"/>
                <w:color w:val="auto"/>
              </w:rPr>
            </w:pPr>
            <w:r>
              <w:rPr>
                <w:rFonts w:ascii="Times New Roman" w:cs="Times New Roman" w:eastAsia="Times New Roman" w:hAnsi="Times New Roman"/>
                <w:sz w:val="16"/>
                <w:szCs w:val="16"/>
                <w:color w:val="0000FF"/>
                <w:w w:val="99"/>
              </w:rPr>
              <w:t>111,148</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5.48</w:t>
            </w: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06/28/2023</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06/28/2033</w:t>
            </w: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9"/>
              </w:rPr>
              <w:t>$0.0001</w:t>
            </w:r>
          </w:p>
        </w:tc>
        <w:tc>
          <w:tcPr>
            <w:tcW w:w="6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111,148</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ind w:left="60"/>
              <w:spacing w:after="0" w:line="156" w:lineRule="exact"/>
              <w:rPr>
                <w:sz w:val="20"/>
                <w:szCs w:val="20"/>
                <w:color w:val="auto"/>
              </w:rPr>
            </w:pPr>
            <w:r>
              <w:rPr>
                <w:rFonts w:ascii="Times New Roman" w:cs="Times New Roman" w:eastAsia="Times New Roman" w:hAnsi="Times New Roman"/>
                <w:sz w:val="12"/>
                <w:szCs w:val="12"/>
                <w:color w:val="0000FF"/>
              </w:rPr>
              <w:t>Options</w:t>
            </w:r>
            <w:r>
              <w:rPr>
                <w:rFonts w:ascii="Times New Roman" w:cs="Times New Roman" w:eastAsia="Times New Roman" w:hAnsi="Times New Roman"/>
                <w:sz w:val="18"/>
                <w:szCs w:val="18"/>
                <w:color w:val="008000"/>
                <w:vertAlign w:val="superscript"/>
              </w:rPr>
              <w:t>(1)</w:t>
            </w:r>
          </w:p>
        </w:tc>
        <w:tc>
          <w:tcPr>
            <w:tcW w:w="7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jc w:val="center"/>
              <w:ind w:right="2"/>
              <w:spacing w:after="0" w:line="76" w:lineRule="exact"/>
              <w:rPr>
                <w:sz w:val="20"/>
                <w:szCs w:val="20"/>
                <w:color w:val="auto"/>
              </w:rPr>
            </w:pPr>
            <w:r>
              <w:rPr>
                <w:rFonts w:ascii="Times New Roman" w:cs="Times New Roman" w:eastAsia="Times New Roman" w:hAnsi="Times New Roman"/>
                <w:sz w:val="8"/>
                <w:szCs w:val="8"/>
                <w:color w:val="0000FF"/>
              </w:rPr>
              <w:t>par value</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7"/>
              </w:rPr>
              <w:t>per share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5.35</w:t>
            </w: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06/04/2025</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06/04/2035</w:t>
            </w: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9"/>
              </w:rPr>
              <w:t>$0.0001</w:t>
            </w:r>
          </w:p>
        </w:tc>
        <w:tc>
          <w:tcPr>
            <w:tcW w:w="6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10,000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ind w:left="60"/>
              <w:spacing w:after="0" w:line="156" w:lineRule="exact"/>
              <w:rPr>
                <w:sz w:val="20"/>
                <w:szCs w:val="20"/>
                <w:color w:val="auto"/>
              </w:rPr>
            </w:pPr>
            <w:r>
              <w:rPr>
                <w:rFonts w:ascii="Times New Roman" w:cs="Times New Roman" w:eastAsia="Times New Roman" w:hAnsi="Times New Roman"/>
                <w:sz w:val="12"/>
                <w:szCs w:val="12"/>
                <w:color w:val="0000FF"/>
              </w:rPr>
              <w:t>Options</w:t>
            </w:r>
            <w:r>
              <w:rPr>
                <w:rFonts w:ascii="Times New Roman" w:cs="Times New Roman" w:eastAsia="Times New Roman" w:hAnsi="Times New Roman"/>
                <w:sz w:val="18"/>
                <w:szCs w:val="18"/>
                <w:color w:val="008000"/>
                <w:vertAlign w:val="superscript"/>
              </w:rPr>
              <w:t>(2)</w:t>
            </w:r>
          </w:p>
        </w:tc>
        <w:tc>
          <w:tcPr>
            <w:tcW w:w="7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jc w:val="center"/>
              <w:ind w:right="2"/>
              <w:spacing w:after="0" w:line="76" w:lineRule="exact"/>
              <w:rPr>
                <w:sz w:val="20"/>
                <w:szCs w:val="20"/>
                <w:color w:val="auto"/>
              </w:rPr>
            </w:pPr>
            <w:r>
              <w:rPr>
                <w:rFonts w:ascii="Times New Roman" w:cs="Times New Roman" w:eastAsia="Times New Roman" w:hAnsi="Times New Roman"/>
                <w:sz w:val="8"/>
                <w:szCs w:val="8"/>
                <w:color w:val="0000FF"/>
              </w:rPr>
              <w:t>par value</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7"/>
              </w:rPr>
              <w:t>per share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306,875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3.176</w:t>
            </w: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04/10/2023</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04/10/2033</w:t>
            </w: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9"/>
              </w:rPr>
              <w:t>$0.0001</w:t>
            </w:r>
          </w:p>
        </w:tc>
        <w:tc>
          <w:tcPr>
            <w:tcW w:w="6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306,875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ind w:left="60"/>
              <w:spacing w:after="0" w:line="156" w:lineRule="exact"/>
              <w:rPr>
                <w:sz w:val="20"/>
                <w:szCs w:val="20"/>
                <w:color w:val="auto"/>
              </w:rPr>
            </w:pPr>
            <w:r>
              <w:rPr>
                <w:rFonts w:ascii="Times New Roman" w:cs="Times New Roman" w:eastAsia="Times New Roman" w:hAnsi="Times New Roman"/>
                <w:sz w:val="12"/>
                <w:szCs w:val="12"/>
                <w:color w:val="0000FF"/>
              </w:rPr>
              <w:t>Options</w:t>
            </w:r>
            <w:r>
              <w:rPr>
                <w:rFonts w:ascii="Times New Roman" w:cs="Times New Roman" w:eastAsia="Times New Roman" w:hAnsi="Times New Roman"/>
                <w:sz w:val="18"/>
                <w:szCs w:val="18"/>
                <w:color w:val="008000"/>
                <w:vertAlign w:val="superscript"/>
              </w:rPr>
              <w:t>(1)</w:t>
            </w:r>
          </w:p>
        </w:tc>
        <w:tc>
          <w:tcPr>
            <w:tcW w:w="7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jc w:val="center"/>
              <w:ind w:right="2"/>
              <w:spacing w:after="0" w:line="90" w:lineRule="exact"/>
              <w:rPr>
                <w:sz w:val="20"/>
                <w:szCs w:val="20"/>
                <w:color w:val="auto"/>
              </w:rPr>
            </w:pPr>
            <w:r>
              <w:rPr>
                <w:rFonts w:ascii="Times New Roman" w:cs="Times New Roman" w:eastAsia="Times New Roman" w:hAnsi="Times New Roman"/>
                <w:sz w:val="9"/>
                <w:szCs w:val="9"/>
                <w:color w:val="0000FF"/>
              </w:rPr>
              <w:t>par value</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vesting is subject to achievement of performance and service conditions, or as to the entire balance upon earlier termination on change of control.</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vesting is monthly over 12 months, subject to continued service to authID Inc.</w:t>
      </w:r>
    </w:p>
    <w:p>
      <w:pPr>
        <w:spacing w:after="0" w:line="39"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800,248 options granted, 650,248 options are not exercisable unless and until the Company's 2026 Equity Incentive Plan is approved by the Company's stockholders. Granted in order to bring his aggregate equity interest up to an amount equal to 6% of the Company's outstanding stock, after taking into account the shares issued and to be issued under the current financing rounds.</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/s/ Rhoniel Daguro</w:t>
            </w:r>
          </w:p>
        </w:tc>
        <w:tc>
          <w:tcPr>
            <w:tcW w:w="7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05/29/2026</w:t>
            </w:r>
          </w:p>
        </w:tc>
      </w:tr>
      <w:tr>
        <w:trPr>
          <w:trHeight w:val="20"/>
        </w:trPr>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9783" TargetMode="External"/><Relationship Id="rId14" Type="http://schemas.openxmlformats.org/officeDocument/2006/relationships/hyperlink" Target="http://www.sec.gov/cgi-bin/browse-edgar?action=getcompany&amp;CIK=0001534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2026-05-29T17:55:06Z</dcterms:created>
  <dcterms:modified xsi:type="dcterms:W3CDTF">2026-05-29T17:55:06Z</dcterms:modified>
</cp:coreProperties>
</file>