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0"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FORM 10-Q</w:t>
      </w:r>
    </w:p>
    <w:p>
      <w:pPr>
        <w:spacing w:after="0" w:line="14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940" w:right="1480" w:hanging="2451"/>
        <w:spacing w:after="0" w:line="401" w:lineRule="auto"/>
        <w:tabs>
          <w:tab w:leader="none" w:pos="1701"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March 31, 2020</w:t>
      </w: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144" w:lineRule="exact"/>
        <w:rPr>
          <w:rFonts w:ascii="MS PGothic" w:cs="MS PGothic" w:eastAsia="MS PGothic" w:hAnsi="MS PGothic"/>
          <w:sz w:val="18"/>
          <w:szCs w:val="18"/>
          <w:color w:val="auto"/>
        </w:rPr>
      </w:pPr>
    </w:p>
    <w:p>
      <w:pPr>
        <w:ind w:left="1380" w:hanging="204"/>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4" w:lineRule="exact"/>
        <w:rPr>
          <w:sz w:val="24"/>
          <w:szCs w:val="24"/>
          <w:color w:val="auto"/>
        </w:rPr>
      </w:pPr>
    </w:p>
    <w:p>
      <w:pPr>
        <w:ind w:left="382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000-54545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100330</wp:posOffset>
            </wp:positionV>
            <wp:extent cx="72898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Ipsidy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of Registrant as Specified in its Charter)</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89"/>
              </w:rPr>
              <w:t>Delaware</w:t>
            </w:r>
          </w:p>
        </w:tc>
        <w:tc>
          <w:tcPr>
            <w:tcW w:w="3560" w:type="dxa"/>
            <w:vAlign w:val="bottom"/>
          </w:tcPr>
          <w:p>
            <w:pPr>
              <w:jc w:val="right"/>
              <w:ind w:right="2230"/>
              <w:spacing w:after="0"/>
              <w:rPr>
                <w:sz w:val="20"/>
                <w:szCs w:val="20"/>
                <w:color w:val="auto"/>
              </w:rPr>
            </w:pPr>
            <w:r>
              <w:rPr>
                <w:rFonts w:ascii="Arial" w:cs="Arial" w:eastAsia="Arial" w:hAnsi="Arial"/>
                <w:sz w:val="18"/>
                <w:szCs w:val="18"/>
                <w:color w:val="auto"/>
              </w:rPr>
              <w:t>46-2069547</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768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337"/>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1"/>
              </w:rPr>
              <w:t>670 Long Beach Boulevard</w:t>
            </w:r>
          </w:p>
        </w:tc>
        <w:tc>
          <w:tcPr>
            <w:tcW w:w="3560" w:type="dxa"/>
            <w:vAlign w:val="bottom"/>
          </w:tcPr>
          <w:p>
            <w:pPr>
              <w:spacing w:after="0"/>
              <w:rPr>
                <w:sz w:val="24"/>
                <w:szCs w:val="24"/>
                <w:color w:val="auto"/>
              </w:rPr>
            </w:pPr>
          </w:p>
        </w:tc>
      </w:tr>
      <w:tr>
        <w:trPr>
          <w:trHeight w:val="216"/>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Long Beach, New York</w:t>
            </w:r>
          </w:p>
        </w:tc>
        <w:tc>
          <w:tcPr>
            <w:tcW w:w="3560" w:type="dxa"/>
            <w:vAlign w:val="bottom"/>
          </w:tcPr>
          <w:p>
            <w:pPr>
              <w:spacing w:after="0"/>
              <w:rPr>
                <w:sz w:val="18"/>
                <w:szCs w:val="18"/>
                <w:color w:val="auto"/>
              </w:rPr>
            </w:pPr>
          </w:p>
        </w:tc>
      </w:tr>
      <w:tr>
        <w:trPr>
          <w:trHeight w:val="216"/>
        </w:trPr>
        <w:tc>
          <w:tcPr>
            <w:tcW w:w="7680" w:type="dxa"/>
            <w:vAlign w:val="bottom"/>
            <w:gridSpan w:val="3"/>
          </w:tcPr>
          <w:p>
            <w:pPr>
              <w:jc w:val="right"/>
              <w:ind w:right="1840"/>
              <w:spacing w:after="0"/>
              <w:rPr>
                <w:sz w:val="20"/>
                <w:szCs w:val="20"/>
                <w:color w:val="auto"/>
              </w:rPr>
            </w:pPr>
            <w:r>
              <w:rPr>
                <w:rFonts w:ascii="Arial" w:cs="Arial" w:eastAsia="Arial" w:hAnsi="Arial"/>
                <w:sz w:val="18"/>
                <w:szCs w:val="18"/>
                <w:color w:val="auto"/>
              </w:rPr>
              <w:t>11561</w:t>
            </w:r>
          </w:p>
        </w:tc>
        <w:tc>
          <w:tcPr>
            <w:tcW w:w="3560" w:type="dxa"/>
            <w:vAlign w:val="bottom"/>
          </w:tcPr>
          <w:p>
            <w:pPr>
              <w:spacing w:after="0"/>
              <w:rPr>
                <w:sz w:val="18"/>
                <w:szCs w:val="18"/>
                <w:color w:val="auto"/>
              </w:rPr>
            </w:pPr>
          </w:p>
        </w:tc>
      </w:tr>
      <w:tr>
        <w:trPr>
          <w:trHeight w:val="230"/>
        </w:trPr>
        <w:tc>
          <w:tcPr>
            <w:tcW w:w="7680" w:type="dxa"/>
            <w:vAlign w:val="bottom"/>
            <w:gridSpan w:val="3"/>
          </w:tcPr>
          <w:p>
            <w:pPr>
              <w:jc w:val="center"/>
              <w:ind w:left="3490"/>
              <w:spacing w:after="0"/>
              <w:rPr>
                <w:sz w:val="20"/>
                <w:szCs w:val="20"/>
                <w:color w:val="auto"/>
              </w:rPr>
            </w:pPr>
            <w:r>
              <w:rPr>
                <w:rFonts w:ascii="Arial" w:cs="Arial" w:eastAsia="Arial" w:hAnsi="Arial"/>
                <w:sz w:val="18"/>
                <w:szCs w:val="18"/>
                <w:color w:val="auto"/>
                <w:w w:val="92"/>
              </w:rPr>
              <w:t>(Address of principal executive offices) (zip code)</w:t>
            </w:r>
          </w:p>
        </w:tc>
        <w:tc>
          <w:tcPr>
            <w:tcW w:w="3560" w:type="dxa"/>
            <w:vAlign w:val="bottom"/>
          </w:tcPr>
          <w:p>
            <w:pPr>
              <w:spacing w:after="0"/>
              <w:rPr>
                <w:sz w:val="20"/>
                <w:szCs w:val="20"/>
                <w:color w:val="auto"/>
              </w:rPr>
            </w:pPr>
          </w:p>
        </w:tc>
      </w:tr>
      <w:tr>
        <w:trPr>
          <w:trHeight w:val="337"/>
        </w:trPr>
        <w:tc>
          <w:tcPr>
            <w:tcW w:w="7680" w:type="dxa"/>
            <w:vAlign w:val="bottom"/>
            <w:gridSpan w:val="3"/>
          </w:tcPr>
          <w:p>
            <w:pPr>
              <w:jc w:val="right"/>
              <w:ind w:right="1540"/>
              <w:spacing w:after="0"/>
              <w:rPr>
                <w:sz w:val="20"/>
                <w:szCs w:val="20"/>
                <w:color w:val="auto"/>
              </w:rPr>
            </w:pPr>
            <w:r>
              <w:rPr>
                <w:rFonts w:ascii="Arial" w:cs="Arial" w:eastAsia="Arial" w:hAnsi="Arial"/>
                <w:sz w:val="18"/>
                <w:szCs w:val="18"/>
                <w:color w:val="auto"/>
              </w:rPr>
              <w:t>516-274-8700</w:t>
            </w:r>
          </w:p>
        </w:tc>
        <w:tc>
          <w:tcPr>
            <w:tcW w:w="3560" w:type="dxa"/>
            <w:vAlign w:val="bottom"/>
          </w:tcPr>
          <w:p>
            <w:pPr>
              <w:spacing w:after="0"/>
              <w:rPr>
                <w:sz w:val="24"/>
                <w:szCs w:val="24"/>
                <w:color w:val="auto"/>
              </w:rPr>
            </w:pPr>
          </w:p>
        </w:tc>
      </w:tr>
      <w:tr>
        <w:trPr>
          <w:trHeight w:val="230"/>
        </w:trPr>
        <w:tc>
          <w:tcPr>
            <w:tcW w:w="7680" w:type="dxa"/>
            <w:vAlign w:val="bottom"/>
            <w:gridSpan w:val="3"/>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12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320" w:hanging="205"/>
        <w:spacing w:after="0" w:line="207" w:lineRule="exact"/>
        <w:tabs>
          <w:tab w:leader="none" w:pos="5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5"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5320" w:hanging="205"/>
        <w:spacing w:after="0" w:line="207" w:lineRule="exact"/>
        <w:tabs>
          <w:tab w:leader="none" w:pos="5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44" w:right="339" w:bottom="1440" w:gutter="0" w:footer="0" w:header="0"/>
        </w:sectPr>
      </w:pPr>
    </w:p>
    <w:p>
      <w:pPr>
        <w:spacing w:after="0" w:line="70" w:lineRule="exact"/>
        <w:rPr>
          <w:sz w:val="24"/>
          <w:szCs w:val="24"/>
          <w:color w:val="auto"/>
        </w:rPr>
      </w:pPr>
    </w:p>
    <w:p>
      <w:pPr>
        <w:ind w:left="8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8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5920" w:space="720"/>
            <w:col w:w="4600"/>
          </w:cols>
          <w:pgMar w:left="320" w:top="544"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 Not applicable.</w:t>
      </w:r>
    </w:p>
    <w:p>
      <w:pPr>
        <w:spacing w:after="0" w:line="158" w:lineRule="exact"/>
        <w:rPr>
          <w:sz w:val="24"/>
          <w:szCs w:val="24"/>
          <w:color w:val="auto"/>
        </w:rPr>
      </w:pPr>
    </w:p>
    <w:p>
      <w:pPr>
        <w:ind w:left="1260"/>
        <w:spacing w:after="0"/>
        <w:tabs>
          <w:tab w:leader="none" w:pos="5140" w:val="left"/>
          <w:tab w:leader="none" w:pos="784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ind w:left="2620"/>
              <w:spacing w:after="0"/>
              <w:rPr>
                <w:sz w:val="20"/>
                <w:szCs w:val="20"/>
                <w:color w:val="auto"/>
              </w:rPr>
            </w:pPr>
            <w:r>
              <w:rPr>
                <w:rFonts w:ascii="Arial" w:cs="Arial" w:eastAsia="Arial" w:hAnsi="Arial"/>
                <w:sz w:val="18"/>
                <w:szCs w:val="18"/>
                <w:color w:val="auto"/>
              </w:rPr>
              <w:t>Class</w:t>
            </w: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Outstanding at April 30, 2020</w:t>
            </w:r>
          </w:p>
        </w:tc>
      </w:tr>
      <w:tr>
        <w:trPr>
          <w:trHeight w:val="216"/>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$0.0001</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522,731,646 shares</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Documents incorporated by reference:</w:t>
            </w:r>
          </w:p>
        </w:tc>
        <w:tc>
          <w:tcPr>
            <w:tcW w:w="550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134"/>
        </w:trPr>
        <w:tc>
          <w:tcPr>
            <w:tcW w:w="5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r>
      <w:tr>
        <w:trPr>
          <w:trHeight w:val="28"/>
        </w:trPr>
        <w:tc>
          <w:tcPr>
            <w:tcW w:w="5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466"/>
        </w:trPr>
        <w:tc>
          <w:tcPr>
            <w:tcW w:w="5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102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Page No.</w:t>
            </w:r>
          </w:p>
        </w:tc>
      </w:tr>
      <w:tr>
        <w:trPr>
          <w:trHeight w:val="216"/>
        </w:trPr>
        <w:tc>
          <w:tcPr>
            <w:tcW w:w="10240" w:type="dxa"/>
            <w:vAlign w:val="bottom"/>
            <w:shd w:val="clear" w:color="auto" w:fill="CCEEFF"/>
          </w:tcPr>
          <w:p>
            <w:pPr>
              <w:ind w:left="35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1000" w:type="dxa"/>
            <w:vAlign w:val="bottom"/>
            <w:shd w:val="clear" w:color="auto" w:fill="CCEEFF"/>
          </w:tcPr>
          <w:p>
            <w:pPr>
              <w:spacing w:after="0"/>
              <w:rPr>
                <w:sz w:val="18"/>
                <w:szCs w:val="18"/>
                <w:color w:val="auto"/>
              </w:rPr>
            </w:pP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Item 1. Financial Statements.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1 - 5</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March 31, 2020 (unaudited) and December 31, 2019</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for the Three Months Ended March 31, 2020 and 2019 (unaudited)</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ind w:left="200"/>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Condensed Consolidated Statements of Comprehensive Loss for the Three Months Ended March 31, 2020 and 2019 (unaudited)</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ind w:left="200"/>
              <w:spacing w:after="0"/>
              <w:rPr>
                <w:rFonts w:ascii="Arial" w:cs="Arial" w:eastAsia="Arial" w:hAnsi="Arial"/>
                <w:sz w:val="18"/>
                <w:szCs w:val="18"/>
                <w:u w:val="single" w:color="auto"/>
                <w:color w:val="0000EE"/>
                <w:w w:val="98"/>
              </w:rPr>
            </w:pPr>
            <w:hyperlink w:anchor="page7">
              <w:r>
                <w:rPr>
                  <w:rFonts w:ascii="Arial" w:cs="Arial" w:eastAsia="Arial" w:hAnsi="Arial"/>
                  <w:sz w:val="18"/>
                  <w:szCs w:val="18"/>
                  <w:u w:val="single" w:color="auto"/>
                  <w:color w:val="0000EE"/>
                  <w:w w:val="98"/>
                </w:rPr>
                <w:t>Condensed Consolidated Statements of Stockholders’ Equity for the Three Months Ended March 31, 2020 and 2019 (unaudited)</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ind w:left="2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Three Months Ended March 31, 2020 and 2019 (unaudited)</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ind w:left="2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Unaudited Condensed Consolidated Financial Statements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6-18</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 Management’s Discussion and Analysis of Financial Condition and Results of Operations.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19-23</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3. Quantitative and Qualitative Disclosures About Market Risk.</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rFonts w:ascii="Arial" w:cs="Arial" w:eastAsia="Arial" w:hAnsi="Arial"/>
                <w:sz w:val="18"/>
                <w:szCs w:val="18"/>
                <w:color w:val="0000EE"/>
              </w:rPr>
            </w:pPr>
            <w:hyperlink w:anchor="page26">
              <w:r>
                <w:rPr>
                  <w:rFonts w:ascii="Arial" w:cs="Arial" w:eastAsia="Arial" w:hAnsi="Arial"/>
                  <w:sz w:val="18"/>
                  <w:szCs w:val="18"/>
                  <w:u w:val="single" w:color="auto"/>
                  <w:color w:val="0000EE"/>
                </w:rPr>
                <w:t>Item 4. Controls and Procedures</w:t>
              </w:r>
              <w:r>
                <w:rPr>
                  <w:rFonts w:ascii="Arial" w:cs="Arial" w:eastAsia="Arial" w:hAnsi="Arial"/>
                  <w:sz w:val="18"/>
                  <w:szCs w:val="18"/>
                  <w:color w:val="0000EE"/>
                </w:rPr>
                <w:t>.</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ind w:left="374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PART II - OTHER INFORMATION</w:t>
              </w:r>
            </w:hyperlink>
          </w:p>
        </w:tc>
        <w:tc>
          <w:tcPr>
            <w:tcW w:w="1000" w:type="dxa"/>
            <w:vAlign w:val="bottom"/>
            <w:shd w:val="clear" w:color="auto" w:fill="CCEEFF"/>
          </w:tcPr>
          <w:p>
            <w:pPr>
              <w:spacing w:after="0"/>
              <w:rPr>
                <w:sz w:val="18"/>
                <w:szCs w:val="18"/>
                <w:color w:val="auto"/>
              </w:rPr>
            </w:pP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1. Legal Proceedings.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1A. Risk Factors.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Item 2. Unregistered Sales of Equity Securities and Use of Proceeds</w:t>
              </w:r>
              <w:r>
                <w:rPr>
                  <w:rFonts w:ascii="Arial" w:cs="Arial" w:eastAsia="Arial" w:hAnsi="Arial"/>
                  <w:sz w:val="18"/>
                  <w:szCs w:val="18"/>
                  <w:color w:val="0000EE"/>
                </w:rPr>
                <w:t>.</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 Defaults Upon Senior Securities.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Item 4. Mine Safety Disclosures</w:t>
              </w:r>
              <w:r>
                <w:rPr>
                  <w:rFonts w:ascii="Arial" w:cs="Arial" w:eastAsia="Arial" w:hAnsi="Arial"/>
                  <w:sz w:val="18"/>
                  <w:szCs w:val="18"/>
                  <w:color w:val="0000EE"/>
                </w:rPr>
                <w:t>.</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5. Other Information.</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6. Exhibits.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25-27</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2019 and our other filings with the Securities and Exchange Commission. Some examples of risk factors which may affect our business are as follows:</w:t>
      </w:r>
    </w:p>
    <w:p>
      <w:pPr>
        <w:spacing w:after="0" w:line="15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significant revenues and history of losses,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working capital as necessary,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our obligations as they become due,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to successfully commercialize our product or sustain market acceptance,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reliance on third party agreements and relationships for development of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operations in foreign markets,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of network or information technology services,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control exercised by our management,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regulation on our business,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compete,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possible inability to effectively protect our intellectual property,</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a public market for our securities and the impact of the penny stock rules on trading in our common stock should a public market ever be established, and</w:t>
      </w: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PERTINENT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specifically set forth to the contrary, when used in this report the terms “Ipsidy,” the “Company,” “we,” “our,” “us,” and similar terms refer to Ipsidy Inc., a Delaware corporation and its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information which appears on our website </w:t>
      </w:r>
      <w:r>
        <w:rPr>
          <w:rFonts w:ascii="Arial" w:cs="Arial" w:eastAsia="Arial" w:hAnsi="Arial"/>
          <w:sz w:val="18"/>
          <w:szCs w:val="18"/>
          <w:u w:val="single" w:color="auto"/>
          <w:color w:val="auto"/>
        </w:rPr>
        <w:t>www.ipsidy.com</w:t>
      </w:r>
      <w:r>
        <w:rPr>
          <w:rFonts w:ascii="Arial" w:cs="Arial" w:eastAsia="Arial" w:hAnsi="Arial"/>
          <w:sz w:val="18"/>
          <w:szCs w:val="18"/>
          <w:color w:val="auto"/>
        </w:rPr>
        <w:t xml:space="preserve"> is not part of this report.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ind w:left="4240"/>
              <w:spacing w:after="0"/>
              <w:rPr>
                <w:sz w:val="20"/>
                <w:szCs w:val="20"/>
                <w:color w:val="auto"/>
              </w:rPr>
            </w:pPr>
            <w:r>
              <w:rPr>
                <w:rFonts w:ascii="Arial" w:cs="Arial" w:eastAsia="Arial" w:hAnsi="Arial"/>
                <w:sz w:val="18"/>
                <w:szCs w:val="18"/>
                <w:b w:val="1"/>
                <w:bCs w:val="1"/>
                <w:color w:val="auto"/>
              </w:rPr>
              <w:t>IPSIDY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80"/>
              <w:spacing w:after="0"/>
              <w:rPr>
                <w:sz w:val="20"/>
                <w:szCs w:val="20"/>
                <w:color w:val="auto"/>
              </w:rPr>
            </w:pPr>
            <w:r>
              <w:rPr>
                <w:rFonts w:ascii="Arial" w:cs="Arial" w:eastAsia="Arial" w:hAnsi="Arial"/>
                <w:sz w:val="18"/>
                <w:szCs w:val="18"/>
                <w:b w:val="1"/>
                <w:bCs w:val="1"/>
                <w:color w:val="auto"/>
              </w:rPr>
              <w:t>CONDENSED CONSOLIDATED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ind w:left="39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562,248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567,081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649,697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125,859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net investment in direct financing lease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157,445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173,575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397,625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753,505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1,834,143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1,685,353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149,689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161,820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506,817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383,066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5,308,851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5,593,612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4,347,054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5,218,861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Net investment in direct financing lease, net of current portion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477,222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494,703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12,623,776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13,537,415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1,836,034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2,215,912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Capital lease obligation,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35,871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34,816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546,995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425,276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2,424,386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2,681,345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1,970,937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debt, net of discounts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5,444,818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49,794</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112,364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131,568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8,028,087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$0.0001 par value, 1,000,000,000 shares authorized; 522,731,646 and 518,125,454 shares issued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00"/>
              <w:spacing w:after="0"/>
              <w:rPr>
                <w:sz w:val="20"/>
                <w:szCs w:val="20"/>
                <w:color w:val="auto"/>
              </w:rPr>
            </w:pPr>
            <w:r>
              <w:rPr>
                <w:rFonts w:ascii="Arial" w:cs="Arial" w:eastAsia="Arial" w:hAnsi="Arial"/>
                <w:sz w:val="18"/>
                <w:szCs w:val="18"/>
                <w:color w:val="auto"/>
              </w:rPr>
              <w:t>and outstanding as of March 31, 2020 and December 31, 2019,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52,273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51,812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95,254,309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94,982,167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(90,772,014)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(86,935,593)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comprehensive income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61,121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177,385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4,595,689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8,275,771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12,623,776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13,537,415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For the Three Months Ended</w:t>
            </w: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778,938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723,941</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Lease income</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14,851</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16,437</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355,723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176,463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1,483,122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2,140,831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430,401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430,670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871,807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325,344</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160,788</w:t>
            </w: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3,466,397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2,908,752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(2,672,608)</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(2,168,374)</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(expense) income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Shares Outstanding - Basic and diluted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(179,050)</w:t>
            </w: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(86,890)</w:t>
            </w:r>
          </w:p>
        </w:tc>
      </w:tr>
      <w:tr>
        <w:trPr>
          <w:trHeight w:val="251"/>
        </w:trPr>
        <w:tc>
          <w:tcPr>
            <w:tcW w:w="160" w:type="dxa"/>
            <w:vAlign w:val="bottom"/>
          </w:tcPr>
          <w:p>
            <w:pPr>
              <w:spacing w:after="0"/>
              <w:rPr>
                <w:sz w:val="21"/>
                <w:szCs w:val="21"/>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(975,889)</w:t>
            </w: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6,226</w:t>
            </w:r>
          </w:p>
        </w:tc>
        <w:tc>
          <w:tcPr>
            <w:tcW w:w="40" w:type="dxa"/>
            <w:vAlign w:val="bottom"/>
          </w:tcPr>
          <w:p>
            <w:pPr>
              <w:spacing w:after="0"/>
              <w:rPr>
                <w:sz w:val="21"/>
                <w:szCs w:val="21"/>
                <w:color w:val="auto"/>
              </w:rPr>
            </w:pP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(1,154,939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(80,664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445"/>
        </w:trPr>
        <w:tc>
          <w:tcPr>
            <w:tcW w:w="160" w:type="dxa"/>
            <w:vAlign w:val="bottom"/>
          </w:tcPr>
          <w:p>
            <w:pPr>
              <w:spacing w:after="0"/>
              <w:rPr>
                <w:sz w:val="24"/>
                <w:szCs w:val="24"/>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(3,827,547)</w:t>
            </w:r>
          </w:p>
        </w:tc>
        <w:tc>
          <w:tcPr>
            <w:tcW w:w="16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(2,249,038)</w:t>
            </w: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45"/>
        </w:trPr>
        <w:tc>
          <w:tcPr>
            <w:tcW w:w="160" w:type="dxa"/>
            <w:vAlign w:val="bottom"/>
          </w:tcPr>
          <w:p>
            <w:pPr>
              <w:spacing w:after="0"/>
              <w:rPr>
                <w:sz w:val="24"/>
                <w:szCs w:val="24"/>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(8,874)</w:t>
            </w:r>
          </w:p>
        </w:tc>
        <w:tc>
          <w:tcPr>
            <w:tcW w:w="16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(13,701)</w:t>
            </w: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(3,836,421</w:t>
            </w:r>
            <w:r>
              <w:rPr>
                <w:rFonts w:ascii="Arial" w:cs="Arial" w:eastAsia="Arial" w:hAnsi="Arial"/>
                <w:sz w:val="35"/>
                <w:szCs w:val="35"/>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(2,262,739</w:t>
            </w:r>
            <w:r>
              <w:rPr>
                <w:rFonts w:ascii="Arial" w:cs="Arial" w:eastAsia="Arial" w:hAnsi="Arial"/>
                <w:sz w:val="35"/>
                <w:szCs w:val="35"/>
                <w:color w:val="auto"/>
                <w:vertAlign w:val="superscript"/>
              </w:rPr>
              <w:t>)</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(0.01</w:t>
            </w:r>
            <w:r>
              <w:rPr>
                <w:rFonts w:ascii="Arial" w:cs="Arial" w:eastAsia="Arial" w:hAnsi="Arial"/>
                <w:sz w:val="35"/>
                <w:szCs w:val="35"/>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(0.00</w:t>
            </w:r>
            <w:r>
              <w:rPr>
                <w:rFonts w:ascii="Arial" w:cs="Arial" w:eastAsia="Arial" w:hAnsi="Arial"/>
                <w:sz w:val="35"/>
                <w:szCs w:val="35"/>
                <w:color w:val="auto"/>
                <w:vertAlign w:val="superscript"/>
              </w:rPr>
              <w:t>)</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160" w:type="dxa"/>
            <w:vAlign w:val="bottom"/>
          </w:tcPr>
          <w:p>
            <w:pPr>
              <w:spacing w:after="0"/>
              <w:rPr>
                <w:sz w:val="24"/>
                <w:szCs w:val="24"/>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w w:val="93"/>
              </w:rPr>
              <w:t>519,436,402</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478,950,996</w:t>
            </w:r>
          </w:p>
        </w:tc>
        <w:tc>
          <w:tcPr>
            <w:tcW w:w="40" w:type="dxa"/>
            <w:vAlign w:val="bottom"/>
          </w:tcPr>
          <w:p>
            <w:pPr>
              <w:spacing w:after="0"/>
              <w:rPr>
                <w:sz w:val="24"/>
                <w:szCs w:val="24"/>
                <w:color w:val="auto"/>
              </w:rPr>
            </w:pPr>
          </w:p>
        </w:tc>
      </w:tr>
      <w:tr>
        <w:trPr>
          <w:trHeight w:val="21"/>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5"/>
          </w:tcPr>
          <w:p>
            <w:pPr>
              <w:jc w:val="right"/>
              <w:ind w:right="501"/>
              <w:spacing w:after="0"/>
              <w:rPr>
                <w:sz w:val="20"/>
                <w:szCs w:val="20"/>
                <w:color w:val="auto"/>
              </w:rPr>
            </w:pPr>
            <w:r>
              <w:rPr>
                <w:rFonts w:ascii="Arial" w:cs="Arial" w:eastAsia="Arial" w:hAnsi="Arial"/>
                <w:sz w:val="18"/>
                <w:szCs w:val="18"/>
                <w:color w:val="auto"/>
              </w:rPr>
              <w:t>Three Months Ended</w:t>
            </w:r>
          </w:p>
        </w:tc>
      </w:tr>
      <w:tr>
        <w:trPr>
          <w:trHeight w:val="237"/>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(3,836,421)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(2,262,739)</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Foreign currency translation (loss) gain</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(116,264)</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24,228</w:t>
            </w:r>
          </w:p>
        </w:tc>
      </w:tr>
      <w:tr>
        <w:trPr>
          <w:trHeight w:val="250"/>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(3,952,685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(2,238,511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gridSpan w:val="6"/>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Paid-in</w:t>
            </w:r>
          </w:p>
        </w:tc>
        <w:tc>
          <w:tcPr>
            <w:tcW w:w="100" w:type="dxa"/>
            <w:vAlign w:val="bottom"/>
          </w:tcPr>
          <w:p>
            <w:pPr>
              <w:spacing w:after="0"/>
              <w:rPr>
                <w:sz w:val="21"/>
                <w:szCs w:val="21"/>
                <w:color w:val="auto"/>
              </w:rPr>
            </w:pPr>
          </w:p>
        </w:tc>
        <w:tc>
          <w:tcPr>
            <w:tcW w:w="1200" w:type="dxa"/>
            <w:vAlign w:val="bottom"/>
            <w:gridSpan w:val="2"/>
          </w:tcPr>
          <w:p>
            <w:pPr>
              <w:jc w:val="center"/>
              <w:ind w:right="121"/>
              <w:spacing w:after="0"/>
              <w:rPr>
                <w:sz w:val="20"/>
                <w:szCs w:val="20"/>
                <w:color w:val="auto"/>
              </w:rPr>
            </w:pPr>
            <w:r>
              <w:rPr>
                <w:rFonts w:ascii="Arial" w:cs="Arial" w:eastAsia="Arial" w:hAnsi="Arial"/>
                <w:sz w:val="18"/>
                <w:szCs w:val="18"/>
                <w:color w:val="auto"/>
                <w:w w:val="92"/>
              </w:rPr>
              <w:t>Accumulated</w:t>
            </w:r>
          </w:p>
        </w:tc>
        <w:tc>
          <w:tcPr>
            <w:tcW w:w="136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20"/>
                <w:szCs w:val="20"/>
                <w:color w:val="auto"/>
              </w:rPr>
            </w:pPr>
          </w:p>
        </w:tc>
        <w:tc>
          <w:tcPr>
            <w:tcW w:w="1200" w:type="dxa"/>
            <w:vAlign w:val="bottom"/>
            <w:gridSpan w:val="2"/>
          </w:tcPr>
          <w:p>
            <w:pPr>
              <w:jc w:val="center"/>
              <w:ind w:right="141"/>
              <w:spacing w:after="0"/>
              <w:rPr>
                <w:sz w:val="20"/>
                <w:szCs w:val="20"/>
                <w:color w:val="auto"/>
              </w:rPr>
            </w:pPr>
            <w:r>
              <w:rPr>
                <w:rFonts w:ascii="Arial" w:cs="Arial" w:eastAsia="Arial" w:hAnsi="Arial"/>
                <w:sz w:val="18"/>
                <w:szCs w:val="18"/>
                <w:color w:val="auto"/>
                <w:w w:val="99"/>
              </w:rPr>
              <w:t>Deficit</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5"/>
        </w:trPr>
        <w:tc>
          <w:tcPr>
            <w:tcW w:w="4300" w:type="dxa"/>
            <w:vAlign w:val="bottom"/>
            <w:gridSpan w:val="2"/>
          </w:tcPr>
          <w:p>
            <w:pPr>
              <w:spacing w:after="0" w:line="176" w:lineRule="exact"/>
              <w:rPr>
                <w:sz w:val="20"/>
                <w:szCs w:val="20"/>
                <w:color w:val="auto"/>
              </w:rPr>
            </w:pPr>
            <w:r>
              <w:rPr>
                <w:rFonts w:ascii="Arial" w:cs="Arial" w:eastAsia="Arial" w:hAnsi="Arial"/>
                <w:sz w:val="18"/>
                <w:szCs w:val="18"/>
                <w:color w:val="auto"/>
              </w:rPr>
              <w:t>Three Months Ended March 31, 2020</w:t>
            </w: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72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518,125,454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51,812</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$94,982,167</w:t>
            </w:r>
          </w:p>
        </w:tc>
        <w:tc>
          <w:tcPr>
            <w:tcW w:w="130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w w:val="95"/>
              </w:rPr>
              <w:t>$ (86,935,593)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177,385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8,275,771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Modification of warrants issued with debt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95,223</w:t>
            </w:r>
          </w:p>
        </w:tc>
        <w:tc>
          <w:tcPr>
            <w:tcW w:w="13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168,660</w:t>
            </w:r>
          </w:p>
        </w:tc>
        <w:tc>
          <w:tcPr>
            <w:tcW w:w="130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180"/>
              <w:spacing w:after="0"/>
              <w:rPr>
                <w:sz w:val="20"/>
                <w:szCs w:val="20"/>
                <w:color w:val="auto"/>
              </w:rPr>
            </w:pPr>
            <w:r>
              <w:rPr>
                <w:rFonts w:ascii="Arial" w:cs="Arial" w:eastAsia="Arial" w:hAnsi="Arial"/>
                <w:sz w:val="18"/>
                <w:szCs w:val="18"/>
                <w:color w:val="auto"/>
                <w:w w:val="96"/>
              </w:rPr>
              <w:t>Issuance of common stock to settle accounts payable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8,259</w:t>
            </w:r>
          </w:p>
        </w:tc>
        <w:tc>
          <w:tcPr>
            <w:tcW w:w="13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(3,836,421)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(3,836,421)</w:t>
            </w:r>
          </w:p>
        </w:tc>
        <w:tc>
          <w:tcPr>
            <w:tcW w:w="0" w:type="dxa"/>
            <w:vAlign w:val="bottom"/>
          </w:tcPr>
          <w:p>
            <w:pPr>
              <w:spacing w:after="0"/>
              <w:rPr>
                <w:sz w:val="1"/>
                <w:szCs w:val="1"/>
                <w:color w:val="auto"/>
              </w:rPr>
            </w:pPr>
          </w:p>
        </w:tc>
      </w:tr>
      <w:tr>
        <w:trPr>
          <w:trHeight w:val="229"/>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(116,264)</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(116,264)</w:t>
            </w:r>
          </w:p>
        </w:tc>
        <w:tc>
          <w:tcPr>
            <w:tcW w:w="0" w:type="dxa"/>
            <w:vAlign w:val="bottom"/>
          </w:tcPr>
          <w:p>
            <w:pPr>
              <w:spacing w:after="0"/>
              <w:rPr>
                <w:sz w:val="1"/>
                <w:szCs w:val="1"/>
                <w:color w:val="auto"/>
              </w:rPr>
            </w:pPr>
          </w:p>
        </w:tc>
      </w:tr>
      <w:tr>
        <w:trPr>
          <w:trHeight w:val="27"/>
        </w:trPr>
        <w:tc>
          <w:tcPr>
            <w:tcW w:w="4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Balances, March 31, 2020</w:t>
            </w: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gridSpan w:val="2"/>
            <w:vMerge w:val="continue"/>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522,731,646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95,254,309</w:t>
            </w:r>
          </w:p>
        </w:tc>
        <w:tc>
          <w:tcPr>
            <w:tcW w:w="100" w:type="dxa"/>
            <w:vAlign w:val="bottom"/>
            <w:vMerge w:val="continue"/>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(90,772,014</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4,595,689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7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Three Months Ended March 31, 2019</w:t>
            </w:r>
          </w:p>
        </w:tc>
        <w:tc>
          <w:tcPr>
            <w:tcW w:w="15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Balances, December 31, 2018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478,950,996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47,895</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$90,770,682</w:t>
            </w:r>
          </w:p>
        </w:tc>
        <w:tc>
          <w:tcPr>
            <w:tcW w:w="1300" w:type="dxa"/>
            <w:vAlign w:val="bottom"/>
            <w:gridSpan w:val="3"/>
          </w:tcPr>
          <w:p>
            <w:pPr>
              <w:jc w:val="right"/>
              <w:ind w:right="81"/>
              <w:spacing w:after="0"/>
              <w:rPr>
                <w:sz w:val="20"/>
                <w:szCs w:val="20"/>
                <w:color w:val="auto"/>
              </w:rPr>
            </w:pPr>
            <w:r>
              <w:rPr>
                <w:rFonts w:ascii="Arial" w:cs="Arial" w:eastAsia="Arial" w:hAnsi="Arial"/>
                <w:sz w:val="18"/>
                <w:szCs w:val="18"/>
                <w:color w:val="auto"/>
                <w:w w:val="95"/>
              </w:rPr>
              <w:t>$ (76,435,235)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207,754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14,591,096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415,379</w:t>
            </w:r>
          </w:p>
        </w:tc>
        <w:tc>
          <w:tcPr>
            <w:tcW w:w="130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1"/>
              <w:spacing w:after="0"/>
              <w:rPr>
                <w:sz w:val="20"/>
                <w:szCs w:val="20"/>
                <w:color w:val="auto"/>
              </w:rPr>
            </w:pPr>
            <w:r>
              <w:rPr>
                <w:rFonts w:ascii="Arial" w:cs="Arial" w:eastAsia="Arial" w:hAnsi="Arial"/>
                <w:sz w:val="18"/>
                <w:szCs w:val="18"/>
                <w:color w:val="auto"/>
              </w:rPr>
              <w:t>(2,262,739)</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(2,262,739)</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24,228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Balances, March 31, 2019</w:t>
            </w: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gridSpan w:val="2"/>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478,950,996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47,895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91,186,061</w:t>
            </w:r>
          </w:p>
        </w:tc>
        <w:tc>
          <w:tcPr>
            <w:tcW w:w="100" w:type="dxa"/>
            <w:vAlign w:val="bottom"/>
            <w:vMerge w:val="continue"/>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 (78,697,974</w:t>
            </w:r>
          </w:p>
        </w:tc>
        <w:tc>
          <w:tcPr>
            <w:tcW w:w="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231,982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12,767,964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6"/>
          </w:tcPr>
          <w:p>
            <w:pPr>
              <w:jc w:val="center"/>
              <w:ind w:right="321"/>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6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2"/>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(3,836,421)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(2,262,739)</w:t>
            </w: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flows from operations: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304,211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160,788</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169,110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415,379</w:t>
            </w: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discounts and issuance costs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95,948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27,441</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Extinguishment of note payable</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985,481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871,807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(450,291)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(557,737)</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Net investment in direct financing lease</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15,686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14,100</w:t>
            </w: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355,880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213,842</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37,714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(42,424)</w:t>
            </w: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156,446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(28,964)</w:t>
            </w:r>
          </w:p>
        </w:tc>
      </w:tr>
      <w:tr>
        <w:trPr>
          <w:trHeight w:val="237"/>
        </w:trPr>
        <w:tc>
          <w:tcPr>
            <w:tcW w:w="67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121,719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315,624</w:t>
            </w:r>
          </w:p>
        </w:tc>
      </w:tr>
      <w:tr>
        <w:trPr>
          <w:trHeight w:val="223"/>
        </w:trPr>
        <w:tc>
          <w:tcPr>
            <w:tcW w:w="67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flows from operating activities</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(1,172,710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Investment in other assets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proceeds from issuance of convertible notes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Principal payments on notes payable and capital lease obligations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Effect of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Beginning of the Period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End of the Period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(2,394)</w:t>
            </w:r>
          </w:p>
        </w:tc>
        <w:tc>
          <w:tcPr>
            <w:tcW w:w="2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(14,900)</w:t>
            </w:r>
          </w:p>
        </w:tc>
      </w:tr>
      <w:tr>
        <w:trPr>
          <w:trHeight w:val="251"/>
        </w:trPr>
        <w:tc>
          <w:tcPr>
            <w:tcW w:w="3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(128,676)</w:t>
            </w:r>
          </w:p>
        </w:tc>
        <w:tc>
          <w:tcPr>
            <w:tcW w:w="28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(315,282)</w:t>
            </w: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(131,070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(330,182</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634"/>
        </w:trPr>
        <w:tc>
          <w:tcPr>
            <w:tcW w:w="32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1,510,000</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(104,800)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32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(9,600)</w:t>
            </w:r>
          </w:p>
        </w:tc>
        <w:tc>
          <w:tcPr>
            <w:tcW w:w="28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(7,381)</w:t>
            </w: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1,395,600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(7,381</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445"/>
        </w:trPr>
        <w:tc>
          <w:tcPr>
            <w:tcW w:w="32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(96,653)</w:t>
            </w:r>
          </w:p>
        </w:tc>
        <w:tc>
          <w:tcPr>
            <w:tcW w:w="2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30,817</w:t>
            </w:r>
          </w:p>
        </w:tc>
        <w:tc>
          <w:tcPr>
            <w:tcW w:w="40" w:type="dxa"/>
            <w:vAlign w:val="bottom"/>
          </w:tcPr>
          <w:p>
            <w:pPr>
              <w:spacing w:after="0"/>
              <w:rPr>
                <w:sz w:val="24"/>
                <w:szCs w:val="24"/>
                <w:color w:val="auto"/>
              </w:rPr>
            </w:pPr>
          </w:p>
        </w:tc>
      </w:tr>
      <w:tr>
        <w:trPr>
          <w:trHeight w:val="27"/>
        </w:trPr>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31"/>
        </w:trPr>
        <w:tc>
          <w:tcPr>
            <w:tcW w:w="32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(4,833)</w:t>
            </w:r>
          </w:p>
        </w:tc>
        <w:tc>
          <w:tcPr>
            <w:tcW w:w="2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(2,051,436)</w:t>
            </w:r>
          </w:p>
        </w:tc>
      </w:tr>
      <w:tr>
        <w:trPr>
          <w:trHeight w:val="230"/>
        </w:trPr>
        <w:tc>
          <w:tcPr>
            <w:tcW w:w="32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567,081</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4,972,331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562,248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2,920,895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720" w:space="720"/>
            <w:col w:w="280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0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13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2,792</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vMerge w:val="continue"/>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Modification of warrants issued with convertible debt</w:t>
            </w:r>
          </w:p>
        </w:tc>
        <w:tc>
          <w:tcPr>
            <w:tcW w:w="13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95,223</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0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Exchange of notes payable and accrued interest for convertible notes payable</w:t>
            </w:r>
          </w:p>
        </w:tc>
        <w:tc>
          <w:tcPr>
            <w:tcW w:w="1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vMerge w:val="continue"/>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2,662,000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Settlement of accounts payable with issuance of common stock</w:t>
            </w:r>
          </w:p>
        </w:tc>
        <w:tc>
          <w:tcPr>
            <w:tcW w:w="13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180"/>
              <w:spacing w:after="0"/>
              <w:rPr>
                <w:sz w:val="20"/>
                <w:szCs w:val="20"/>
                <w:color w:val="auto"/>
              </w:rPr>
            </w:pPr>
            <w:r>
              <w:rPr>
                <w:rFonts w:ascii="Arial" w:cs="Arial" w:eastAsia="Arial" w:hAnsi="Arial"/>
                <w:sz w:val="18"/>
                <w:szCs w:val="18"/>
                <w:color w:val="auto"/>
              </w:rPr>
              <w:t>Purchase of vehicle with note payable</w:t>
            </w:r>
          </w:p>
        </w:tc>
        <w:tc>
          <w:tcPr>
            <w:tcW w:w="16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vMerge w:val="continue"/>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Recognition of lease right to use assets and liabilities</w:t>
            </w:r>
          </w:p>
        </w:tc>
        <w:tc>
          <w:tcPr>
            <w:tcW w:w="13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2019. The results of operations for the three months ended March 31, 2020 are not necessarily indicative of the results to be expected for future periods or the full year.</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Ipsidy Inc. and its wholly-owned subsidiaries MultiPay S.A.S., ID Global LATAM, IDGS S.A.S., ID Solutions, Inc., FIN Holdings Inc., Ipsidy Enterprises Limited, Cards Plus Pty Ltd. and Ipsidy Peru S.A.C. (collectively the “Company”). All significant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the Company had an accumulated deficit of approximately $90.8 million. For the three months ended March 31, 2020 the Company earned revenue of approximately $0.8 million and incurred a loss from operations of approximately $2.7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 on our consolidated financial statements for the years ended December 31, 2019 and 2018 contained an explanatory paragraph regarding our ability to continue as a going concern based upon our net losses.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In connection with this private offering, the Company paid Network 1 Financial Securities, Inc., a registered broker-dealer, a cash fee of approximately $104,800.</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May 2020, the Company received a loan of approximately $485,000 under the Paycheck Protection Program of the U.S. Small Business Association related to its U.S. operations. The Company anticipates most of the loan will be forgiven in accordance with the provisions of the program.</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novel strain of coronavirus (“Covid-19”) emerged globally in December 2019 and has been declared a pandemic. The extent to which Covid-19 will impact our customers, business, results and financial condition will depend on current and future developments, which are highly uncertain and cannot be predicted at this time. The Company’s day-to-day operations beginning March 2020 have been impacted differently depending on geographic location and services that are being performed. The Cards Plus business located in South Africa has not had any operations in April 2020 as the Company is following the guidance and requirements of the South African government. Our operations in the United States and Colombia have suffered less immediate impact as most staff can work remotely and can continue to develop our product offerings.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months ended March 31, 2020 and 2019 because their effect was antidilutive: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109,823,340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106,253,339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47,453,227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46,201,477</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157,276,567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152,454,816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Inventories of kiosks held by IDGS S.A.S are stated at the lower of cost (using the first-in, first-out method) or net realizable value. The kiosks provide electronic ticketing for transit systems. Inventory of plastic/ID cards, digital printing material, which are held by Cards Plus Pty Ltd., are at the lower of cost (using the average method) or market. The Plastic/ID cards and digital printing material are used to provide plastic loyal ID and other types of cards. Inventories at March 31, 2020 consist solely of the cards inventory. As of December 31, 2019, inventory consisted of kiosks that were not placed into service and were held for sale and cards inventory. Any adjustments to reduce the cost of inventories to their net realizable value are recognized in earnings in the current period. As of December 31, 2019, the Company had an inventory valuation allowance of approximately $236,000 to reflect net realizable value of the kiosks that are being held for sale and the Company believed no valuation allowance was necessary regarding the cards inventory. As of March 31, 2020, the Company did not believe a valuation allowance was necessary for the cards inventory.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the Company’s revenue recognition policy determined by revenue stream for its significant revenue generating activities during the period ended March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Cards Plus - The Company recognizes revenue for the design and production of cards when products are shipped or services have been performed due to the short term nature of the contracts.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 Processing – The Company recognizes revenue for variable fees generated for payment processing solutions that are earned on a usage fee over time based on monthly transaction volumes or on a monthly flat fee rate. Additionally, the Company also sells certain equipment from time to time for which revenue is recognized upon delivery to the customer.</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Identity Solutions Software – The Company recognizes revenue based on the identified performance obligations over the performance period for fixed consideration and for variable fees generated that are earned on a usage fee based over time based on monthly transaction volumes or on a monthly flat fee rate. The Company had a deferred revenue contract liability of approximately $547,000 and $425,000 as of March 31, 2020 and December 31, 2019 for certain revenue that will be earned in future periods. The majority of the $425,000 of deferred revenue contract liability as of December 31, 2019 was earned in the three months ended March 31, 2020. The $547,000 of deferred revenue contract liability as of March 31, 2020 will be earned ratably over the ensuing four quarters. We have allocated the selling price in the contract to one customer which has multiple performance obligations based on the contract selling price that we believe represents a fair market price for the service rendered.</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contracts are reviewed for their respective performance obligations and related revenue and expense recognition implications. Certain of the revenues are derived from the identity services could include multiple performance obligations. A performance obligation under the revenue standard is defined as a promise to provide a “distinct” good or service to a customer. The Company has determined that one possible treatment under the standard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may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standard accordingly to the revenue and expense derived from or related to each such service.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311" w:lineRule="auto"/>
        <w:rPr>
          <w:sz w:val="20"/>
          <w:szCs w:val="20"/>
          <w:color w:val="auto"/>
        </w:rPr>
      </w:pPr>
      <w:r>
        <w:rPr>
          <w:rFonts w:ascii="Arial" w:cs="Arial" w:eastAsia="Arial" w:hAnsi="Arial"/>
          <w:sz w:val="16"/>
          <w:szCs w:val="16"/>
          <w:color w:val="auto"/>
        </w:rPr>
        <w:t>Additionally, the Company capitalizes the incremental costs of acquiring and fulfilling a contract with a customer if the Company expects to recover those costs. The incremental costs of acquiring and fulfilling a contract are those that the Company incurs to acquire and fulfill a contract with a customer that it would not have incurred if the contract had not been acquired (for example, a sales commission or specific incremental costs associated with the contract).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Company capitalizes the costs incurred to acquire and fulfill a contract only if those costs meet all the following criteria:</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relate directly to a contract or to an anticipated contract that the Company can specifically identify.</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generate or enhance resources of the Company that will be used in satisfying (or in continuing to satisfy) performance obligations in the future.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are expected to be recovered.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capitalize contract acquisition and fulfillment costs related to signing or renewing contracts that meet the above criteria, which will be classified as contract cost assets in the Company’s Consolidated Balance Sheets.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Contract cost assets will be amortized using the straight-line method over the expected period of benefit beginning at the time revenue begins to be realized. The amortization of contract fulfillment cost assets associated with facilitating transactions will be recorded as cost of services in the Company’s Consolidated Statements of Operations. The amortization of contract acquisition cost assets associated with sales commissions that qualify for capitalization will be recorded as selling, general and administrative expense in the Company’s Consolidated Statements of Operations.</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March 31, 2020, the Company had deferred contract costs, represented by contract cost assets of approximately $5,000 which are included in other currents assets for certain costs incurred for the future delivery of election support services. The performance obligation will be met over the next year and the costs will be expensed as the associated revenue is recognized as the Company performances its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Revenue related to direct financing leases is outside the scope of Topic 606 and is recognized over the term of the lease using the effective interest method.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2 – 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 March 31, 2020 and December 31, 2019: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284,710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Equipment under capital lease (see Note 10)</w:t>
            </w:r>
          </w:p>
        </w:tc>
        <w:tc>
          <w:tcPr>
            <w:tcW w:w="240" w:type="dxa"/>
            <w:vAlign w:val="bottom"/>
          </w:tcPr>
          <w:p>
            <w:pPr>
              <w:spacing w:after="0"/>
              <w:rPr>
                <w:sz w:val="20"/>
                <w:szCs w:val="20"/>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156,867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156,867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441,577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(291,888)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(277,363)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149,689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161,820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$14,525 and $18,630 for the three months ended March 31,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OTHER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assets consist of software being developed for new product offerings that have not been placed into service. Other assets consisted of the following at March 31, 2020 and December 31, 2019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Software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198,010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128,005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 of use assets</w:t>
            </w:r>
          </w:p>
        </w:tc>
        <w:tc>
          <w:tcPr>
            <w:tcW w:w="14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130,504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171,141</w:t>
            </w: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178,303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83,920</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506,817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383,066</w:t>
            </w:r>
          </w:p>
        </w:tc>
        <w:tc>
          <w:tcPr>
            <w:tcW w:w="8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 INTANGIBLE ASSETS, NET (OTHER THAN GOODWILL)</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intangible assets consist of intellectual property acquired from MultiPay and FIN and are amortized over their estimated useful lives as indicated below. The following is a summary of activity related to intangible assets for the three months ended March 31, 2020: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Acquired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Customer</w:t>
            </w:r>
          </w:p>
        </w:tc>
        <w:tc>
          <w:tcPr>
            <w:tcW w:w="80" w:type="dxa"/>
            <w:vAlign w:val="bottom"/>
          </w:tcPr>
          <w:p>
            <w:pPr>
              <w:spacing w:after="0"/>
              <w:rPr>
                <w:sz w:val="19"/>
                <w:szCs w:val="19"/>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Developed</w:t>
            </w:r>
          </w:p>
        </w:tc>
        <w:tc>
          <w:tcPr>
            <w:tcW w:w="1080" w:type="dxa"/>
            <w:vAlign w:val="bottom"/>
            <w:gridSpan w:val="4"/>
          </w:tcPr>
          <w:p>
            <w:pPr>
              <w:ind w:left="80"/>
              <w:spacing w:after="0"/>
              <w:rPr>
                <w:sz w:val="20"/>
                <w:szCs w:val="20"/>
                <w:color w:val="auto"/>
              </w:rPr>
            </w:pPr>
            <w:r>
              <w:rPr>
                <w:rFonts w:ascii="Arial" w:cs="Arial" w:eastAsia="Arial" w:hAnsi="Arial"/>
                <w:sz w:val="18"/>
                <w:szCs w:val="18"/>
                <w:color w:val="auto"/>
              </w:rPr>
              <w:t>Intellectual</w:t>
            </w:r>
          </w:p>
        </w:tc>
        <w:tc>
          <w:tcPr>
            <w:tcW w:w="120" w:type="dxa"/>
            <w:vAlign w:val="bottom"/>
          </w:tcPr>
          <w:p>
            <w:pPr>
              <w:spacing w:after="0"/>
              <w:rPr>
                <w:sz w:val="19"/>
                <w:szCs w:val="19"/>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Non-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Patents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280" w:type="dxa"/>
            <w:vAlign w:val="bottom"/>
            <w:gridSpan w:val="4"/>
          </w:tcPr>
          <w:p>
            <w:pPr>
              <w:ind w:left="1180"/>
              <w:spacing w:after="0"/>
              <w:rPr>
                <w:sz w:val="20"/>
                <w:szCs w:val="20"/>
                <w:color w:val="auto"/>
              </w:rPr>
            </w:pPr>
            <w:r>
              <w:rPr>
                <w:rFonts w:ascii="Arial" w:cs="Arial" w:eastAsia="Arial" w:hAnsi="Arial"/>
                <w:sz w:val="18"/>
                <w:szCs w:val="18"/>
                <w:color w:val="auto"/>
                <w:w w:val="99"/>
              </w:rPr>
              <w:t>Relationships</w:t>
            </w:r>
          </w:p>
        </w:tc>
        <w:tc>
          <w:tcPr>
            <w:tcW w:w="8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Software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Property</w:t>
            </w:r>
          </w:p>
        </w:tc>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Compete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Pending</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Useful Lives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 Years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 Years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 Years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 Years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2019</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970,019</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$ 3,651,924</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862,792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$ 5,593,612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Additions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4,925</w:t>
            </w:r>
          </w:p>
        </w:tc>
        <w:tc>
          <w:tcPr>
            <w:tcW w:w="840" w:type="dxa"/>
            <w:vAlign w:val="bottom"/>
          </w:tcPr>
          <w:p>
            <w:pPr>
              <w:jc w:val="right"/>
              <w:spacing w:after="0"/>
              <w:rPr>
                <w:sz w:val="20"/>
                <w:szCs w:val="20"/>
                <w:color w:val="auto"/>
              </w:rPr>
            </w:pPr>
            <w:r>
              <w:rPr>
                <w:rFonts w:ascii="Arial" w:cs="Arial" w:eastAsia="Arial" w:hAnsi="Arial"/>
                <w:sz w:val="18"/>
                <w:szCs w:val="18"/>
                <w:color w:val="auto"/>
              </w:rPr>
              <w:t>4,925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(39,679)</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(212,911)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(37,096)</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(289,686)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Carrying Value at March 31, 2020</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930,340</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$ 3,439,013</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825,696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113,802</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$ 5,308,851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as of March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Acquired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Customer</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Developed</w:t>
            </w: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Intellectual</w:t>
            </w:r>
          </w:p>
        </w:tc>
        <w:tc>
          <w:tcPr>
            <w:tcW w:w="160" w:type="dxa"/>
            <w:vAlign w:val="bottom"/>
          </w:tcPr>
          <w:p>
            <w:pPr>
              <w:spacing w:after="0"/>
              <w:rPr>
                <w:sz w:val="19"/>
                <w:szCs w:val="19"/>
                <w:color w:val="auto"/>
              </w:rPr>
            </w:pPr>
          </w:p>
        </w:tc>
        <w:tc>
          <w:tcPr>
            <w:tcW w:w="640" w:type="dxa"/>
            <w:vAlign w:val="bottom"/>
            <w:gridSpan w:val="2"/>
          </w:tcPr>
          <w:p>
            <w:pPr>
              <w:jc w:val="right"/>
              <w:ind w:right="138"/>
              <w:spacing w:after="0"/>
              <w:rPr>
                <w:sz w:val="20"/>
                <w:szCs w:val="20"/>
                <w:color w:val="auto"/>
              </w:rPr>
            </w:pPr>
            <w:r>
              <w:rPr>
                <w:rFonts w:ascii="Arial" w:cs="Arial" w:eastAsia="Arial" w:hAnsi="Arial"/>
                <w:sz w:val="18"/>
                <w:szCs w:val="18"/>
                <w:color w:val="auto"/>
              </w:rPr>
              <w:t>Non-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Patents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Relationships</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Software</w:t>
            </w: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Property</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5"/>
              </w:rPr>
              <w:t>Compete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Pending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1,587,159</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$ 4,071,550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1,498,363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113,802</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$ 7,284,960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(656,819)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(632,537)</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(672,667)</w:t>
            </w:r>
          </w:p>
        </w:tc>
        <w:tc>
          <w:tcPr>
            <w:tcW w:w="160" w:type="dxa"/>
            <w:vAlign w:val="bottom"/>
          </w:tcPr>
          <w:p>
            <w:pPr>
              <w:spacing w:after="0"/>
              <w:rPr>
                <w:sz w:val="19"/>
                <w:szCs w:val="19"/>
                <w:color w:val="auto"/>
              </w:rPr>
            </w:pPr>
          </w:p>
        </w:tc>
        <w:tc>
          <w:tcPr>
            <w:tcW w:w="840" w:type="dxa"/>
            <w:vAlign w:val="bottom"/>
            <w:gridSpan w:val="3"/>
          </w:tcPr>
          <w:p>
            <w:pPr>
              <w:jc w:val="right"/>
              <w:ind w:right="70"/>
              <w:spacing w:after="0"/>
              <w:rPr>
                <w:sz w:val="20"/>
                <w:szCs w:val="20"/>
                <w:color w:val="auto"/>
              </w:rPr>
            </w:pPr>
            <w:r>
              <w:rPr>
                <w:rFonts w:ascii="Arial" w:cs="Arial" w:eastAsia="Arial" w:hAnsi="Arial"/>
                <w:sz w:val="18"/>
                <w:szCs w:val="18"/>
                <w:color w:val="auto"/>
                <w:w w:val="98"/>
              </w:rPr>
              <w:t>(14,087)</w:t>
            </w: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(1,976,110)</w:t>
            </w:r>
          </w:p>
        </w:tc>
        <w:tc>
          <w:tcPr>
            <w:tcW w:w="0" w:type="dxa"/>
            <w:vAlign w:val="bottom"/>
          </w:tcPr>
          <w:p>
            <w:pPr>
              <w:spacing w:after="0"/>
              <w:rPr>
                <w:sz w:val="1"/>
                <w:szCs w:val="1"/>
                <w:color w:val="auto"/>
              </w:rPr>
            </w:pPr>
          </w:p>
        </w:tc>
      </w:tr>
      <w:tr>
        <w:trPr>
          <w:trHeight w:val="27"/>
        </w:trPr>
        <w:tc>
          <w:tcPr>
            <w:tcW w:w="4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March 31, 2020</w:t>
            </w: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930,340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$ 3,439,013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825,696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113,802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$ 5,308,851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9060" w:type="dxa"/>
            <w:vAlign w:val="bottom"/>
            <w:gridSpan w:val="12"/>
          </w:tcPr>
          <w:p>
            <w:pPr>
              <w:spacing w:after="0"/>
              <w:rPr>
                <w:sz w:val="20"/>
                <w:szCs w:val="20"/>
                <w:color w:val="auto"/>
              </w:rPr>
            </w:pPr>
            <w:r>
              <w:rPr>
                <w:rFonts w:ascii="Arial" w:cs="Arial" w:eastAsia="Arial" w:hAnsi="Arial"/>
                <w:sz w:val="18"/>
                <w:szCs w:val="18"/>
                <w:color w:val="auto"/>
                <w:w w:val="93"/>
              </w:rPr>
              <w:t>Amortization expense totaled $289,686 and $141,047 for the three months ended March 31, 2020 and 2019, respectively.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w w:val="99"/>
              </w:rPr>
              <w:t>Future expected amortization of intangible assets is as follows: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Fiscal Year Ending December 31,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869,057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1,158,743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1,065,409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1,014,420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790,106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$ 5,308,851</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w w:val="97"/>
              </w:rPr>
              <w:t>NOTE 5 – ACCOUNTS PAYABLE AND ACCRUED EXPENSES</w:t>
            </w: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0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60" w:type="dxa"/>
            <w:vAlign w:val="bottom"/>
            <w:gridSpan w:val="9"/>
          </w:tcPr>
          <w:p>
            <w:pPr>
              <w:spacing w:after="0"/>
              <w:rPr>
                <w:sz w:val="20"/>
                <w:szCs w:val="20"/>
                <w:color w:val="auto"/>
              </w:rPr>
            </w:pPr>
            <w:r>
              <w:rPr>
                <w:rFonts w:ascii="Arial" w:cs="Arial" w:eastAsia="Arial" w:hAnsi="Arial"/>
                <w:sz w:val="18"/>
                <w:szCs w:val="18"/>
                <w:color w:val="auto"/>
                <w:w w:val="90"/>
              </w:rPr>
              <w:t>Accounts payable and accrued expenses consisted of the following as of March 31, 2020 and December 31, 2019: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w w:val="84"/>
              </w:rPr>
              <w:t>2020</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689,266</w:t>
            </w:r>
          </w:p>
        </w:tc>
        <w:tc>
          <w:tcPr>
            <w:tcW w:w="2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621,292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43,736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641,834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obligations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418,119</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386,165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217,131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467,782</w:t>
            </w:r>
          </w:p>
        </w:tc>
        <w:tc>
          <w:tcPr>
            <w:tcW w:w="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323,971</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gridSpan w:val="3"/>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w w:val="89"/>
              </w:rPr>
              <w:t>1,836,034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2,215,912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Arial" w:cs="Arial" w:eastAsia="Arial" w:hAnsi="Arial"/>
                <w:sz w:val="18"/>
                <w:szCs w:val="18"/>
                <w:b w:val="1"/>
                <w:bCs w:val="1"/>
                <w:color w:val="auto"/>
              </w:rPr>
              <w:t>NOTE 6 - NOTES PAYABLE, NET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60" w:type="dxa"/>
            <w:vAlign w:val="bottom"/>
          </w:tcPr>
          <w:p>
            <w:pPr>
              <w:spacing w:after="0"/>
              <w:rPr>
                <w:sz w:val="20"/>
                <w:szCs w:val="20"/>
                <w:color w:val="auto"/>
              </w:rPr>
            </w:pPr>
            <w:r>
              <w:rPr>
                <w:rFonts w:ascii="Arial" w:cs="Arial" w:eastAsia="Arial" w:hAnsi="Arial"/>
                <w:sz w:val="18"/>
                <w:szCs w:val="18"/>
                <w:color w:val="auto"/>
              </w:rPr>
              <w:t>The following is a summary of notes payable as of March 31, 2020 and December 31, 2019: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9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color w:val="auto"/>
              </w:rPr>
              <w:t>March 31,</w:t>
            </w:r>
          </w:p>
        </w:tc>
        <w:tc>
          <w:tcPr>
            <w:tcW w:w="1100" w:type="dxa"/>
            <w:vAlign w:val="bottom"/>
            <w:gridSpan w:val="3"/>
          </w:tcPr>
          <w:p>
            <w:pPr>
              <w:spacing w:after="0"/>
              <w:rPr>
                <w:sz w:val="20"/>
                <w:szCs w:val="20"/>
                <w:color w:val="auto"/>
              </w:rPr>
            </w:pPr>
            <w:r>
              <w:rPr>
                <w:rFonts w:ascii="Arial" w:cs="Arial" w:eastAsia="Arial" w:hAnsi="Arial"/>
                <w:sz w:val="18"/>
                <w:szCs w:val="18"/>
                <w:color w:val="auto"/>
                <w:w w:val="95"/>
              </w:rPr>
              <w:t>December 31,</w:t>
            </w:r>
          </w:p>
        </w:tc>
      </w:tr>
      <w:tr>
        <w:trPr>
          <w:trHeight w:val="237"/>
        </w:trPr>
        <w:tc>
          <w:tcPr>
            <w:tcW w:w="9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9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 January 2017, the Company issued a Senior Unsecured Note (“Note”) a face value of $3,000,000, payable two years from</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issuance, along with an aggregate of 4,500,000 shares of Common Stock, with a fair value of $1,147,500. The Company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allocated the proceeds to the note payable and common stock based on their relative fair value and recorded a discount of</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$830,018 to be amortized into interest expense over the two-year term of the note. The Company also paid debt issuance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costs consisting of a cash fee of $120,000 and 1,020,000 shares of common stock of the Company with a fair value of</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$306,000. On April 30, 2018, the Company and the Noteholder agreed to extend the due date of the note until April 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2020 for an extension fee of 1,500,000 shares of the Common Stock issued to the Noteholder. The April 2018 change in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terms of the Note payable has been determined to be a debt extinguishment in accordance with ASC 470. The reported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amounts under the debt extinguishment are not significantly different than that of the Company’s reported amounts. The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Note was amended on February 14, 2020 to conform to the terms of the 2020 Convertible Notes Payable offering. See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below</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2,000,000</w:t>
            </w:r>
          </w:p>
        </w:tc>
      </w:tr>
      <w:tr>
        <w:trPr>
          <w:trHeight w:val="202"/>
        </w:trPr>
        <w:tc>
          <w:tcPr>
            <w:tcW w:w="9060" w:type="dxa"/>
            <w:vAlign w:val="bottom"/>
          </w:tcPr>
          <w:p>
            <w:pPr>
              <w:spacing w:after="0" w:line="201" w:lineRule="exact"/>
              <w:rPr>
                <w:sz w:val="20"/>
                <w:szCs w:val="20"/>
                <w:color w:val="auto"/>
              </w:rPr>
            </w:pPr>
            <w:r>
              <w:rPr>
                <w:rFonts w:ascii="Arial" w:cs="Arial" w:eastAsia="Arial" w:hAnsi="Arial"/>
                <w:sz w:val="18"/>
                <w:szCs w:val="18"/>
                <w:color w:val="auto"/>
                <w:w w:val="92"/>
              </w:rPr>
              <w:t>Installment loan payable related to a vehicle acquisition payable in monthly payments of $539 per month at an interest rate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9060" w:type="dxa"/>
            <w:vAlign w:val="bottom"/>
          </w:tcPr>
          <w:p>
            <w:pPr>
              <w:ind w:left="140"/>
              <w:spacing w:after="0"/>
              <w:rPr>
                <w:sz w:val="20"/>
                <w:szCs w:val="20"/>
                <w:color w:val="auto"/>
              </w:rPr>
            </w:pPr>
            <w:r>
              <w:rPr>
                <w:rFonts w:ascii="Arial" w:cs="Arial" w:eastAsia="Arial" w:hAnsi="Arial"/>
                <w:sz w:val="18"/>
                <w:szCs w:val="18"/>
                <w:color w:val="auto"/>
              </w:rPr>
              <w:t>of 10.8% per annum payable for 36 months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11,584</w:t>
            </w: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12,866</w:t>
            </w:r>
          </w:p>
        </w:tc>
      </w:tr>
      <w:tr>
        <w:trPr>
          <w:trHeight w:val="216"/>
        </w:trPr>
        <w:tc>
          <w:tcPr>
            <w:tcW w:w="9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Outstanding</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2,012,866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Unamortized Deferred Debt Discount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(26,722)</w:t>
            </w:r>
          </w:p>
        </w:tc>
      </w:tr>
      <w:tr>
        <w:trPr>
          <w:trHeight w:val="249"/>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Debt Issuance Costs</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(9,866)</w:t>
            </w:r>
          </w:p>
        </w:tc>
      </w:tr>
      <w:tr>
        <w:trPr>
          <w:trHeight w:val="278"/>
        </w:trPr>
        <w:tc>
          <w:tcPr>
            <w:tcW w:w="90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Notes Payable, Net</w:t>
            </w:r>
          </w:p>
        </w:tc>
        <w:tc>
          <w:tcPr>
            <w:tcW w:w="80" w:type="dxa"/>
            <w:vAlign w:val="bottom"/>
            <w:tcBorders>
              <w:top w:val="single" w:sz="8" w:color="CCEEFF"/>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11,584</w:t>
            </w:r>
          </w:p>
        </w:tc>
        <w:tc>
          <w:tcPr>
            <w:tcW w:w="220" w:type="dxa"/>
            <w:vAlign w:val="bottom"/>
            <w:tcBorders>
              <w:top w:val="single" w:sz="8" w:color="CCEEFF"/>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1,976,278</w:t>
            </w:r>
          </w:p>
        </w:tc>
        <w:tc>
          <w:tcPr>
            <w:tcW w:w="100" w:type="dxa"/>
            <w:vAlign w:val="bottom"/>
            <w:tcBorders>
              <w:top w:val="single" w:sz="8" w:color="CCEEFF"/>
              <w:bottom w:val="single" w:sz="8" w:color="CCEEFF"/>
            </w:tcBorders>
          </w:tcPr>
          <w:p>
            <w:pPr>
              <w:spacing w:after="0"/>
              <w:rPr>
                <w:sz w:val="24"/>
                <w:szCs w:val="24"/>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current portion, net of discounts and current portion</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shd w:val="clear" w:color="auto" w:fill="CCEEFF"/>
          </w:tcPr>
          <w:p>
            <w:pPr>
              <w:spacing w:after="0"/>
              <w:rPr>
                <w:sz w:val="18"/>
                <w:szCs w:val="18"/>
                <w:color w:val="auto"/>
              </w:rPr>
            </w:pPr>
          </w:p>
        </w:tc>
      </w:tr>
      <w:tr>
        <w:trPr>
          <w:trHeight w:val="237"/>
        </w:trPr>
        <w:tc>
          <w:tcPr>
            <w:tcW w:w="9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Notes Payable, net of discounts and current portion</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1,970,937</w:t>
            </w:r>
          </w:p>
        </w:tc>
        <w:tc>
          <w:tcPr>
            <w:tcW w:w="100" w:type="dxa"/>
            <w:vAlign w:val="bottom"/>
            <w:tcBorders>
              <w:bottom w:val="single" w:sz="8" w:color="CCEEFF"/>
            </w:tcBorders>
          </w:tcPr>
          <w:p>
            <w:pPr>
              <w:spacing w:after="0"/>
              <w:rPr>
                <w:sz w:val="20"/>
                <w:szCs w:val="20"/>
                <w:color w:val="auto"/>
              </w:rPr>
            </w:pPr>
          </w:p>
        </w:tc>
      </w:tr>
      <w:tr>
        <w:trPr>
          <w:trHeight w:val="250"/>
        </w:trPr>
        <w:tc>
          <w:tcPr>
            <w:tcW w:w="90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1,976,278</w:t>
            </w:r>
          </w:p>
        </w:tc>
      </w:tr>
      <w:tr>
        <w:trPr>
          <w:trHeight w:val="21"/>
        </w:trPr>
        <w:tc>
          <w:tcPr>
            <w:tcW w:w="9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noted above, the Company and the Stern Trust entered an Amended and Restated Promissory Note (the “Restated Stern Note”) providing that the $2,000,000 Note will be due and payable on the same terms (bearing interest at 15% per annum) and on the same maturity date as the 2020 Notes and that the interest due under the Note as of January 31, 2020 in the amount of $662,000 will remain due and payable on the same terms as exist in the Note prior to modification provided that the maturity of such interest shall be extended to the same maturity date as the 2020 Notes detailed in Note 7. The Company accounted for the Restated Stern Note as an extinguishment of the Note and recorded a charge of $985,000 included in Other expenses in accompanying condensed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the Company’s notes payable and related discounts for the three months ended March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Principal</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w w:val="90"/>
              </w:rPr>
              <w:t>Debt Issuance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Balance</w:t>
            </w:r>
          </w:p>
        </w:tc>
        <w:tc>
          <w:tcPr>
            <w:tcW w:w="1340" w:type="dxa"/>
            <w:vAlign w:val="bottom"/>
            <w:gridSpan w:val="3"/>
          </w:tcPr>
          <w:p>
            <w:pPr>
              <w:spacing w:after="0"/>
              <w:rPr>
                <w:sz w:val="20"/>
                <w:szCs w:val="20"/>
                <w:color w:val="auto"/>
              </w:rPr>
            </w:pPr>
            <w:r>
              <w:rPr>
                <w:rFonts w:ascii="Arial" w:cs="Arial" w:eastAsia="Arial" w:hAnsi="Arial"/>
                <w:sz w:val="18"/>
                <w:szCs w:val="18"/>
                <w:color w:val="auto"/>
              </w:rPr>
              <w:t>Debt Discounts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2,012,866</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1,976,278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(1,282)</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 payable to convertible notes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9,866</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26,722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36,588</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11,584</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7 with the respect to the conversion of the $2,000,000 Senior Unsecured Note.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 CONVERTIBLE NOTES PAYABLE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13, 2019, the Company entered into Securities Purchase Agreements with several accredited investors (the “8% Note Investors”) providing for the sale by the Company to the Investors of 8% Convertible Notes in the aggregate amount of $428,000 (the “8% Notes”). The 8% Notes were to mature on November 30, 2021 and were a general unsecured obligation of the Company. The Company can prepay all or a portion of the 8% Notes at any time. The Company shall pay any interest on the 8% Notes at the rate of 8.0% per annum payable at the earlier of the maturity date or conversion date, in cash or, at the holder’s option, shares of common stock of the Company. At the option of the 8% Note investors, all or a portion of the 8% Notes may be converted into shares of common stock of the Company at a conversion price of $0.08 per share. If the holders of the 8% Notes owning outstanding 8.0% Notes representing in excess of half of the aggregate outstanding principal amount of all 8% Notes provide notice to the Company of their intent to convert their 8% Notes, then all 8% Notes plus unpaid interest and other amounts owing to each of the holders shall be automatically converted.</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2020, the Company and the holders of the 8% Notes entered into an amendment agreement pursuant to which the principal and interest due under the 8% Notes will remain due and payable on the same terms as exist in the 8% Notes prior to modification, that the maturity shall be extended to the same maturity date as the 2020 Notes, namely February 28, 2022 and the 8% Notes became a secured obligation of the Company.</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Philip D. Beck, Chief Executive Officer and Chairman of the Board, invested $50,000 in consideration of a 2020 Note in the principal amount of $50,000 paid by a deduction from his salary. Theodore Stern, a director of the Company, invested $50,000 in consideration of a 2020 Note in the principal amount of $50,000. Herbert Selzer, a director of the Company invested $100,000 in consideration of a 2020 Note in the principal amount of $100,000. Mr. Selzer provided $50,000 on the closing date and provided the balance of the funding in April 2020.</w:t>
      </w:r>
    </w:p>
    <w:p>
      <w:pPr>
        <w:spacing w:after="0" w:line="17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2020 Notes mature February 28, 2022 and are a secured obligation of the Company. The Company can prepay all or a portion of the 2020 Notes at any time provided that such amount prepaid shall be equal to 150% of the principal due. The Company shall pay interest on the 2020 Notes at the rate of 15% per annum payable at the earlier of the maturity date or conversion date, in cash or, at the investor’s option, shares of common stock of the Company.</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the Company prepays all or a portion of the 2020 Note prior to the one-year anniversary of the 2020 Note issuance date (the (“2020 Note Anniversary”), then the Company will be required to pay interest on the principal prepaid or paid at maturity through the 2020 Note Anniversary. Further, upon maturity or in the event of default and/or bankruptcy of the 2020 Notes, the Company will be required to pay 150% of the principal due under the 2020 Notes.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option of the 2020 Note Investors, they may at any time convert the 2020 Notes. The amount of shares delivered shall be equal to 150% of the amount of the principal converted divided by the conversion price of $0.20 per share. Following the 2020 Note Anniversary, the Company may require that the 2020 Note Investors convert all or a portion of the 2020 Notes, if the Company’s volume weighted average price for any preceding 20-day period is equal to or greater than $0.30.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2020 Note Investors are entitled to nominate and the Company will not unreasonably reject the appointment of a new member to the Company’s Board of Directors.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and FIN Holdings, Inc. and ID Solutions, Inc., two of the Company’s subsidiaries, entered into a security agreement with the 2020 Note Investors (“Security Agreement”), the holders of the 8% Notes and the Theodore Stern Revocable Trust (the “Stern Trust”), which is the holder of the Promissory Note in the principal amount of $2,000,000 (the “Stern Note”). The Security Agreement provides that until the principal and accrued but unpaid interest under the 2020 Notes, 8% Notes and Stern Note is paid in full or converted pursuant to their terms, the Company’s obligations under the 2020 Notes, 8% Notes and Stern Note will be secured by a lien on all assets of the Company. The security interest granted to the holders of the 2020 Notes, 8% Notes and Stern Note ranks </w:t>
      </w:r>
      <w:r>
        <w:rPr>
          <w:rFonts w:ascii="Arial" w:cs="Arial" w:eastAsia="Arial" w:hAnsi="Arial"/>
          <w:sz w:val="18"/>
          <w:szCs w:val="18"/>
          <w:i w:val="1"/>
          <w:iCs w:val="1"/>
          <w:color w:val="auto"/>
        </w:rPr>
        <w:t>pari passu</w:t>
      </w:r>
      <w:r>
        <w:rPr>
          <w:rFonts w:ascii="Arial" w:cs="Arial" w:eastAsia="Arial" w:hAnsi="Arial"/>
          <w:sz w:val="18"/>
          <w:szCs w:val="18"/>
          <w:color w:val="auto"/>
        </w:rPr>
        <w:t>. The Security Agreement permits sales of assets up to a value of $1,000,000 which proceeds may be used for working capital purposes and the secured parties will take such steps as may be reasonably necessary to release its security interest and enable such sales in such circumstances. Each of the secured parties appointed Mr. Stern and a third-party investor as joint collateral agents. Mr. Stern, a director of the Company, is the trustee of the Stern Trust.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301" w:lineRule="auto"/>
        <w:rPr>
          <w:sz w:val="20"/>
          <w:szCs w:val="20"/>
          <w:color w:val="auto"/>
        </w:rPr>
      </w:pPr>
      <w:r>
        <w:rPr>
          <w:rFonts w:ascii="Arial" w:cs="Arial" w:eastAsia="Arial" w:hAnsi="Arial"/>
          <w:sz w:val="16"/>
          <w:szCs w:val="16"/>
          <w:color w:val="auto"/>
        </w:rPr>
        <w:t>Further, the Company and the Stern Trust entered an Amended and Restated Promissory Note (the “Restated Stern Note”) providing that the $2,000,000 principal of the Stern Note will be due and payable on the same terms (bearing interest at 15% per annum) and on the same maturity date as the 2020 Notes and that the interest due under the Stern Note as of January 31, 2020 in the amount of $662,000 will remain due and payable on the same terms as exist in the Stern Note prior to modification provided that the maturity of such interest shall be extended to the same maturity date as the 2020 Notes.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this private offering, the Company paid Network 1 Financial Securities, Inc., a registered broker-dealer, a cash fee of approximately $104,800.</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2020, the Company offered all warrant holders holding warrants to purchase shares of Company common stock issued in July 2015 (“2015 Warrants”) the right to extend the term of the 2015 Warrants for a period of two years, subject to an increase in the Exercise Price (as defined therein) to $0.06 per share, providing that such warrant holders invested a minimum $100,000 in the 2020 Note private offering. As a result, a portion of the 2015 Warrant holders participated in the 2020 Note offering and the Company extended the exercise period two years for the 2015 Warrants representing the right to acquire 6,380,000 shares of common stock. The fair market value of the modification of warrants extended was approximately $95,000. Mr. Selzer holds 2015 Warrants to acquire 880,000 shares of common stock, which were also extended as a result of his investment.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is a summary of the convertible notes payable outstanding at March 31, 2020: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8% convertible notes payable issued December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15% convertible notes payable issued February 2020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5,265,000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10% convertible notes payable issued February 2020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Unamortized discount on convertible notes</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(811,798)</w:t>
            </w: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(98,384)</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5,444,818</w:t>
            </w: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Future maturities of convertible notes payable are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6,355,000</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6,355,000</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Theodore Stern and Philip Beck, members of the board of directors of the Company, invested $50,000 each in consideration of the 2020 Note. Another director, Herbert Selzer invested $100,000 in consideration of a 2020 Note in the principal amount of $100,000. Mr. Selzer provided $50,000 on the closing date and has provided the balance of the funding in April 2020. Mr. Selzer holds 880,000 2015 Warrants, which were also extended as a result of his investment. See Note 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the Company and the Stern Trust entered the Restated Stern Note providing that the $2,000,000 principal of the Stern Note will be due and payable on the same terms (bearing interest at 15% per annum) and on the same maturity date as the 2020 Notes and subject to the same Security Agreement and that the interest due under the Stern Note as of January 31, 2020 in the amount of $662,000 will remain due and payable on the same terms as exist in the Stern Note prior to modification provided that the maturity of such interest shall be extended to the same maturity date as the 2020 Notes. The Restated Stern Note includes a 50% repayment premium. Mr. Stern, the Trustee of the Stern Trust also entered into the Security Agreement as one of the joint collateral agents.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Issuance of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quarter ended March 31, 2020, the Company granted 1,500,000 shares of Restricted Common Stock to each of Phillip Kumnick and Philip Broenniman, new members of our Board of Directors, in connection with their compensation for service as Board Members. The restricted stock vests upon the achievement of certain performance criteria. The performance criteria have not been met as of March 31,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offering of the 2020 Notes, the Company paid Network 1 Financial Securities, Inc., a registered broker-dealer (“Network 1”), a cash fee of approximately $104,800. A former member of the Company’s Board of Director’s maintains a partnership with a principal of Network 1.</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the Company rents office space in Long Beach, New York at a monthly cost of $5,000 (as of January 1, 2020). The agreement is month to month and can be terminated on 30 days’ notice. The agreement is between the Company and Bridgeworks LLC, an entity principally owned by Mr. Beck, our CEO, and his family. During each of the three months ended March 31, 2020 and 2019, the Company paid rent of $15,000 and $22,275,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March 31, 2020, the Company granted 4,500,000 shares of Restricted Common Stock of which 3,000,000 shares were granted to two new members of our Board of Directors in connection with their compensation for service as Board Members and 1,500,000 to an employee in connection with his employment compensation . The shares were valued at the fair market value at the date of grant. The restricted stock vests upon the achievement of certain performance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March 31, 2020, the Company issued approximately 106,000 shares of common stock to a third party provider of services in lieu of cash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for the three months ended March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r>
      <w:tr>
        <w:trPr>
          <w:trHeight w:val="216"/>
        </w:trPr>
        <w:tc>
          <w:tcPr>
            <w:tcW w:w="7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r>
      <w:tr>
        <w:trPr>
          <w:trHeight w:val="216"/>
        </w:trPr>
        <w:tc>
          <w:tcPr>
            <w:tcW w:w="734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r>
      <w:tr>
        <w:trPr>
          <w:trHeight w:val="237"/>
        </w:trPr>
        <w:tc>
          <w:tcPr>
            <w:tcW w:w="7340" w:type="dxa"/>
            <w:vAlign w:val="bottom"/>
          </w:tcPr>
          <w:p>
            <w:pPr>
              <w:spacing w:after="0"/>
              <w:rPr>
                <w:sz w:val="20"/>
                <w:szCs w:val="20"/>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Price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rPr>
              <w:t>Life</w:t>
            </w:r>
          </w:p>
        </w:tc>
      </w:tr>
      <w:tr>
        <w:trPr>
          <w:trHeight w:val="216"/>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1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47,453,227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5"/>
              </w:rPr>
              <w:t>1.4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3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3"/>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11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47,453,227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5"/>
              </w:rPr>
              <w:t>1.2 Years</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March 31, 2020, certain of the 2015 Warrant holders participated in the 2020 Note offering and the Company extended the exercise period two years, subject to an increase in the Exercise Price from $0.05 per share (as defined therein) to $0.06 per share of 2015 Warrants representing the right to acquire 6,380,000 shares of common stock. Mr. Selzer, a director of the Company, holds 880,000 2015 Warrants, which were also extended as a result of his investment. The fair market value of the modification of warrants extended was approximately $95,000.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did not grant any stock options in the first quarter of 2019. During the three months ended March 31, 2020 , the Company determined the grant date fair value of the options granted using the Black Scholes Method. The following assumptions were used in the three months ended March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Expected Volatility – 75%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Expected Term – 6.5 Years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Risk Free Rate – 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Dividend Rate – 0.00%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4"/>
          </w:tcPr>
          <w:p>
            <w:pPr>
              <w:spacing w:after="0"/>
              <w:rPr>
                <w:sz w:val="20"/>
                <w:szCs w:val="20"/>
                <w:color w:val="auto"/>
              </w:rPr>
            </w:pPr>
            <w:r>
              <w:rPr>
                <w:rFonts w:ascii="Arial" w:cs="Arial" w:eastAsia="Arial" w:hAnsi="Arial"/>
                <w:sz w:val="18"/>
                <w:szCs w:val="18"/>
                <w:color w:val="auto"/>
                <w:w w:val="92"/>
              </w:rPr>
              <w:t>Activity related to stock options for the three months ended March 31, 2020 is summarized as follows: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220" w:type="dxa"/>
            <w:vAlign w:val="bottom"/>
            <w:gridSpan w:val="3"/>
          </w:tcPr>
          <w:p>
            <w:pPr>
              <w:spacing w:after="0"/>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Intrinsic</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Price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Term (Yrs.)</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109,400,006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Granted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(566,666)</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Outstanding as of March 31, 2020</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109,823,340</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104,650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as of March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102,475,006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gridSpan w:val="6"/>
          </w:tcPr>
          <w:p>
            <w:pPr>
              <w:spacing w:after="0"/>
              <w:rPr>
                <w:sz w:val="20"/>
                <w:szCs w:val="20"/>
                <w:color w:val="auto"/>
              </w:rPr>
            </w:pPr>
            <w:r>
              <w:rPr>
                <w:rFonts w:ascii="Arial" w:cs="Arial" w:eastAsia="Arial" w:hAnsi="Arial"/>
                <w:sz w:val="18"/>
                <w:szCs w:val="18"/>
                <w:color w:val="auto"/>
                <w:w w:val="97"/>
              </w:rPr>
              <w:t>The following table summarizes stock option information as of March 31, 2020:</w:t>
            </w: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80" w:type="dxa"/>
            <w:vAlign w:val="bottom"/>
            <w:gridSpan w:val="3"/>
          </w:tcPr>
          <w:p>
            <w:pPr>
              <w:jc w:val="center"/>
              <w:ind w:right="760"/>
              <w:spacing w:after="0"/>
              <w:rPr>
                <w:sz w:val="20"/>
                <w:szCs w:val="20"/>
                <w:color w:val="auto"/>
              </w:rPr>
            </w:pPr>
            <w:r>
              <w:rPr>
                <w:rFonts w:ascii="Arial" w:cs="Arial" w:eastAsia="Arial" w:hAnsi="Arial"/>
                <w:sz w:val="18"/>
                <w:szCs w:val="18"/>
                <w:color w:val="auto"/>
                <w:w w:val="89"/>
              </w:rPr>
              <w:t>Weighted Average</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80" w:type="dxa"/>
            <w:vAlign w:val="bottom"/>
            <w:gridSpan w:val="3"/>
          </w:tcPr>
          <w:p>
            <w:pPr>
              <w:jc w:val="center"/>
              <w:ind w:right="760"/>
              <w:spacing w:after="0"/>
              <w:rPr>
                <w:sz w:val="20"/>
                <w:szCs w:val="20"/>
                <w:color w:val="auto"/>
              </w:rPr>
            </w:pPr>
            <w:r>
              <w:rPr>
                <w:rFonts w:ascii="Arial" w:cs="Arial" w:eastAsia="Arial" w:hAnsi="Arial"/>
                <w:sz w:val="18"/>
                <w:szCs w:val="18"/>
                <w:color w:val="auto"/>
                <w:w w:val="91"/>
              </w:rPr>
              <w:t>Contractual</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2620" w:type="dxa"/>
            <w:vAlign w:val="bottom"/>
            <w:gridSpan w:val="3"/>
          </w:tcPr>
          <w:p>
            <w:pPr>
              <w:ind w:left="620"/>
              <w:spacing w:after="0"/>
              <w:rPr>
                <w:sz w:val="20"/>
                <w:szCs w:val="20"/>
                <w:color w:val="auto"/>
              </w:rPr>
            </w:pPr>
            <w:r>
              <w:rPr>
                <w:rFonts w:ascii="Arial" w:cs="Arial" w:eastAsia="Arial" w:hAnsi="Arial"/>
                <w:sz w:val="18"/>
                <w:szCs w:val="18"/>
                <w:color w:val="auto"/>
              </w:rPr>
              <w:t>Exercise Price</w:t>
            </w:r>
          </w:p>
        </w:tc>
        <w:tc>
          <w:tcPr>
            <w:tcW w:w="3480" w:type="dxa"/>
            <w:vAlign w:val="bottom"/>
            <w:gridSpan w:val="3"/>
          </w:tcPr>
          <w:p>
            <w:pPr>
              <w:ind w:left="920"/>
              <w:spacing w:after="0"/>
              <w:rPr>
                <w:sz w:val="20"/>
                <w:szCs w:val="20"/>
                <w:color w:val="auto"/>
              </w:rPr>
            </w:pPr>
            <w:r>
              <w:rPr>
                <w:rFonts w:ascii="Arial" w:cs="Arial" w:eastAsia="Arial" w:hAnsi="Arial"/>
                <w:sz w:val="18"/>
                <w:szCs w:val="18"/>
                <w:color w:val="auto"/>
              </w:rPr>
              <w:t>Outstanding</w:t>
            </w:r>
          </w:p>
        </w:tc>
        <w:tc>
          <w:tcPr>
            <w:tcW w:w="2680" w:type="dxa"/>
            <w:vAlign w:val="bottom"/>
            <w:gridSpan w:val="3"/>
          </w:tcPr>
          <w:p>
            <w:pPr>
              <w:jc w:val="center"/>
              <w:ind w:right="760"/>
              <w:spacing w:after="0"/>
              <w:rPr>
                <w:sz w:val="20"/>
                <w:szCs w:val="20"/>
                <w:color w:val="auto"/>
              </w:rPr>
            </w:pPr>
            <w:r>
              <w:rPr>
                <w:rFonts w:ascii="Arial" w:cs="Arial" w:eastAsia="Arial" w:hAnsi="Arial"/>
                <w:sz w:val="18"/>
                <w:szCs w:val="18"/>
                <w:color w:val="auto"/>
                <w:w w:val="97"/>
              </w:rPr>
              <w:t>Life (Yrs.)</w:t>
            </w:r>
          </w:p>
        </w:tc>
        <w:tc>
          <w:tcPr>
            <w:tcW w:w="2460" w:type="dxa"/>
            <w:vAlign w:val="bottom"/>
            <w:gridSpan w:val="3"/>
          </w:tcPr>
          <w:p>
            <w:pPr>
              <w:ind w:left="700"/>
              <w:spacing w:after="0"/>
              <w:rPr>
                <w:sz w:val="20"/>
                <w:szCs w:val="20"/>
                <w:color w:val="auto"/>
              </w:rPr>
            </w:pPr>
            <w:r>
              <w:rPr>
                <w:rFonts w:ascii="Arial" w:cs="Arial" w:eastAsia="Arial" w:hAnsi="Arial"/>
                <w:sz w:val="18"/>
                <w:szCs w:val="18"/>
                <w:color w:val="auto"/>
              </w:rPr>
              <w:t>Exercisable</w:t>
            </w:r>
          </w:p>
        </w:tc>
      </w:tr>
      <w:tr>
        <w:trPr>
          <w:trHeight w:val="216"/>
        </w:trPr>
        <w:tc>
          <w:tcPr>
            <w:tcW w:w="2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0.00001</w:t>
            </w: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3,500,000</w:t>
            </w:r>
          </w:p>
        </w:tc>
        <w:tc>
          <w:tcPr>
            <w:tcW w:w="4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3,500,000</w:t>
            </w:r>
          </w:p>
        </w:tc>
        <w:tc>
          <w:tcPr>
            <w:tcW w:w="8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3040" w:type="dxa"/>
            <w:vAlign w:val="bottom"/>
            <w:gridSpan w:val="2"/>
          </w:tcPr>
          <w:p>
            <w:pPr>
              <w:jc w:val="right"/>
              <w:ind w:right="220"/>
              <w:spacing w:after="0"/>
              <w:rPr>
                <w:sz w:val="20"/>
                <w:szCs w:val="20"/>
                <w:color w:val="auto"/>
              </w:rPr>
            </w:pPr>
            <w:r>
              <w:rPr>
                <w:rFonts w:ascii="Arial" w:cs="Arial" w:eastAsia="Arial" w:hAnsi="Arial"/>
                <w:sz w:val="18"/>
                <w:szCs w:val="18"/>
                <w:color w:val="auto"/>
              </w:rPr>
              <w:t>35,700,006</w:t>
            </w:r>
          </w:p>
        </w:tc>
        <w:tc>
          <w:tcPr>
            <w:tcW w:w="440" w:type="dxa"/>
            <w:vAlign w:val="bottom"/>
          </w:tcPr>
          <w:p>
            <w:pPr>
              <w:spacing w:after="0"/>
              <w:rPr>
                <w:sz w:val="18"/>
                <w:szCs w:val="18"/>
                <w:color w:val="auto"/>
              </w:rPr>
            </w:pP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2460" w:type="dxa"/>
            <w:vAlign w:val="bottom"/>
            <w:gridSpan w:val="3"/>
          </w:tcPr>
          <w:p>
            <w:pPr>
              <w:jc w:val="right"/>
              <w:ind w:right="100"/>
              <w:spacing w:after="0"/>
              <w:rPr>
                <w:sz w:val="20"/>
                <w:szCs w:val="20"/>
                <w:color w:val="auto"/>
              </w:rPr>
            </w:pPr>
            <w:r>
              <w:rPr>
                <w:rFonts w:ascii="Arial" w:cs="Arial" w:eastAsia="Arial" w:hAnsi="Arial"/>
                <w:sz w:val="18"/>
                <w:szCs w:val="18"/>
                <w:color w:val="auto"/>
              </w:rPr>
              <w:t>31,950,006</w:t>
            </w:r>
          </w:p>
        </w:tc>
      </w:tr>
      <w:tr>
        <w:trPr>
          <w:trHeight w:val="216"/>
        </w:trPr>
        <w:tc>
          <w:tcPr>
            <w:tcW w:w="2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990,000</w:t>
            </w:r>
          </w:p>
        </w:tc>
        <w:tc>
          <w:tcPr>
            <w:tcW w:w="4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3040" w:type="dxa"/>
            <w:vAlign w:val="bottom"/>
            <w:gridSpan w:val="2"/>
          </w:tcPr>
          <w:p>
            <w:pPr>
              <w:jc w:val="right"/>
              <w:ind w:right="220"/>
              <w:spacing w:after="0"/>
              <w:rPr>
                <w:sz w:val="20"/>
                <w:szCs w:val="20"/>
                <w:color w:val="auto"/>
              </w:rPr>
            </w:pPr>
            <w:r>
              <w:rPr>
                <w:rFonts w:ascii="Arial" w:cs="Arial" w:eastAsia="Arial" w:hAnsi="Arial"/>
                <w:sz w:val="18"/>
                <w:szCs w:val="18"/>
                <w:color w:val="auto"/>
              </w:rPr>
              <w:t>27,200,000</w:t>
            </w:r>
          </w:p>
        </w:tc>
        <w:tc>
          <w:tcPr>
            <w:tcW w:w="440" w:type="dxa"/>
            <w:vAlign w:val="bottom"/>
          </w:tcPr>
          <w:p>
            <w:pPr>
              <w:spacing w:after="0"/>
              <w:rPr>
                <w:sz w:val="18"/>
                <w:szCs w:val="18"/>
                <w:color w:val="auto"/>
              </w:rPr>
            </w:pP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2460" w:type="dxa"/>
            <w:vAlign w:val="bottom"/>
            <w:gridSpan w:val="3"/>
          </w:tcPr>
          <w:p>
            <w:pPr>
              <w:jc w:val="right"/>
              <w:ind w:right="100"/>
              <w:spacing w:after="0"/>
              <w:rPr>
                <w:sz w:val="20"/>
                <w:szCs w:val="20"/>
                <w:color w:val="auto"/>
              </w:rPr>
            </w:pPr>
            <w:r>
              <w:rPr>
                <w:rFonts w:ascii="Arial" w:cs="Arial" w:eastAsia="Arial" w:hAnsi="Arial"/>
                <w:sz w:val="18"/>
                <w:szCs w:val="18"/>
                <w:color w:val="auto"/>
              </w:rPr>
              <w:t>27,200,000</w:t>
            </w:r>
          </w:p>
        </w:tc>
      </w:tr>
      <w:tr>
        <w:trPr>
          <w:trHeight w:val="216"/>
        </w:trPr>
        <w:tc>
          <w:tcPr>
            <w:tcW w:w="2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1,133,334</w:t>
            </w:r>
          </w:p>
        </w:tc>
        <w:tc>
          <w:tcPr>
            <w:tcW w:w="4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358,333</w:t>
            </w:r>
          </w:p>
        </w:tc>
        <w:tc>
          <w:tcPr>
            <w:tcW w:w="8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304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440" w:type="dxa"/>
            <w:vAlign w:val="bottom"/>
          </w:tcPr>
          <w:p>
            <w:pPr>
              <w:spacing w:after="0"/>
              <w:rPr>
                <w:sz w:val="18"/>
                <w:szCs w:val="18"/>
                <w:color w:val="auto"/>
              </w:rPr>
            </w:pP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166,667</w:t>
            </w:r>
          </w:p>
        </w:tc>
        <w:tc>
          <w:tcPr>
            <w:tcW w:w="8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2,800,000</w:t>
            </w:r>
          </w:p>
        </w:tc>
        <w:tc>
          <w:tcPr>
            <w:tcW w:w="4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2,800,000</w:t>
            </w:r>
          </w:p>
        </w:tc>
        <w:tc>
          <w:tcPr>
            <w:tcW w:w="8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3040" w:type="dxa"/>
            <w:vAlign w:val="bottom"/>
            <w:gridSpan w:val="2"/>
          </w:tcPr>
          <w:p>
            <w:pPr>
              <w:jc w:val="right"/>
              <w:ind w:right="220"/>
              <w:spacing w:after="0"/>
              <w:rPr>
                <w:sz w:val="20"/>
                <w:szCs w:val="20"/>
                <w:color w:val="auto"/>
              </w:rPr>
            </w:pPr>
            <w:r>
              <w:rPr>
                <w:rFonts w:ascii="Arial" w:cs="Arial" w:eastAsia="Arial" w:hAnsi="Arial"/>
                <w:sz w:val="18"/>
                <w:szCs w:val="18"/>
                <w:color w:val="auto"/>
              </w:rPr>
              <w:t>2,583,333</w:t>
            </w:r>
          </w:p>
        </w:tc>
        <w:tc>
          <w:tcPr>
            <w:tcW w:w="440" w:type="dxa"/>
            <w:vAlign w:val="bottom"/>
          </w:tcPr>
          <w:p>
            <w:pPr>
              <w:spacing w:after="0"/>
              <w:rPr>
                <w:sz w:val="18"/>
                <w:szCs w:val="18"/>
                <w:color w:val="auto"/>
              </w:rPr>
            </w:pP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4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1,833,333</w:t>
            </w:r>
          </w:p>
        </w:tc>
        <w:tc>
          <w:tcPr>
            <w:tcW w:w="8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jc w:val="right"/>
              <w:ind w:right="24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3040" w:type="dxa"/>
            <w:vAlign w:val="bottom"/>
            <w:gridSpan w:val="2"/>
          </w:tcPr>
          <w:p>
            <w:pPr>
              <w:jc w:val="right"/>
              <w:ind w:right="220"/>
              <w:spacing w:after="0"/>
              <w:rPr>
                <w:sz w:val="20"/>
                <w:szCs w:val="20"/>
                <w:color w:val="auto"/>
              </w:rPr>
            </w:pPr>
            <w:r>
              <w:rPr>
                <w:rFonts w:ascii="Arial" w:cs="Arial" w:eastAsia="Arial" w:hAnsi="Arial"/>
                <w:sz w:val="18"/>
                <w:szCs w:val="18"/>
                <w:color w:val="auto"/>
              </w:rPr>
              <w:t>166,667</w:t>
            </w:r>
          </w:p>
        </w:tc>
        <w:tc>
          <w:tcPr>
            <w:tcW w:w="440" w:type="dxa"/>
            <w:vAlign w:val="bottom"/>
          </w:tcPr>
          <w:p>
            <w:pPr>
              <w:spacing w:after="0"/>
              <w:rPr>
                <w:sz w:val="18"/>
                <w:szCs w:val="18"/>
                <w:color w:val="auto"/>
              </w:rPr>
            </w:pP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166,667</w:t>
            </w:r>
          </w:p>
        </w:tc>
        <w:tc>
          <w:tcPr>
            <w:tcW w:w="8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4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jc w:val="right"/>
              <w:ind w:right="24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8"/>
                <w:szCs w:val="18"/>
                <w:color w:val="auto"/>
              </w:rPr>
            </w:pPr>
          </w:p>
        </w:tc>
        <w:tc>
          <w:tcPr>
            <w:tcW w:w="304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440" w:type="dxa"/>
            <w:vAlign w:val="bottom"/>
          </w:tcPr>
          <w:p>
            <w:pPr>
              <w:spacing w:after="0"/>
              <w:rPr>
                <w:sz w:val="18"/>
                <w:szCs w:val="18"/>
                <w:color w:val="auto"/>
              </w:rPr>
            </w:pP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r>
      <w:tr>
        <w:trPr>
          <w:trHeight w:val="236"/>
        </w:trPr>
        <w:tc>
          <w:tcPr>
            <w:tcW w:w="2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20"/>
                <w:szCs w:val="20"/>
                <w:color w:val="auto"/>
              </w:rPr>
            </w:pPr>
          </w:p>
        </w:tc>
        <w:tc>
          <w:tcPr>
            <w:tcW w:w="3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31,000,000</w:t>
            </w:r>
          </w:p>
        </w:tc>
        <w:tc>
          <w:tcPr>
            <w:tcW w:w="44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0"/>
                <w:szCs w:val="20"/>
                <w:color w:val="auto"/>
              </w:rPr>
            </w:pPr>
          </w:p>
        </w:tc>
        <w:tc>
          <w:tcPr>
            <w:tcW w:w="2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31,000,000</w:t>
            </w:r>
          </w:p>
        </w:tc>
      </w:tr>
      <w:tr>
        <w:trPr>
          <w:trHeight w:val="210"/>
        </w:trPr>
        <w:tc>
          <w:tcPr>
            <w:tcW w:w="2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109,823,340</w:t>
            </w: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gridSpan w:val="2"/>
          </w:tcPr>
          <w:p>
            <w:pPr>
              <w:jc w:val="right"/>
              <w:ind w:right="220"/>
              <w:spacing w:after="0" w:line="203" w:lineRule="exact"/>
              <w:rPr>
                <w:sz w:val="20"/>
                <w:szCs w:val="20"/>
                <w:color w:val="auto"/>
              </w:rPr>
            </w:pPr>
            <w:r>
              <w:rPr>
                <w:rFonts w:ascii="Arial" w:cs="Arial" w:eastAsia="Arial" w:hAnsi="Arial"/>
                <w:sz w:val="18"/>
                <w:szCs w:val="18"/>
                <w:color w:val="auto"/>
              </w:rPr>
              <w:t>6.32</w:t>
            </w:r>
          </w:p>
        </w:tc>
        <w:tc>
          <w:tcPr>
            <w:tcW w:w="100" w:type="dxa"/>
            <w:vAlign w:val="bottom"/>
            <w:tcBorders>
              <w:top w:val="single" w:sz="8" w:color="CCEEFF"/>
            </w:tcBorders>
          </w:tcPr>
          <w:p>
            <w:pPr>
              <w:spacing w:after="0"/>
              <w:rPr>
                <w:sz w:val="18"/>
                <w:szCs w:val="18"/>
                <w:color w:val="auto"/>
              </w:rPr>
            </w:pPr>
          </w:p>
        </w:tc>
        <w:tc>
          <w:tcPr>
            <w:tcW w:w="2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102,475,006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months ended March 31, 2020, the Company recognized approximately $121,000 of stock-based compensation expense related to options of which non-employees expense was approximately $7,000. As of March 31, 2020, there was approximately $293,000 of unrecognized compensation costs related to stock options outstanding of which approximately $20,000 was related to non-employees and will be expensed through 2022.</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 DIRECT FINANCING LEASE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2015, the Company and an entity in Colombia entered into a rental contract for the rental of 78 kiosks to provide cash collection and fare services at transportation stations. The lease term began in May 2016 when the kiosk was installed and operational and when the lease commenced. The term of the rental contract is ten years at an approximate monthly rental of $11,900. The lease has the option at the end of the lease term to purchase each unit for approximately $40. The term of the lease approximates the expected economic life of the kiosks. The lease was accounted for as a direct financing lease.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recorded the transaction as it net investment in the lease and will receive monthly payments of $11,856 before estimated executory costs, or $142,272, annually, to reduce investment in the lease and record income associated with the related amount due. Executory costs are estimated to be $1,677 month and initial direct costs are not considered significant. The transaction resulted in incremental revenue in the quarter ended March 31, 2020 of approximately $15,000.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equipment is subject to direct lease valued at approximately $748,000. At the inception of the lease term, the aggregate minimum future lease payments to be received is approximately $1,422,000 before executory cost. Unearned income is recorded at the inception of this lease was approximately $474,000 and will be recorded over the term of the lease using the effective income rate method. Future minimum lease payments to be received under the lease for the next five years and thereafter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2020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91,611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162,864</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Less deferred revenue</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(198,717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lease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544,350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 OBLIGATION PAYABLE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entered into a lease in March 2017 for the rental of its printer for its secured plastic and credential card products business under an arrangement that is classified as a capital lease. The leased equipment is amortized on a straight-line basis over its lease term including the last payment (61 payments) which would transfer ownership to the Company. Total amortization related to the lease equipment as of March 31, 2020 is $99,115. The following is a schedule showing the future minimum lease payments under capital lease by year and the present value of the minimum lease payments as of March 31, 2020. The interest rate related to the lease obligation is 12% and the maturity date is March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32,322</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43,096</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10,774</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86,192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r>
      <w:tr>
        <w:trPr>
          <w:trHeight w:val="237"/>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76,292</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i w:val="1"/>
                <w:iCs w:val="1"/>
                <w:color w:val="auto"/>
              </w:rPr>
              <w:t>Leases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For the three months ended March 31, 2020, lease expense was approximately $99,000 inclusive of short-term leases.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lease related balances included in the Condensed Consolidated Balance Sheet as of March 31, 2020 were as follows: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ROU assets - included in other current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223,526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ROU assets – included in Other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107,814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331,340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ROU liabilities – included in Accounts payable and accrued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ROU liabilities – included in Other liabilities</w:t>
            </w:r>
          </w:p>
        </w:tc>
        <w:tc>
          <w:tcPr>
            <w:tcW w:w="3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112,364</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329,495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weighted average lease term is 1.8 years and weighted average discount rate used in the calculations were 13.55%.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following table presents the maturity of the Company’s operating lease liabilities as of March 31, 2020: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96,607</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49,716</w:t>
            </w:r>
          </w:p>
        </w:tc>
        <w:tc>
          <w:tcPr>
            <w:tcW w:w="0" w:type="dxa"/>
            <w:vAlign w:val="bottom"/>
          </w:tcPr>
          <w:p>
            <w:pPr>
              <w:spacing w:after="0"/>
              <w:rPr>
                <w:sz w:val="1"/>
                <w:szCs w:val="1"/>
                <w:color w:val="auto"/>
              </w:rPr>
            </w:pPr>
          </w:p>
        </w:tc>
      </w:tr>
      <w:tr>
        <w:trPr>
          <w:trHeight w:val="210"/>
        </w:trPr>
        <w:tc>
          <w:tcPr>
            <w:tcW w:w="10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lease payments</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370,073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329,495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approximately 2,100 square feet of office space in Plantation, Florida. Monthly rental is approximately $2,700 per month with a 3% increase on each annual anniversary. The Company will be responsible for their respective share of building expenses. The lease term is through August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 Company rents office space in Long Beach, New York at a monthly cost of 5,000. The agreement is month to month and can be terminated on 30 days’ notice. The agreement is between the Company and Bridgeworks LLC, an entity principally owned by Mr. Beck, our CEO and his family.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2018, the Company a entered into an office lease in Alpharetta, Ga. for approximately $3,800 per month through March 31, 2020. The Company did not renew the lease.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The Company leases an office location in Bogota, Colombia. In April 2017, MultiPay S.A.S. entered an office lease beginning April 22, 2017. The lease cost is approximately $8,500 per month with an inflation adjustment after one year. The lease is automatically extended for one additional year unless written notice to the contrary is provided at least six months in advance. The Company extended the lease through April 2021. Furthermore, the Company leased an apartment at approximately $2,000 a month for one of the management team which has now been terminated.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leases space for its operation in South Africa. The current lease is through June 30, 2022 and the approximate monthly rent is $8,000.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IMPAIRMENT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Goodwill is recorded when the purchase price paid for an acquisition exceeds the fair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value of the reporting unit to its carrying value, including the goodwill related to the reporting unit utilizing qualitative considerations. To determine the fair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 As a result of the current pandemic and its potential impact on future results, the Company updated its reporting unit projections, and it indicated a goodwill impairment at Cards Plus as the carrying value may not be recovered as revenue assumptions and related revenue were revised downward. The fair value of the reporting unit was determined using discounted cash flow as well as future realizable value. The goodwill impairment loss for the quarter ended March 31, 2020 was approximately $872,000.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and geographic information provided in the table below is being reported consistent with the Company’s method of internal reporting. Operating segments are defined as components of an enterprise for which separate financial information is available and which is evaluated regularly by the chief operating decision maker (“CODM”) in deciding how to allocate resources and in assessing performance. The CODM regularly reviews net revenue and gross profit by geographic regions. The Company’s products and services operate in two reportable segments; identity management and payment processing.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revenue, profit/loss and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evaluates performance and allocates resources based on net revenue and operating results of the geographic region as the current operations of each geography are either primarily identity management or payment processing. Identity management revenue is generated in North America and Africa and payment processing revenue is earned in South America which are the three geographic regions of the Company. We have included the lease income in payment processing as the leases are related to unattended ticketing kiosks.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 lived assets are in North America, South America and Africa. Most assets are intangible assets recorded from the acquisition of MultiPay (South America) in 2015 and FIN Holdings (North America and Africa) in 2016. Assets for North America, South America and Africa amounted to approximately $7.3 million, $0.7 million and $1.3 million.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Analysis of revenue by segment and geographic region and reconciliation to consolidated revenue, gross profit, and net loss are provided below. The Company has included in the schedule below an allocation of corporate overhead based on management’s estimate of resource requirements.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841"/>
              <w:spacing w:after="0"/>
              <w:rPr>
                <w:sz w:val="20"/>
                <w:szCs w:val="20"/>
                <w:color w:val="auto"/>
              </w:rPr>
            </w:pPr>
            <w:r>
              <w:rPr>
                <w:rFonts w:ascii="Arial" w:cs="Arial" w:eastAsia="Arial" w:hAnsi="Arial"/>
                <w:sz w:val="18"/>
                <w:szCs w:val="18"/>
                <w:color w:val="auto"/>
              </w:rPr>
              <w:t>(unaudited)</w:t>
            </w:r>
          </w:p>
        </w:tc>
      </w:tr>
      <w:tr>
        <w:trPr>
          <w:trHeight w:val="237"/>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501"/>
              <w:spacing w:after="0"/>
              <w:rPr>
                <w:sz w:val="20"/>
                <w:szCs w:val="20"/>
                <w:color w:val="auto"/>
              </w:rPr>
            </w:pPr>
            <w:r>
              <w:rPr>
                <w:rFonts w:ascii="Arial" w:cs="Arial" w:eastAsia="Arial" w:hAnsi="Arial"/>
                <w:sz w:val="18"/>
                <w:szCs w:val="18"/>
                <w:color w:val="auto"/>
              </w:rPr>
              <w:t>Three Months Ended</w:t>
            </w:r>
          </w:p>
        </w:tc>
      </w:tr>
      <w:tr>
        <w:trPr>
          <w:trHeight w:val="202"/>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61"/>
              <w:spacing w:after="0" w:line="201" w:lineRule="exact"/>
              <w:rPr>
                <w:sz w:val="20"/>
                <w:szCs w:val="20"/>
                <w:color w:val="auto"/>
              </w:rPr>
            </w:pPr>
            <w:r>
              <w:rPr>
                <w:rFonts w:ascii="Arial" w:cs="Arial" w:eastAsia="Arial" w:hAnsi="Arial"/>
                <w:sz w:val="18"/>
                <w:szCs w:val="18"/>
                <w:color w:val="auto"/>
                <w:w w:val="94"/>
              </w:rPr>
              <w:t>March 31,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7"/>
                <w:szCs w:val="17"/>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133,554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227,041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South America</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113,624</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125,328</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546,611</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388,009</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793,789</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740,378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Identity Management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680,165</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615,050</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113,624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125,328</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793,789</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740,378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(406,392)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(737,962)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South America</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(1,212,152)</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(1,256,952)</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(1,054,064)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(173,460)</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(2,672,608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(2,168,374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Identity Management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(1,460,456)</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(911,422)</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(1,212,152)</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(1,256,952)</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(2,672,608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(2,168,374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(179,050)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(86,890)</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(975,891)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6,226</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(3,827,547)</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(2,249,038)</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(8,874)</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(13,701)</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(3,836,421</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(2,262,739</w:t>
            </w:r>
            <w:r>
              <w:rPr>
                <w:rFonts w:ascii="Arial" w:cs="Arial" w:eastAsia="Arial" w:hAnsi="Arial"/>
                <w:sz w:val="29"/>
                <w:szCs w:val="29"/>
                <w:color w:val="auto"/>
                <w:vertAlign w:val="superscript"/>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the Company had an accumulated deficit of approximately $90.8 million. For the three months ended March 31, 2020 the Company earned revenue of approximately $0.8 million and incurred a loss from operations of approximately $2.7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firms on our consolidated financial statements for the years ended December 31, 2019 and 2018 contained an explanatory paragraph regarding our ability to continue as a going concern based upon our net losses.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Ipsidy Inc. (formerly known as ID Global Solutions Corporation) (together with its subsidiaries, the “Company”, “we” or “our”) operates an Identity as a Service (IDaaS) platform that delivers a suite of secure, mobile, biometric identity solutions, available to any vertical, anywhere. In a world that is increasingly digital and mobile, our mission is to help our customers know with biometric certainty the identity of the people with whom they are engaging. We provide solutions to everyday problems: Who is applying for a loan? Who is accessing the computer system? Who is at the door?</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Ipsidy provides secure, biometric identification, identity verification and electronic transaction authentication and processing services. We have developed an IDaaS platform for our customers, be they businesses, residences, governments, or other organizations, to enable their users to more easily verify and authenticate their identity through a mobile phone or portable device of their choosing (as opposed to dedicated hardware). Our system enables participants to consent to transactions using their biometric information with a digitally signed authentication response, including the underlying transaction data. In this way our systems can provide pre-transaction authentication of identity as well as embed each user’s identity attributes, within every electronic transaction message processed through our platform, or other electronic systems.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it is essential that businesses and consumers know who is on the other side of an electronic transaction and have an audit trail, proving that the identity of the other party was duly authenticated. Our solutions are intended to provide our customers with the next level of transaction security, control and certainty. Our platform uses biometric and multi-factor identity solutions, which are intended to support a wide variety of electronic transactions. We define “electronic transactions” in the broadest sense to include not only financial transactions (i.e. exchanges of value in all of their forms), and legal transactions (e.g. approving the release of personal or other confidential data), but also access control to both digital environments (e.g. accessing financial accounts, voting systems, email systems and controlling data network log-ins) and physical environments (e.g. entrances to offices, public buildings, data centers and other sensitive locations).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products focus on the broad requirement for identity verification and authentication, and access and transaction controls and associated identity management needs. Organizations of all descriptions require cost-effective and secure mobile electronic transaction solutions for them and their customers. We aim to offer our customers solutions that can be integrated into each customer’s business and organizational operations in order to facilitate their use and enhance the end user customer experience.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digital mobile wallet applications, or electronic account holders are used to contain different services and accounts that can be easily added and enable users to conveniently and securely effect a variety of electronic transactions, using their identity. One example is for consumers and employees to use their</w:t>
      </w:r>
    </w:p>
    <w:p>
      <w:pPr>
        <w:jc w:val="both"/>
        <w:spacing w:after="0" w:line="209" w:lineRule="auto"/>
        <w:rPr>
          <w:sz w:val="20"/>
          <w:szCs w:val="20"/>
          <w:color w:val="auto"/>
        </w:rPr>
      </w:pPr>
      <w:r>
        <w:rPr>
          <w:rFonts w:ascii="Arial" w:cs="Arial" w:eastAsia="Arial" w:hAnsi="Arial"/>
          <w:sz w:val="18"/>
          <w:szCs w:val="18"/>
          <w:color w:val="auto"/>
        </w:rPr>
        <w:t>mobile application to authenticate identity, in order to access secure digital, or physical environments. We have launched our integrated Verified</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solution with Datapro as an add-on to their online banking software.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33" w:lineRule="auto"/>
        <w:rPr>
          <w:sz w:val="20"/>
          <w:szCs w:val="20"/>
          <w:color w:val="auto"/>
        </w:rPr>
      </w:pPr>
      <w:r>
        <w:rPr>
          <w:rFonts w:ascii="Arial" w:cs="Arial" w:eastAsia="Arial" w:hAnsi="Arial"/>
          <w:sz w:val="18"/>
          <w:szCs w:val="18"/>
          <w:color w:val="auto"/>
        </w:rPr>
        <w:t>Proof</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our mobile identity onboarding and verification application, establishes the trusted identity of users based on a variety of ground truth sources, such as chip based electronic machine readable travel documents, or eMRTDs, national IDs, drivers licenses, as well as by means of direct verification by national ID databases in Peru and in the future, South Africa. The application uses these sources to obtain trusted demographic information and the reference facial biometric images that are matched against the user’s captured live selfie. Proof enables the remote onboarding of people in services associated with Fintech, Telecom and other online services-based industries.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identity authentication solution, Verified by Ipsidy, can be delivered seamlessly via mobile web browser, by Ipsidy’s mobile application or into a customer’s mobile app, using our SDK’s. Verified helps our customers gain identity certainty of their users (customers and employees) who can conveniently and securely consent to a variety of electronic transactions, using their biometrics. For example, Datapro, a financial services banking platform, has integrated Verified to secure access to their online banking software. Ipsidy has also integrated its authentication services to allow trucking fleets and drivers to use their biometrics to securely open locks that safeguard valuable assets and physical environments.</w:t>
      </w:r>
    </w:p>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Company’s solutions for fingerprint-based identity management and electronic payment transaction processing have been in the market for several years. For example, in December 2017, we won an international competitive tender to provide our Search</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Automated Fingerprint Identification de-duplication system (AFIS) to the Zimbabwe Electoral Commission, for them to ensure that no duplicate entries existed in the voter roll for the 2018 election. The AFIS system was delivered under tight deadlines and within budget, in order to enable the voter roll to be published and the election to occur as planned.</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believes that some of the advantages of the Company’s IDaaS Platform approach are the ability to leverage the platform to support a variety of vertical markets including the identity solutions and transaction processing sectors and the adaptability of the platform to the requirements of new markets and new products requiring low cost, secure, and configurable mobile solutions. These vertical markets include but are not limited to banking and payment transactions, elections, schools, public transportation, government and enterprise security. At its core, the Company’s offering, combining its proprietary biometric technologies, with those acquired is intended to facilitate the processing of diverse electronic transactions, be they payments, votes, or physical or digital access, all of which can include identity verification, authentication and identity transaction recording. The Company continues to invest in developing, patenting and acquiring the various elements necessary to enhance the platform, which is intended to allow us to achieve our goals.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incorporated in the State of Delaware on September 21, 2011 and changed its name to Ipsidy Inc. on February 1, 2017, and our common stock is traded on the OTCQB U.S. Market under the trading symbol “IDTY”. Our corporate headquarters is located at 670 Long Beach Blvd., Long Beach, NY 11561 and our main phone number is (516) 274-8700. We maintain a website at www.ipsidy.com. The contents of our website are not incorporated into, or otherwise to be regarded as part of,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that represents GAAP net income (loss) adjusted to exclude (1) interest expense, (2) interest income,</w:t>
      </w:r>
    </w:p>
    <w:p>
      <w:pPr>
        <w:spacing w:after="0" w:line="46" w:lineRule="exact"/>
        <w:rPr>
          <w:sz w:val="20"/>
          <w:szCs w:val="20"/>
          <w:color w:val="auto"/>
        </w:rPr>
      </w:pPr>
    </w:p>
    <w:p>
      <w:pPr>
        <w:ind w:right="20" w:firstLine="8"/>
        <w:spacing w:after="0" w:line="260" w:lineRule="auto"/>
        <w:tabs>
          <w:tab w:leader="none" w:pos="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 for income taxes, (4) depreciation and amortization, (5) stock-based compensation expense (stock options and restricted stock) and (6) certain other items management believes affect the comparability of operating results.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Additionally, we will continue to use Adjusted EBITDA in connection with our executive performance-based compensation in 2020.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23" w:name="page24"/>
    <w:bookmarkEnd w:id="23"/>
    <w:p>
      <w:pPr>
        <w:ind w:right="2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from, or as a substitute for, analysis of our results as reported under GAAP. Some of these limitations are:</w:t>
      </w:r>
    </w:p>
    <w:p>
      <w:pPr>
        <w:spacing w:after="0" w:line="170" w:lineRule="exact"/>
        <w:rPr>
          <w:sz w:val="20"/>
          <w:szCs w:val="20"/>
          <w:color w:val="auto"/>
        </w:rPr>
      </w:pPr>
    </w:p>
    <w:p>
      <w:pPr>
        <w:ind w:left="720" w:hanging="361"/>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720" w:hanging="361"/>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720" w:hanging="361"/>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720" w:hanging="361"/>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Reconciliation of Net Loss to Adjusted EBITDA</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8"/>
                <w:szCs w:val="18"/>
                <w:color w:val="auto"/>
              </w:rPr>
              <w:t>(unaudited)</w:t>
            </w:r>
          </w:p>
        </w:tc>
      </w:tr>
      <w:tr>
        <w:trPr>
          <w:trHeight w:val="237"/>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520"/>
              <w:spacing w:after="0"/>
              <w:rPr>
                <w:sz w:val="20"/>
                <w:szCs w:val="20"/>
                <w:color w:val="auto"/>
              </w:rPr>
            </w:pPr>
            <w:r>
              <w:rPr>
                <w:rFonts w:ascii="Arial" w:cs="Arial" w:eastAsia="Arial" w:hAnsi="Arial"/>
                <w:sz w:val="18"/>
                <w:szCs w:val="18"/>
                <w:color w:val="auto"/>
              </w:rPr>
              <w:t>For the Quarter Ended</w:t>
            </w:r>
          </w:p>
        </w:tc>
      </w:tr>
      <w:tr>
        <w:trPr>
          <w:trHeight w:val="202"/>
        </w:trPr>
        <w:tc>
          <w:tcPr>
            <w:tcW w:w="8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2"/>
              </w:rPr>
              <w:t>March 31,</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4"/>
              </w:rPr>
              <w:t>March 31,</w:t>
            </w:r>
          </w:p>
        </w:tc>
        <w:tc>
          <w:tcPr>
            <w:tcW w:w="80" w:type="dxa"/>
            <w:vAlign w:val="bottom"/>
          </w:tcPr>
          <w:p>
            <w:pPr>
              <w:spacing w:after="0"/>
              <w:rPr>
                <w:sz w:val="17"/>
                <w:szCs w:val="17"/>
                <w:color w:val="auto"/>
              </w:rPr>
            </w:pP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(3,836,421)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(2,262,739)</w:t>
            </w: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179,050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86,890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expense (income)</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(975,889)</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(6,226)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325,344</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160,788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8,874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13,701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871,807</w:t>
            </w: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Stock compensation</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169,110</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415,379</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Adjusted EBITDA (Non-GAAP)</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(1,306,347)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(1,592,207)</w:t>
            </w: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loss for the quarter ended March 31, 2020 decreased approximately $0.3 million due to a decrease in salary and technology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and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March 31, 2020, the Company had revenues of approximately $794,000 compared to $740,000 in the three months ended March 31, 2019. The increase is related to higher sales at Cards Plus offset by a reduction in Ipsidy from revenue providing election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cost of sales was higher than the cost of sales in the three months ended March 31, 2019 principally due to lower margin revenue at Cards Plus.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March 31, 2020 compared to March 31, 2019, general and administrative expense decreased by approximately $0.8 million principally due to lower overall compensation costs and stock compensation charges.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March 31, 2020 compared to March 31, 2019, research and development expenses were consistent as the Company continued to invest in its products and services to be offered.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the Company recorded an impairment loss of approximately $872,000 associated with goodwill of one of its reporting units.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current pandemic and its potential impact on future results, the Company updated its reporting unit projections, and it indicated a goodwill impairment as the carrying value may not be recovered as revenue assumptions and related revenue were revised downward. The fair value of the reporting unit was determined using discounted cash flow as well as future realizable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March 31, 2020 compared to March 31, 2020, depreciation and amortization expense increased as a result of placing into service certain of the new product offerings.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period ended March 31, 2020, the Company recorded a charge of approximately $985,000 related to an extinguishment of a note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increased during the three-month period ended March 31, 2020 compared to March 31, 2019, principally due to the convertible debt offerings in December 2019 and February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approximately $0.6 million of cash on hand and has a deficiency in working capital of approximately of approximately $0.6 million</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operating activities was approximately $1.2 million and $1.7 million in the three months ended March 31, 2020 and March 31, 2019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incremental revenue and cash to be generated in the second quarter of 2020 and beyond from the delivery of software products to new customers across various geographies.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In connection with this private offering, the Company paid Network 1 Financial Securities, Inc., a registered broker-dealer, a cash fee of approximately $104,800.</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May 2020, the Company received a loan of approximately $485,000 under the Paycheck Protection Program of the U.S. Small Business Association related to its U.S. operations. The Company anticipates most of the loan will be forgiven in accordance with the provisions of the program.</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the Company will continue to be opportunistic as well as judicious in raising additional funds to support its operations and investments as it creates a sustainable organization. There is no guarantee that such financing will be available or available on acceptable terms. In order to continue our operations through December 31, 2020 as contemplated in our current business plan, we expect that we will need to raise approximately $2.0 to $3.5 million. There is no guarantee that our current business plan will not change and, as a result of such change, that we will need additional capital to implement such business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raise funds in the first quarter of 2019.</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Covid 19</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novel strain of coronavirus (“Covid-19”) emerged globally in December 2019 and has been declared a pandemic. The extent to which Covid-19 will impact our customers, business, results and financial condition will depend on current and future developments, which are highly uncertain and cannot be predicted at this time. The Company’s day-to-day operations beginning March 2020 have been impacted differently depending on geographic location and services that are being performed. The Cards Plus business located in South Africa has not had any operations in April 2020 as the Company is following the guidance and requirements of the South African government. Our operations in the United States and Colombia have suffered less immediate impact as most staff can work remotely and can continue to develop our product offerings.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above – Impairment loss and Note 13 to the unaudited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recent material accounting policies that may be the most critical to understanding of the financial results and conditions are discussed in Note 1 of the unaudited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include disclosure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March 31, 2020,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quarter ended March 31, 2020, the Company has instituted revised policies and procedures with respect to impairment for goodwill and intangible assets, including an intention to use third party experts when appropriate. We believe that these efforts have begun to remediate the control deficiency that existed in 2019 and we will continue to evaluate our processes and policies for further remediation efforts. We anticipate that these remediation efforts will be sufficient to address the control deficiency by the end of the current fiscal year. Except for these remediation efforts, there were no changes made in our internal controls over financial reporting (as such term is defined in Rule 13a-15(f) of the Exchange Act) during the quarter ended March 31, 2020 that have materially affected, or are reasonably likely to materially affect, our internal controls over financial reporting.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year ended December 31, 2019. There has been no material change in our risk factors from those previously discussed in the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14, 2020, the Company entered into Securities Purchase Agreements with the 2020 Note Investors providing for the sale by the Company to the 2020 Note Investors of 15% Senior Secured Convertible Notes in the aggregate amount of $1,510,000. The 2020 Notes mature February 28, 2022 and are a secured obligation of the Company. The Company can prepay all or a portion of the 2020 Notes at any time provided that such amount prepaid shall be equal to 150% of the principal due. The Company shall pay interest on the 2020 Notes at the rate of 15% per annum payable at the earlier of the maturity date or conversion date, in cash or, at the investor’s option, shares of common stock of the Company.</w:t>
      </w:r>
    </w:p>
    <w:p>
      <w:pPr>
        <w:spacing w:after="0" w:line="17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Further, as of the same date the Company and the Stern Trust entered the Restated Stern Note providing that the $2,000,000 principal of the Stern Note will be due and payable on the same terms (bearing interest at 15% per annum) and on the same maturity date as the 2020 Notes and that the interest due under the Stern Note as of January 31, 2020 in the amount of $662,000 will remain due and payable on the same terms as exist in the Stern Note prior to modification provided that the maturity of such interest shall be extended to the same maturity date as the 2020 Notes.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6, 2020, the Company granted 4,500,000 shares of restricted common stock of which 3,000,000 shares were granted to two new members of our Board of Directors in connection with their compensation for service as Board Members and 1,500,000 to an employee in connection with his employment compensation. The restricted stock vests upon the achievement of certain performance criteria.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March 31, 2020, the Company issued approximately 106,000 shares of common stock to a third party provider of services in lieu of cash compensation.</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the offers and sales of securities listed above were made to accredited investors. The issuance of the above securities is exempt from the registration requirements under Rule 4(a)(2) of the Securities Act of 1933, as amended, and/or Rule 506 as promulgated under Regulation 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14, 2020, the Company appointed Phillip L. Kumnick, a director of the Company, as Deputy Chairman of the Company, and Thomas Szoke was appointed as Chief Operating Officer of the Company. Mr. Szoke previously served as the Chief Technology Officer of the Company and continues to serve as a director of the Company. Christopher White was appointed as Chief Technology Officer of the Company. On January 27, 2020, Ricky Solomon resigned as a director of the Company. On March 6, 2020, Phillip Broenniman was appointed as a member of the Board of Directors of the Company. Pursuant to the terms of the 2020 Notes, the holders of the notes are entitled to nominate and the Company will not unreasonably reject the appointment of a new member to the Company’s Board of Directors. Mr. Broenniman was designated by the note holders.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41"/>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2.1</w:t>
              </w:r>
            </w:hyperlink>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(1)</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Agreement and Plan of Reorganization</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3.1</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(2)</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Certificate of Incorporation</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3.2</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(2)</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By-laws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3.3</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(3)</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Certificate of Ownership and Merger</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3.4</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(4)</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Certificate of Amendment to the Certificate of Incorporation dated February 1, 2017</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3.5</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(5)</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Certificate of Amendment to the Certificate of Incorporation dated October 3, 2017</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4.1</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(6)</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Stock Option dated May 28, 2015 issued to Ricky Solomon</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4.2</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(7)</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Common Stock Purchase Warrant issued to Ricky Solomon</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4.3</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(8)</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Form of Common Stock Purchase Warrant issued to the 2015 Accredited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4.4</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(9)</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Stock Option dated September 25, 2015 issued to Herbert M. Seltzer</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4.5</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(10)</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Common Stock Purchase Warrant issued to ID Solutions Inc.</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4.6</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(11)</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Stock Option issued to Thomas Szoke dated September 25, 2015</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4.7</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(11)</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Stock Option issued to Douglas Solomon dated September 25, 2015</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4.8</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(11)</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Stock Option issued to Maksim Umarov dated September 25, 2015</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4.9</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(12)</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Form of Common Stock Purchase Warrant issued to the 2015 Accredited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4.10</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(13)</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Form of Common Stock Purchase Warrant issued to the April 2016 Accredited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4.11</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(14)</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Stock Option issued to Parity Labs, LLC</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4.12</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(15)</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Stock Option Agreement entered between the Company and Stuart P. Stoller dated January 31, 2017</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4.13</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(4)</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Stock Option Agreement entered between the Company and Philip D. Beck dated January 31 2017</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4.14</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(29)</w:t>
              </w:r>
            </w:hyperlink>
          </w:p>
        </w:tc>
        <w:tc>
          <w:tcPr>
            <w:tcW w:w="9880" w:type="dxa"/>
            <w:vAlign w:val="bottom"/>
            <w:shd w:val="clear" w:color="auto" w:fill="CCEEFF"/>
          </w:tcPr>
          <w:p>
            <w:pPr>
              <w:spacing w:after="0"/>
              <w:rPr>
                <w:rFonts w:ascii="Arial" w:cs="Arial" w:eastAsia="Arial" w:hAnsi="Arial"/>
                <w:sz w:val="18"/>
                <w:szCs w:val="18"/>
                <w:color w:val="0000EE"/>
              </w:rPr>
            </w:pPr>
            <w:hyperlink r:id="rId71">
              <w:r>
                <w:rPr>
                  <w:rFonts w:ascii="Arial" w:cs="Arial" w:eastAsia="Arial" w:hAnsi="Arial"/>
                  <w:sz w:val="18"/>
                  <w:szCs w:val="18"/>
                  <w:u w:val="single" w:color="auto"/>
                  <w:color w:val="0000EE"/>
                </w:rPr>
                <w:t>Letter Agreement between Ipsidy Inc. and Theodore Stern Revocable Trust dated April 30, 2018</w:t>
              </w:r>
              <w:r>
                <w:rPr>
                  <w:rFonts w:ascii="Arial" w:cs="Arial" w:eastAsia="Arial" w:hAnsi="Arial"/>
                  <w:sz w:val="18"/>
                  <w:szCs w:val="18"/>
                  <w:color w:val="0000EE"/>
                </w:rPr>
                <w:t>.</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4.15</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(30)</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Form of Subscription Agreement by and between Ipsidy Inc. and the August 2018 Accredited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4.16</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(31)</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Form of Subscription Agreement by and between Ipsidy Inc. and the June 2019 Accredited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4.17</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(32)</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Letter Agreement between The Theodore Stern Revocable Trust and Ipsidy Inc. dated December 13, 2019</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4.18</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(32)</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Form of Securities Purchase Agreement entered between Ipsidy Inc. and the 8% Note Investors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4.19</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(32)</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Form of 8% Convertible Note</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4.20</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(33)</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Form of 15.0% Convertible Note</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4.21</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(33)</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Amended and Restated Promissory Note issued to The Theodore Stern Revocable Trust</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10.1</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(16)</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Assignment of Patents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10.2</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(16)</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Assignment of Patents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10.3</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(16)</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Assignment of Patents</w:t>
              </w:r>
            </w:hyperlink>
          </w:p>
        </w:tc>
      </w:tr>
      <w:tr>
        <w:trPr>
          <w:trHeight w:val="216"/>
        </w:trPr>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10.4</w:t>
              </w:r>
            </w:hyperlink>
          </w:p>
        </w:tc>
        <w:tc>
          <w:tcPr>
            <w:tcW w:w="640" w:type="dxa"/>
            <w:vAlign w:val="bottom"/>
            <w:gridSpan w:val="2"/>
            <w:shd w:val="clear" w:color="auto" w:fill="CCEEFF"/>
          </w:tcPr>
          <w:p>
            <w:pPr>
              <w:ind w:left="80"/>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(17)</w:t>
              </w:r>
            </w:hyperlink>
          </w:p>
        </w:tc>
        <w:tc>
          <w:tcPr>
            <w:tcW w:w="9880" w:type="dxa"/>
            <w:vAlign w:val="bottom"/>
            <w:shd w:val="clear" w:color="auto" w:fill="CCEEFF"/>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The ID Global Solutions Corporation Equity Compensation Plan</w:t>
              </w:r>
            </w:hyperlink>
          </w:p>
        </w:tc>
      </w:tr>
      <w:tr>
        <w:trPr>
          <w:trHeight w:val="709"/>
        </w:trPr>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4160"/>
              <w:spacing w:after="0"/>
              <w:rPr>
                <w:sz w:val="20"/>
                <w:szCs w:val="20"/>
                <w:color w:val="auto"/>
              </w:rPr>
            </w:pPr>
            <w:r>
              <w:rPr>
                <w:rFonts w:ascii="Arial" w:cs="Arial" w:eastAsia="Arial" w:hAnsi="Arial"/>
                <w:sz w:val="22"/>
                <w:szCs w:val="22"/>
                <w:color w:val="auto"/>
              </w:rPr>
              <w:t>25</w:t>
            </w:r>
          </w:p>
        </w:tc>
      </w:tr>
    </w:tbl>
    <w:p>
      <w:pPr>
        <w:sectPr>
          <w:pgSz w:w="11900" w:h="16838" w:orient="portrait"/>
          <w:cols w:equalWidth="0" w:num="1">
            <w:col w:w="11240"/>
          </w:cols>
          <w:pgMar w:left="320" w:top="904" w:right="339" w:bottom="555"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10.5</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(18)</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Share Purchase Agreement by and between ID Global Solutions Corporation and the Multipay S.A. Shareholders</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10.6</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(6)</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Director Agreement by and between ID Global Solutions Corporation and Ricky Solomon dated May 28,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10.7</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(19)</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Director Agreement by and between ID Global Solutions Corporation and Herbert M. Seltzer dated September 25,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10.8</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(20)</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Employment Agreement between ID Global Solutions Corporation and Maksim Umarov dated July 1,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10.9</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(21)</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Letter Agreement entered between ID Global Solutions Corporation and Maksim Umarov dated September 25,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10.10</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(22)</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w w:val="90"/>
              </w:rPr>
            </w:pPr>
            <w:hyperlink r:id="rId88">
              <w:r>
                <w:rPr>
                  <w:rFonts w:ascii="Arial" w:cs="Arial" w:eastAsia="Arial" w:hAnsi="Arial"/>
                  <w:sz w:val="18"/>
                  <w:szCs w:val="18"/>
                  <w:u w:val="single" w:color="auto"/>
                  <w:color w:val="0000EE"/>
                  <w:w w:val="90"/>
                </w:rPr>
                <w:t>Share Exchange Agreement by and between ID Global Solutions Corporation, Fin Holdings, Inc. and the Fin Holdings, Inc. shareholders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10.11</w:t>
              </w:r>
            </w:hyperlink>
          </w:p>
        </w:tc>
        <w:tc>
          <w:tcPr>
            <w:tcW w:w="760" w:type="dxa"/>
            <w:vAlign w:val="bottom"/>
            <w:tcBorders>
              <w:bottom w:val="single" w:sz="8" w:color="CCEEFF"/>
            </w:tcBorders>
            <w:shd w:val="clear" w:color="auto" w:fill="CCEEFF"/>
          </w:tcPr>
          <w:p>
            <w:pPr>
              <w:ind w:left="200"/>
              <w:spacing w:after="0" w:line="176" w:lineRule="exact"/>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(23)</w:t>
              </w:r>
            </w:hyperlink>
          </w:p>
        </w:tc>
        <w:tc>
          <w:tcPr>
            <w:tcW w:w="98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Contract for the Provision of Cash Collection Services entered into by and between ID Global LATAM S.A.S. and Recaudo Bogota</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80" w:type="dxa"/>
            <w:vAlign w:val="bottom"/>
            <w:gridSpan w:val="4"/>
            <w:shd w:val="clear" w:color="auto" w:fill="CCEEFF"/>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S.A.S. dated December 30, 2016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10.12</w:t>
              </w:r>
            </w:hyperlink>
          </w:p>
        </w:tc>
        <w:tc>
          <w:tcPr>
            <w:tcW w:w="760" w:type="dxa"/>
            <w:vAlign w:val="bottom"/>
            <w:tcBorders>
              <w:bottom w:val="single" w:sz="8" w:color="CCEEFF"/>
            </w:tcBorders>
            <w:shd w:val="clear" w:color="auto" w:fill="CCEEFF"/>
          </w:tcPr>
          <w:p>
            <w:pPr>
              <w:ind w:left="200"/>
              <w:spacing w:after="0" w:line="176" w:lineRule="exact"/>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(15)</w:t>
              </w:r>
            </w:hyperlink>
          </w:p>
        </w:tc>
        <w:tc>
          <w:tcPr>
            <w:tcW w:w="98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4"/>
              </w:rPr>
            </w:pPr>
            <w:hyperlink r:id="rId90">
              <w:r>
                <w:rPr>
                  <w:rFonts w:ascii="Arial" w:cs="Arial" w:eastAsia="Arial" w:hAnsi="Arial"/>
                  <w:sz w:val="18"/>
                  <w:szCs w:val="18"/>
                  <w:color w:val="0000EE"/>
                  <w:w w:val="94"/>
                </w:rPr>
                <w:t>Confidential Settlement Agreement and General Release between ID Global Solutions Corporation and Charles D. Albanese dated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80" w:type="dxa"/>
            <w:vAlign w:val="bottom"/>
            <w:gridSpan w:val="4"/>
            <w:shd w:val="clear" w:color="auto" w:fill="CCEEFF"/>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January 26, 2017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10.13</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(15)</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Executive Retention Agreement entered between the Company and Stuart P. Stoller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10.14</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(4)</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Indemnification Agreement entered between the Company and Stuart P. Stoller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10.15</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(4)</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Executive Retention Agreement entered between the Company and Philip D. Beck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10.16</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(4)</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Executive Retention Agreement entered between the Company and Thomas Szoke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10.17</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(4)</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Executive Retention Agreement entered between the Company and Douglas Solomon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10.18</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(4)</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Form of Conversion Agreement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10.19</w:t>
              </w:r>
            </w:hyperlink>
          </w:p>
        </w:tc>
        <w:tc>
          <w:tcPr>
            <w:tcW w:w="760" w:type="dxa"/>
            <w:vAlign w:val="bottom"/>
            <w:tcBorders>
              <w:bottom w:val="single" w:sz="8" w:color="CCEEFF"/>
            </w:tcBorders>
            <w:shd w:val="clear" w:color="auto" w:fill="CCEEFF"/>
          </w:tcPr>
          <w:p>
            <w:pPr>
              <w:ind w:left="200"/>
              <w:spacing w:after="0" w:line="176" w:lineRule="exact"/>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(4)</w:t>
              </w:r>
            </w:hyperlink>
          </w:p>
        </w:tc>
        <w:tc>
          <w:tcPr>
            <w:tcW w:w="98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Stand-Off Agreement dated January 31, 2017 entered between Philip Beck, Stuart Stoller, Thomas Szoke, Douglas Solomon, Herbert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80" w:type="dxa"/>
            <w:vAlign w:val="bottom"/>
            <w:gridSpan w:val="4"/>
            <w:shd w:val="clear" w:color="auto" w:fill="CCEEFF"/>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Selzer, Ricky Solomon and the Company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10.20</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(24)</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w w:val="93"/>
              </w:rPr>
            </w:pPr>
            <w:hyperlink r:id="rId98">
              <w:r>
                <w:rPr>
                  <w:rFonts w:ascii="Arial" w:cs="Arial" w:eastAsia="Arial" w:hAnsi="Arial"/>
                  <w:sz w:val="18"/>
                  <w:szCs w:val="18"/>
                  <w:u w:val="single" w:color="auto"/>
                  <w:color w:val="0000EE"/>
                  <w:w w:val="93"/>
                </w:rPr>
                <w:t>Amendment No. 1 to the Share Purchase Agreement by and between Ipsidy Inc and the MultiPay Shareholders dated March 7, 2105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10.21</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(4)</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Form of Indemnity Agreement</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10.22</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(25)</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w w:val="97"/>
              </w:rPr>
            </w:pPr>
            <w:hyperlink r:id="rId99">
              <w:r>
                <w:rPr>
                  <w:rFonts w:ascii="Arial" w:cs="Arial" w:eastAsia="Arial" w:hAnsi="Arial"/>
                  <w:sz w:val="18"/>
                  <w:szCs w:val="18"/>
                  <w:u w:val="single" w:color="auto"/>
                  <w:color w:val="0000EE"/>
                  <w:w w:val="97"/>
                </w:rPr>
                <w:t>Confidential Settlement Agreement and General Release between Ipsidy Inc. and Douglas Solomon dated September 13,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10.23</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(25)</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Agency Agreement between Ipsidy Inc. and Douglas Solomon dated September 13,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10.24</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(26)</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Restricted Stock Agreement dated September 29, 2017 between Philip D. Beck and Ipsidy Inc.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10.25</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(26)</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Restricted Stock Agreement dated September 29, 2017 between Stuart P. Stoller and Ipsidy Inc.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10.26</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(27)</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Settlement Agreement entered between ID Global LATAM S.A.S. and Recaudo Bogota S.A.S.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10.27</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(29)</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2017 Incentive Stock Plan</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10.28</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(29)</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Letter from Ipsidy Inc. to Philip Beck dated May 3, 2018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10.29</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(29)</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Letter from Ipsidy Inc. to Stuart Stoller dated May 3, 2018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10.30</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(29)</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Letter from Ipsidy Inc. to Thomas Szoke dated May 3, 2018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10.31</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(32)</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Letter Agreement between Phillip L. Kumnick and Ipsidy Inc.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10.32</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(33)</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Form of Securities Purchase Agreement – 2020 Notes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10.33</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(33)</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Form of Security Agreement – 2020 Notes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10.34</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(33)</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Form of Letter Agreement between Ipsidy Inc. and the 8% Convertible Note Holders</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10.35</w:t>
              </w:r>
            </w:hyperlink>
          </w:p>
        </w:tc>
        <w:tc>
          <w:tcPr>
            <w:tcW w:w="760" w:type="dxa"/>
            <w:vAlign w:val="bottom"/>
            <w:shd w:val="clear" w:color="auto" w:fill="CCEEFF"/>
          </w:tcPr>
          <w:p>
            <w:pPr>
              <w:ind w:left="200"/>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(34)</w:t>
              </w:r>
            </w:hyperlink>
          </w:p>
        </w:tc>
        <w:tc>
          <w:tcPr>
            <w:tcW w:w="9880" w:type="dxa"/>
            <w:vAlign w:val="bottom"/>
            <w:gridSpan w:val="4"/>
            <w:shd w:val="clear" w:color="auto" w:fill="CCEEFF"/>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Letter Agreement between Phillip R. Broenniman and Ipsidy Inc.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9"/>
        </w:trPr>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gridSpan w:val="4"/>
          </w:tcPr>
          <w:p>
            <w:pPr>
              <w:ind w:left="4160"/>
              <w:spacing w:after="0"/>
              <w:rPr>
                <w:sz w:val="20"/>
                <w:szCs w:val="20"/>
                <w:color w:val="auto"/>
              </w:rPr>
            </w:pPr>
            <w:r>
              <w:rPr>
                <w:rFonts w:ascii="Arial" w:cs="Arial" w:eastAsia="Arial" w:hAnsi="Arial"/>
                <w:sz w:val="22"/>
                <w:szCs w:val="22"/>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9" w:right="339" w:bottom="771"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shd w:val="clear" w:color="auto" w:fill="CCEEFF"/>
          </w:tcPr>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14.1</w:t>
              </w:r>
            </w:hyperlink>
          </w:p>
        </w:tc>
        <w:tc>
          <w:tcPr>
            <w:tcW w:w="620" w:type="dxa"/>
            <w:vAlign w:val="bottom"/>
            <w:shd w:val="clear" w:color="auto" w:fill="CCEEFF"/>
          </w:tcPr>
          <w:p>
            <w:pPr>
              <w:jc w:val="right"/>
              <w:ind w:right="170"/>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(28)</w:t>
              </w:r>
            </w:hyperlink>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Code of Ethics</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21.1</w:t>
              </w:r>
            </w:hyperlink>
          </w:p>
        </w:tc>
        <w:tc>
          <w:tcPr>
            <w:tcW w:w="620" w:type="dxa"/>
            <w:vAlign w:val="bottom"/>
            <w:shd w:val="clear" w:color="auto" w:fill="CCEEFF"/>
          </w:tcPr>
          <w:p>
            <w:pPr>
              <w:jc w:val="right"/>
              <w:ind w:right="170"/>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(28)</w:t>
              </w:r>
            </w:hyperlink>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List of Subsidiaries</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31.1*</w:t>
              </w:r>
            </w:hyperlink>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Certification of Chief Executive Officer pursuant to Rule 13a-14(a)/15d-14(a) of the Securities Exchange Act</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31.2*</w:t>
              </w:r>
            </w:hyperlink>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Certification of Chief Financial Officer pursuant to Rule 13a-14(a)/15d-14(a) of the Securities Exchange Act</w:t>
              </w:r>
            </w:hyperlink>
          </w:p>
        </w:tc>
      </w:tr>
      <w:tr>
        <w:trPr>
          <w:trHeight w:val="216"/>
        </w:trPr>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560" w:type="dxa"/>
            <w:vAlign w:val="bottom"/>
          </w:tcPr>
          <w:p>
            <w:pPr>
              <w:spacing w:after="0"/>
              <w:rPr>
                <w:sz w:val="18"/>
                <w:szCs w:val="18"/>
                <w:color w:val="auto"/>
              </w:rPr>
            </w:pPr>
          </w:p>
        </w:tc>
      </w:tr>
      <w:tr>
        <w:trPr>
          <w:trHeight w:val="176"/>
        </w:trPr>
        <w:tc>
          <w:tcPr>
            <w:tcW w:w="74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32.1*</w:t>
              </w:r>
            </w:hyperlink>
          </w:p>
        </w:tc>
        <w:tc>
          <w:tcPr>
            <w:tcW w:w="6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Chief Executive Officer and Chief Financial Officer pursuant to 18 U.S.C. §1350, as adopted pursuant to Section 906 of</w:t>
              </w:r>
            </w:hyperlink>
          </w:p>
        </w:tc>
      </w:tr>
      <w:tr>
        <w:trPr>
          <w:trHeight w:val="216"/>
        </w:trPr>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the Sarbanes-Oxley Act of 2002</w:t>
              </w:r>
            </w:hyperlink>
          </w:p>
        </w:tc>
      </w:tr>
      <w:tr>
        <w:trPr>
          <w:trHeight w:val="216"/>
        </w:trPr>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 *</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6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 *</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 *</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 *</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6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 *</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6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August 13, 2013.</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Incorporated by reference to the Form 10-12G Registration Statement filed with the Securities Exchange Commission on November 9, 2011.</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9, 2014.</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6,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3,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1, 2015.</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September 9, 2015.</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December 29, 2015.</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25, 2016.</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August 16, 2016.</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Incorporated by reference to the Form S-1 Registration Statement filed with the Securities Exchange Commission on February 13, 2014.</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November 28, 2014.</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12, 2015.</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12, 2016.</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January 6,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March 31,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September 14,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November 13,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November 15,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July 12, 2017.</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4, 2018.</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August 17, 2018.</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21, 2019.</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December 16, 2019.</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18, 2020.</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10, 2020.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IPSIDY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Philip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Philip Beck, Chairman of the Board of Directors, Chief</w:t>
      </w:r>
    </w:p>
    <w:p>
      <w:pPr>
        <w:spacing w:after="0" w:line="4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Executive Officer, and President</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Philip Beck, Chairman of the Board of Directors, Chief Executive Officer and President certify that:</w:t>
      </w:r>
    </w:p>
    <w:p>
      <w:pPr>
        <w:spacing w:after="0" w:line="22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920" w:hanging="453"/>
        <w:spacing w:after="0" w:line="342" w:lineRule="auto"/>
        <w:tabs>
          <w:tab w:leader="none" w:pos="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46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20" w:hanging="453"/>
        <w:spacing w:after="0" w:line="308" w:lineRule="auto"/>
        <w:tabs>
          <w:tab w:leader="none" w:pos="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46" w:lineRule="exact"/>
        <w:rPr>
          <w:rFonts w:ascii="Arial" w:cs="Arial" w:eastAsia="Arial" w:hAnsi="Arial"/>
          <w:sz w:val="17"/>
          <w:szCs w:val="17"/>
          <w:color w:val="auto"/>
        </w:rPr>
      </w:pPr>
    </w:p>
    <w:p>
      <w:pPr>
        <w:ind w:left="920" w:hanging="453"/>
        <w:spacing w:after="0" w:line="277" w:lineRule="auto"/>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Philip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Philip Beck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Stuart Stoller Chief Financial Officer, certify that:</w:t>
      </w:r>
    </w:p>
    <w:p>
      <w:pPr>
        <w:spacing w:after="0" w:line="22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20" w:hanging="453"/>
        <w:spacing w:after="0" w:line="263" w:lineRule="auto"/>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20" w:hanging="453"/>
        <w:spacing w:after="0" w:line="308" w:lineRule="auto"/>
        <w:tabs>
          <w:tab w:leader="none" w:pos="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920" w:hanging="453"/>
        <w:spacing w:after="0" w:line="342" w:lineRule="auto"/>
        <w:tabs>
          <w:tab w:leader="none" w:pos="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46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920" w:hanging="453"/>
        <w:spacing w:after="0" w:line="308" w:lineRule="auto"/>
        <w:tabs>
          <w:tab w:leader="none" w:pos="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46" w:lineRule="exact"/>
        <w:rPr>
          <w:rFonts w:ascii="Arial" w:cs="Arial" w:eastAsia="Arial" w:hAnsi="Arial"/>
          <w:sz w:val="17"/>
          <w:szCs w:val="17"/>
          <w:color w:val="auto"/>
        </w:rPr>
      </w:pPr>
    </w:p>
    <w:p>
      <w:pPr>
        <w:ind w:left="920" w:hanging="453"/>
        <w:spacing w:after="0" w:line="277" w:lineRule="auto"/>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Ipsidy Inc. (the “Company”) on Form 10-Q for the quarter ended March 31, 2020, as filed with the Securities and Exchange Commission (the “Report”), I, Philip Beck, Chairman of the Board of Directors, Chief Executive Officer and President of the Company, and, Stuart Stoller, Chief Financial Officer of the Company, certify, pursuant to 18 U.S.C. SS. 1350, as adopted pursuant to SS. 906 of the Sarbanes-Oxley Act of 2002, that:</w:t>
      </w:r>
    </w:p>
    <w:p>
      <w:pPr>
        <w:spacing w:after="0" w:line="18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Philip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Philip Beck, Chairman of the Board of Directors,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 Chief Financial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115" Type="http://schemas.openxmlformats.org/officeDocument/2006/relationships/image" Target="media/image46.png"/><Relationship Id="rId116" Type="http://schemas.openxmlformats.org/officeDocument/2006/relationships/image" Target="media/image47.png"/><Relationship Id="rId117" Type="http://schemas.openxmlformats.org/officeDocument/2006/relationships/image" Target="media/image48.png"/><Relationship Id="rId118" Type="http://schemas.openxmlformats.org/officeDocument/2006/relationships/image" Target="media/image49.png"/><Relationship Id="rId119" Type="http://schemas.openxmlformats.org/officeDocument/2006/relationships/image" Target="media/image50.png"/><Relationship Id="rId120" Type="http://schemas.openxmlformats.org/officeDocument/2006/relationships/image" Target="media/image51.png"/><Relationship Id="rId121" Type="http://schemas.openxmlformats.org/officeDocument/2006/relationships/image" Target="media/image52.png"/><Relationship Id="rId122" Type="http://schemas.openxmlformats.org/officeDocument/2006/relationships/image" Target="media/image53.png"/><Relationship Id="rId53" Type="http://schemas.openxmlformats.org/officeDocument/2006/relationships/hyperlink" Target="http://www.sec.gov/Archives/edgar/data/1534154/000114420413044868/v352645_ex2-1.htm" TargetMode="External"/><Relationship Id="rId54" Type="http://schemas.openxmlformats.org/officeDocument/2006/relationships/hyperlink" Target="http://www.sec.gov/Archives/edgar/data/1534154/000102143211000112/cersilverwood.txt" TargetMode="External"/><Relationship Id="rId55" Type="http://schemas.openxmlformats.org/officeDocument/2006/relationships/hyperlink" Target="http://www.sec.gov/Archives/edgar/data/1534154/000102143211000112/bylawssilverwood.txt" TargetMode="External"/><Relationship Id="rId56" Type="http://schemas.openxmlformats.org/officeDocument/2006/relationships/hyperlink" Target="http://www.sec.gov/Archives/edgar/data/1534154/000161577414000191/s100383_ex3-3.htm" TargetMode="External"/><Relationship Id="rId57" Type="http://schemas.openxmlformats.org/officeDocument/2006/relationships/hyperlink" Target="http://www.sec.gov/Archives/edgar/data/1534154/000161577417000380/s105242_ex3-1.htm" TargetMode="External"/><Relationship Id="rId58" Type="http://schemas.openxmlformats.org/officeDocument/2006/relationships/hyperlink" Target="http://www.sec.gov/Archives/edgar/data/1534154/000161577415001317/s101235_ex4-1.htm" TargetMode="External"/><Relationship Id="rId59" Type="http://schemas.openxmlformats.org/officeDocument/2006/relationships/hyperlink" Target="http://www.sec.gov/Archives/edgar/data/1534154/000161577415002497/s101799_ex4-4.htm" TargetMode="External"/><Relationship Id="rId60" Type="http://schemas.openxmlformats.org/officeDocument/2006/relationships/hyperlink" Target="http://www.sec.gov/Archives/edgar/data/1534154/000161577415002797/s101910_4-4.htm" TargetMode="External"/><Relationship Id="rId61" Type="http://schemas.openxmlformats.org/officeDocument/2006/relationships/hyperlink" Target="http://www.sec.gov/Archives/edgar/data/1534154/000161577415002797/s101910_4-5.htm" TargetMode="External"/><Relationship Id="rId62" Type="http://schemas.openxmlformats.org/officeDocument/2006/relationships/hyperlink" Target="http://www.sec.gov/Archives/edgar/data/1534154/000161577415002797/s101910_4-8.htm" TargetMode="External"/><Relationship Id="rId63" Type="http://schemas.openxmlformats.org/officeDocument/2006/relationships/hyperlink" Target="http://www.sec.gov/Archives/edgar/data/1534154/000161577415002797/s101910_4-9.htm" TargetMode="External"/><Relationship Id="rId64" Type="http://schemas.openxmlformats.org/officeDocument/2006/relationships/hyperlink" Target="http://www.sec.gov/Archives/edgar/data/1534154/000161577415002797/s101910_4-10.htm" TargetMode="External"/><Relationship Id="rId65" Type="http://schemas.openxmlformats.org/officeDocument/2006/relationships/hyperlink" Target="http://www.sec.gov/Archives/edgar/data/1534154/000161577415002797/s101910_4-11.htm" TargetMode="External"/><Relationship Id="rId66" Type="http://schemas.openxmlformats.org/officeDocument/2006/relationships/hyperlink" Target="http://www.sec.gov/Archives/edgar/data/1534154/000161577415003762/s102409_ex4-4.htm" TargetMode="External"/><Relationship Id="rId67" Type="http://schemas.openxmlformats.org/officeDocument/2006/relationships/hyperlink" Target="http://www.sec.gov/Archives/edgar/data/1534154/000161577416005078/s103074_ex4-4.htm" TargetMode="External"/><Relationship Id="rId68" Type="http://schemas.openxmlformats.org/officeDocument/2006/relationships/hyperlink" Target="http://www.sec.gov/Archives/edgar/data/1534154/000161577416006851/s103950_ex4-2.htm" TargetMode="External"/><Relationship Id="rId69" Type="http://schemas.openxmlformats.org/officeDocument/2006/relationships/hyperlink" Target="http://www.sec.gov/Archives/edgar/data/1534154/000161577417000313/s105211_ex4-1.htm" TargetMode="External"/><Relationship Id="rId70" Type="http://schemas.openxmlformats.org/officeDocument/2006/relationships/hyperlink" Target="http://www.sec.gov/Archives/edgar/data/1534154/000161577417000380/s105242_ex4-3.htm" TargetMode="External"/><Relationship Id="rId71" Type="http://schemas.openxmlformats.org/officeDocument/2006/relationships/hyperlink" Target="http://www.sec.gov/Archives/edgar/data/1534154/000161577418003344/s109839_ex4-14.htm" TargetMode="External"/><Relationship Id="rId72" Type="http://schemas.openxmlformats.org/officeDocument/2006/relationships/hyperlink" Target="http://www.sec.gov/Archives/edgar/data/1534154/000161577418008304/s112176_ex4-1.htm" TargetMode="External"/><Relationship Id="rId73" Type="http://schemas.openxmlformats.org/officeDocument/2006/relationships/hyperlink" Target="http://www.sec.gov/Archives/edgar/data/1534154/000121390019011204/f8k061919ex4-1_ipsidyinc.htm" TargetMode="External"/><Relationship Id="rId74" Type="http://schemas.openxmlformats.org/officeDocument/2006/relationships/hyperlink" Target="http://www.sec.gov/Archives/edgar/data/1534154/000121390019026249/f8k121019ex4-1_ipsidy.htm" TargetMode="External"/><Relationship Id="rId75" Type="http://schemas.openxmlformats.org/officeDocument/2006/relationships/hyperlink" Target="http://www.sec.gov/Archives/edgar/data/1534154/000121390019026249/f8k121019ex4-2_ipsidy.htm" TargetMode="External"/><Relationship Id="rId76" Type="http://schemas.openxmlformats.org/officeDocument/2006/relationships/hyperlink" Target="http://www.sec.gov/Archives/edgar/data/1534154/000121390019026249/f8k121019ex4-3_ipsidy.htm" TargetMode="External"/><Relationship Id="rId77" Type="http://schemas.openxmlformats.org/officeDocument/2006/relationships/hyperlink" Target="http://www.sec.gov/Archives/edgar/data/1534154/000121390020004127/f8k021420ex4-1_ipsidyinc.htm" TargetMode="External"/><Relationship Id="rId78" Type="http://schemas.openxmlformats.org/officeDocument/2006/relationships/hyperlink" Target="http://www.sec.gov/Archives/edgar/data/1534154/000121390020004127/f8k021420ex4-2_ipsidyinc.htm" TargetMode="External"/><Relationship Id="rId79" Type="http://schemas.openxmlformats.org/officeDocument/2006/relationships/hyperlink" Target="http://www.sec.gov/Archives/edgar/data/1534154/000114420414008202/v368203_ex10-1.htm" TargetMode="External"/><Relationship Id="rId80" Type="http://schemas.openxmlformats.org/officeDocument/2006/relationships/hyperlink" Target="http://www.sec.gov/Archives/edgar/data/1534154/000114420414008202/v368203_ex10-2.htm" TargetMode="External"/><Relationship Id="rId81" Type="http://schemas.openxmlformats.org/officeDocument/2006/relationships/hyperlink" Target="http://www.sec.gov/Archives/edgar/data/1534154/000114420414008202/v368203_ex10-3.htm" TargetMode="External"/><Relationship Id="rId82" Type="http://schemas.openxmlformats.org/officeDocument/2006/relationships/hyperlink" Target="http://www.sec.gov/Archives/edgar/data/1534154/000161577414000423/s100533_ex10-19.htm" TargetMode="External"/><Relationship Id="rId83" Type="http://schemas.openxmlformats.org/officeDocument/2006/relationships/hyperlink" Target="http://www.sec.gov/Archives/edgar/data/1534154/000161577415000464/s100863_ex10-1.htm" TargetMode="External"/><Relationship Id="rId84" Type="http://schemas.openxmlformats.org/officeDocument/2006/relationships/hyperlink" Target="http://www.sec.gov/Archives/edgar/data/1534154/000161577415001317/s101235_ex10-1.htm" TargetMode="External"/><Relationship Id="rId85" Type="http://schemas.openxmlformats.org/officeDocument/2006/relationships/hyperlink" Target="http://www.sec.gov/Archives/edgar/data/1534154/000161577415002797/s101910_10-1.htm" TargetMode="External"/><Relationship Id="rId86" Type="http://schemas.openxmlformats.org/officeDocument/2006/relationships/hyperlink" Target="http://www.sec.gov/Archives/edgar/data/1534154/000161577415002797/s101910_10-3.htm" TargetMode="External"/><Relationship Id="rId87" Type="http://schemas.openxmlformats.org/officeDocument/2006/relationships/hyperlink" Target="http://www.sec.gov/Archives/edgar/data/1534154/000161577415002797/s101910_10-4.htm" TargetMode="External"/><Relationship Id="rId88" Type="http://schemas.openxmlformats.org/officeDocument/2006/relationships/hyperlink" Target="http://www.sec.gov/Archives/edgar/data/1534154/000161577416004161/s102630_ex10-1.htm" TargetMode="External"/><Relationship Id="rId89" Type="http://schemas.openxmlformats.org/officeDocument/2006/relationships/hyperlink" Target="http://www.sec.gov/Archives/edgar/data/1534154/000161577417000073/s105090_ex10-1.htm" TargetMode="External"/><Relationship Id="rId90" Type="http://schemas.openxmlformats.org/officeDocument/2006/relationships/hyperlink" Target="http://www.sec.gov/Archives/edgar/data/1534154/000161577417000313/s105211_ex10-1.htm" TargetMode="External"/><Relationship Id="rId91" Type="http://schemas.openxmlformats.org/officeDocument/2006/relationships/hyperlink" Target="http://www.sec.gov/Archives/edgar/data/1534154/000161577417000313/s105211_ex10-2.htm" TargetMode="External"/><Relationship Id="rId92" Type="http://schemas.openxmlformats.org/officeDocument/2006/relationships/hyperlink" Target="http://www.sec.gov/Archives/edgar/data/1534154/000161577417000380/s105242_ex10-6.htm" TargetMode="External"/><Relationship Id="rId93" Type="http://schemas.openxmlformats.org/officeDocument/2006/relationships/hyperlink" Target="http://www.sec.gov/Archives/edgar/data/1534154/000161577417000380/s105242_ex10-1.htm" TargetMode="External"/><Relationship Id="rId94" Type="http://schemas.openxmlformats.org/officeDocument/2006/relationships/hyperlink" Target="http://www.sec.gov/Archives/edgar/data/1534154/000161577417000380/s105242_ex10-2.htm" TargetMode="External"/><Relationship Id="rId95" Type="http://schemas.openxmlformats.org/officeDocument/2006/relationships/hyperlink" Target="http://www.sec.gov/Archives/edgar/data/1534154/000161577417000380/s105242_ex10-3.htm" TargetMode="External"/><Relationship Id="rId96" Type="http://schemas.openxmlformats.org/officeDocument/2006/relationships/hyperlink" Target="http://www.sec.gov/Archives/edgar/data/1534154/000161577417000380/s105242_ex10-4.htm" TargetMode="External"/><Relationship Id="rId97" Type="http://schemas.openxmlformats.org/officeDocument/2006/relationships/hyperlink" Target="http://www.sec.gov/Archives/edgar/data/1534154/000161577417000380/s105242_ex10-5.htm" TargetMode="External"/><Relationship Id="rId98" Type="http://schemas.openxmlformats.org/officeDocument/2006/relationships/hyperlink" Target="http://www.sec.gov/Archives/edgar/data/1534154/000161577417001378/s105638_ex10-43.htm" TargetMode="External"/><Relationship Id="rId99" Type="http://schemas.openxmlformats.org/officeDocument/2006/relationships/hyperlink" Target="http://www.sec.gov/Archives/edgar/data/1534154/000161577417005098/s107501_ex10-1.htm" TargetMode="External"/><Relationship Id="rId100" Type="http://schemas.openxmlformats.org/officeDocument/2006/relationships/hyperlink" Target="http://www.sec.gov/Archives/edgar/data/1534154/000161577417005098/s107501_ex10-2.htm" TargetMode="External"/><Relationship Id="rId101" Type="http://schemas.openxmlformats.org/officeDocument/2006/relationships/hyperlink" Target="http://www.sec.gov/Archives/edgar/data/1534154/000161577417006574/s108010_ex10-47.htm" TargetMode="External"/><Relationship Id="rId102" Type="http://schemas.openxmlformats.org/officeDocument/2006/relationships/hyperlink" Target="http://www.sec.gov/Archives/edgar/data/1534154/000161577417006574/s108010_ex10-48.htm" TargetMode="External"/><Relationship Id="rId103" Type="http://schemas.openxmlformats.org/officeDocument/2006/relationships/hyperlink" Target="http://www.sec.gov/Archives/edgar/data/1534154/000161577417006765/s108188_ex10-1.htm" TargetMode="External"/><Relationship Id="rId104" Type="http://schemas.openxmlformats.org/officeDocument/2006/relationships/hyperlink" Target="http://www.sec.gov/Archives/edgar/data/1534154/000161577418003344/s109839_ex10-27.htm" TargetMode="External"/><Relationship Id="rId105" Type="http://schemas.openxmlformats.org/officeDocument/2006/relationships/hyperlink" Target="http://www.sec.gov/Archives/edgar/data/1534154/000161577418003344/s109839_ex10-28.htm" TargetMode="External"/><Relationship Id="rId106" Type="http://schemas.openxmlformats.org/officeDocument/2006/relationships/hyperlink" Target="http://www.sec.gov/Archives/edgar/data/1534154/000161577418003344/s109839_ex10-29.htm" TargetMode="External"/><Relationship Id="rId107" Type="http://schemas.openxmlformats.org/officeDocument/2006/relationships/hyperlink" Target="http://www.sec.gov/Archives/edgar/data/1534154/000161577418003344/s109839_ex10-30.htm" TargetMode="External"/><Relationship Id="rId108" Type="http://schemas.openxmlformats.org/officeDocument/2006/relationships/hyperlink" Target="http://www.sec.gov/Archives/edgar/data/1534154/000121390019026249/f8k121019ex10-1_ipsidy.htm" TargetMode="External"/><Relationship Id="rId109" Type="http://schemas.openxmlformats.org/officeDocument/2006/relationships/hyperlink" Target="http://www.sec.gov/Archives/edgar/data/1534154/000121390020004127/f8k021420ex10-1_ipsidyinc.htm" TargetMode="External"/><Relationship Id="rId110" Type="http://schemas.openxmlformats.org/officeDocument/2006/relationships/hyperlink" Target="http://www.sec.gov/Archives/edgar/data/1534154/000121390020004127/f8k021420ex10-2_ipsidyinc.htm" TargetMode="External"/><Relationship Id="rId111" Type="http://schemas.openxmlformats.org/officeDocument/2006/relationships/hyperlink" Target="http://www.sec.gov/Archives/edgar/data/1534154/000121390020004127/f8k021420ex10-3_ipsidyinc.htm" TargetMode="External"/><Relationship Id="rId112" Type="http://schemas.openxmlformats.org/officeDocument/2006/relationships/hyperlink" Target="http://www.sec.gov/Archives/edgar/data/1534154/000121390020005856/ea119473ex10-1_ipsidyinc.htm" TargetMode="External"/><Relationship Id="rId113" Type="http://schemas.openxmlformats.org/officeDocument/2006/relationships/hyperlink" Target="http://www.sec.gov/Archives/edgar/data/1534154/000161577417003593/s106516_ex14-1.htm" TargetMode="External"/><Relationship Id="rId114" Type="http://schemas.openxmlformats.org/officeDocument/2006/relationships/hyperlink" Target="http://www.sec.gov/Archives/edgar/data/1534154/000161577417003593/s10651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2020-05-11T15:38:37Z</dcterms:created>
  <dcterms:modified xsi:type="dcterms:W3CDTF">2020-05-11T15:38:37Z</dcterms:modified>
</cp:coreProperties>
</file>