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4000" w:right="1340" w:hanging="2666"/>
        <w:spacing w:after="0" w:line="469" w:lineRule="auto"/>
        <w:tabs>
          <w:tab w:leader="none" w:pos="153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2023</w:t>
      </w:r>
    </w:p>
    <w:p>
      <w:pPr>
        <w:spacing w:after="0" w:line="41"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90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154305</wp:posOffset>
            </wp:positionV>
            <wp:extent cx="1560195" cy="1174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0195"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8"/>
              </w:rPr>
              <w:t>Delaware</w:t>
            </w:r>
          </w:p>
        </w:tc>
        <w:tc>
          <w:tcPr>
            <w:tcW w:w="73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auto"/>
                <w:w w:val="98"/>
              </w:rPr>
              <w:t>46-2069547</w:t>
            </w:r>
          </w:p>
        </w:tc>
      </w:tr>
      <w:tr>
        <w:trPr>
          <w:trHeight w:val="198"/>
        </w:trPr>
        <w:tc>
          <w:tcPr>
            <w:tcW w:w="3860" w:type="dxa"/>
            <w:vAlign w:val="bottom"/>
            <w:tcBorders>
              <w:top w:val="single" w:sz="8" w:color="auto"/>
            </w:tcBorders>
          </w:tcPr>
          <w:p>
            <w:pPr>
              <w:jc w:val="center"/>
              <w:ind w:left="157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6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860" w:type="dxa"/>
            <w:vAlign w:val="bottom"/>
          </w:tcPr>
          <w:p>
            <w:pPr>
              <w:spacing w:after="0"/>
              <w:rPr>
                <w:sz w:val="24"/>
                <w:szCs w:val="24"/>
                <w:color w:val="auto"/>
              </w:rPr>
            </w:pPr>
          </w:p>
        </w:tc>
        <w:tc>
          <w:tcPr>
            <w:tcW w:w="7380" w:type="dxa"/>
            <w:vAlign w:val="bottom"/>
            <w:gridSpan w:val="3"/>
          </w:tcPr>
          <w:p>
            <w:pPr>
              <w:jc w:val="center"/>
              <w:ind w:right="3770"/>
              <w:spacing w:after="0"/>
              <w:rPr>
                <w:sz w:val="20"/>
                <w:szCs w:val="20"/>
                <w:color w:val="auto"/>
              </w:rPr>
            </w:pPr>
            <w:r>
              <w:rPr>
                <w:rFonts w:ascii="Times New Roman" w:cs="Times New Roman" w:eastAsia="Times New Roman" w:hAnsi="Times New Roman"/>
                <w:sz w:val="18"/>
                <w:szCs w:val="18"/>
                <w:color w:val="auto"/>
              </w:rPr>
              <w:t>1580 North Logan Street, Suite 660, Unit 51767</w:t>
            </w:r>
          </w:p>
        </w:tc>
      </w:tr>
      <w:tr>
        <w:trPr>
          <w:trHeight w:val="216"/>
        </w:trPr>
        <w:tc>
          <w:tcPr>
            <w:tcW w:w="3860" w:type="dxa"/>
            <w:vAlign w:val="bottom"/>
          </w:tcPr>
          <w:p>
            <w:pPr>
              <w:spacing w:after="0"/>
              <w:rPr>
                <w:sz w:val="18"/>
                <w:szCs w:val="18"/>
                <w:color w:val="auto"/>
              </w:rPr>
            </w:pPr>
          </w:p>
        </w:tc>
        <w:tc>
          <w:tcPr>
            <w:tcW w:w="7380" w:type="dxa"/>
            <w:vAlign w:val="bottom"/>
            <w:gridSpan w:val="3"/>
          </w:tcPr>
          <w:p>
            <w:pPr>
              <w:jc w:val="center"/>
              <w:ind w:right="3770"/>
              <w:spacing w:after="0"/>
              <w:rPr>
                <w:sz w:val="20"/>
                <w:szCs w:val="20"/>
                <w:color w:val="auto"/>
              </w:rPr>
            </w:pPr>
            <w:r>
              <w:rPr>
                <w:rFonts w:ascii="Times New Roman" w:cs="Times New Roman" w:eastAsia="Times New Roman" w:hAnsi="Times New Roman"/>
                <w:sz w:val="18"/>
                <w:szCs w:val="18"/>
                <w:color w:val="auto"/>
                <w:w w:val="99"/>
              </w:rPr>
              <w:t>Denver, CO 80203</w:t>
            </w:r>
          </w:p>
        </w:tc>
      </w:tr>
      <w:tr>
        <w:trPr>
          <w:trHeight w:val="234"/>
        </w:trPr>
        <w:tc>
          <w:tcPr>
            <w:tcW w:w="3860" w:type="dxa"/>
            <w:vAlign w:val="bottom"/>
          </w:tcPr>
          <w:p>
            <w:pPr>
              <w:spacing w:after="0"/>
              <w:rPr>
                <w:sz w:val="20"/>
                <w:szCs w:val="20"/>
                <w:color w:val="auto"/>
              </w:rPr>
            </w:pPr>
          </w:p>
        </w:tc>
        <w:tc>
          <w:tcPr>
            <w:tcW w:w="7380" w:type="dxa"/>
            <w:vAlign w:val="bottom"/>
            <w:gridSpan w:val="3"/>
          </w:tcPr>
          <w:p>
            <w:pPr>
              <w:jc w:val="center"/>
              <w:ind w:right="3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516-274-8700</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AUID</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Exchange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513"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2023, the last business day of the Registrant’s most recently completed second fiscal quarter, the market value of our common stock held by non-affiliates was $40,795,215 which is based on the average bid and ask price of such common equity, as of the last practical business day of the registrant’s most recently completed second fiscal quarter of $7.12.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at March15, 2024</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9,450,220 shares</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Documents incorporated by reference: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198"/>
        </w:trPr>
        <w:tc>
          <w:tcPr>
            <w:tcW w:w="5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gridSpan w:val="15"/>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0" w:type="dxa"/>
            <w:vAlign w:val="bottom"/>
            <w:gridSpan w:val="16"/>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GENERAL INFORMATION</w:t>
            </w:r>
          </w:p>
        </w:tc>
        <w:tc>
          <w:tcPr>
            <w:tcW w:w="128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540" w:type="dxa"/>
            <w:vAlign w:val="bottom"/>
            <w:gridSpan w:val="11"/>
            <w:shd w:val="clear" w:color="auto" w:fill="CCEEFF"/>
          </w:tcPr>
          <w:p>
            <w:pPr>
              <w:jc w:val="center"/>
              <w:ind w:right="3880"/>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128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28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560" w:type="dxa"/>
            <w:vAlign w:val="bottom"/>
            <w:gridSpan w:val="12"/>
            <w:shd w:val="clear" w:color="auto" w:fill="CCEEFF"/>
          </w:tcPr>
          <w:p>
            <w:pPr>
              <w:jc w:val="center"/>
              <w:ind w:right="386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128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60" w:type="dxa"/>
            <w:vAlign w:val="bottom"/>
            <w:gridSpan w:val="14"/>
            <w:shd w:val="clear" w:color="auto" w:fill="CCEEFF"/>
          </w:tcPr>
          <w:p>
            <w:pPr>
              <w:jc w:val="center"/>
              <w:ind w:right="376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III</w:t>
            </w:r>
          </w:p>
        </w:tc>
        <w:tc>
          <w:tcPr>
            <w:tcW w:w="128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560" w:type="dxa"/>
            <w:vAlign w:val="bottom"/>
            <w:gridSpan w:val="12"/>
            <w:shd w:val="clear" w:color="auto" w:fill="CCEEFF"/>
          </w:tcPr>
          <w:p>
            <w:pPr>
              <w:jc w:val="center"/>
              <w:ind w:right="3860"/>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128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860" w:type="dxa"/>
            <w:vAlign w:val="bottom"/>
            <w:gridSpan w:val="29"/>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280" w:type="dxa"/>
            <w:vAlign w:val="bottom"/>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SIGNATURES</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concerning management’s expectations, strategic objectives, business prospects, anticipated economic performance and financial condition and other similar matters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Such risks, uncertainties and other important factors are discussed in Item 1A (Risk Factors) and Item 7 Management’s Discussion and Analysis of Financial Condition and Results of Operations. In addition, these statements constitute the Company’s cautionary statements under the Private Securities Litigation Reform Act of 1995. It should be understood that it is not possible to predict or identify all such factors. Consequently, the following should not be considered to be a complete discussion of all potential risks or uncertainties.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Quarterly Reports on Form 10-Q and Current Reports on Form 8-K filed with the Securities and Exchange Commission.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We are an “emerging growth company,” as defined in the Jumpstart Our Business Startups Act enacted in April 2012, and, for as long as we continue to be an “emerging growth company,” we may choose to take advantage of exemptions from various reporting requirements applicable to other public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earliest of (i) the last day of the fiscal year in which we have total annual gross revenues of $1 billion or more; (ii) the last day of the fiscal year following the fifth anniversary of the date of the first sale of our common equity securities pursuant to an effective registration statement; (iii) the date on which we have issued more than $1 billion in non-convertible debt during the prior three year period; and (iv) the date on which we are deemed to be a “large accelerated filer.” We may take advantage of the extended transition period until the first to occur of the date we (i) are no longer an “emerging growth company” or (ii) affirmatively and irrevocably opt out of the extended transition period. Consequently, our financial statements may not be comparable to companies that comply with public company effective dates.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On June 26, 2023, the Company filed a Certificate of Amendment to its Amended and Restated Certificate of Incorporation to effect a one-for-eight (1-for-8 reverse split (the “Reverse Split”) of the shares of the Company’s common stock. The Reverse Split became effective on July 7, 2023. As a result of the Reverse Split, every eight shares of the Company’s issued and outstanding common stock automatically converted into one share of common stock, without any change in the par value per share, and began trading on a post-split basis under the Company’s existing trading symbol, “AUID”, when the market opened on July 10, 2023. The Reverse Split uthIDted all holders of common stock uniformly. In addition, effective as of the Reverse Split, proportionate adjustments were made to all then-outstanding options and warrants with respect to the number of shares of common stock subject to such options or warrants and the exercise prices thereof, as well as to the conversion price under the remaining Convertible Notes. The impact of this change in capital structure has been retroactively applied to all periods presented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authID Inc. (together with its subsidiaries, the “Company”, “authID”, “we” or “our”) ensures cyber-savvy enterprises “Know Who’s Behind the Device”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for every customer or employee login and transaction. Through its easy-to-integrate, patented, biometric identity platform, authID quickly and accurately verifies a user’s identity, eliminating any assumption of ‘who’ is behind a device and preventing cybercriminals from taking over accounts. authID combines digital onboarding, biometric passwordless authentication and account recovery, with a fast, accurate, user-friendly experience – delivering identity verification in 700ms. Establishing a biometric root of trust for each user that is bound to their accounts, or provisioned devices, authID stops fraud at onboarding, eliminates password risks and costs, and provides the faster, frictionless, and more accurate user identity experience demanded by operators of today’s digital ecosystems.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3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Our Verified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cloud-based platform was developed with internally developed software as well as acquired and licensed technology and provides the following core services:</w:t>
      </w:r>
    </w:p>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 Identity Verification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 Identity Authentication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 Access Recovery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FIDO Passkey binding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Biometric Identity Verification</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are, in real time. authID’s Proof</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identity verification product eliminates the need for costly and less accurate face-to-face, in-person ID checks and instead provides a verified identity in seconds. In a digital, online world of increasing fraud and security threats, Proof speeds up onboarding and offers our customers confidence in the identities of consumers, employees or third-party vendors.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Biometric Identity Authentication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Account Access and Recovery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FIDO Passkey Binding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FIDO Passkey Binding enables enterprises and their users to bind biometrically verified user identities to FIDO2 passkeys, enabling strong authentication for device-based passwordless login and transaction authentication that is tied to a trusted identity. This solution establishes a digital chain of trust between biometrically verified individuals, their accounts, and their devices, thus eliminating passwords and protecting users and systems against fraud attacks.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Customer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solution allows our enterprise customers to:</w:t>
      </w:r>
    </w:p>
    <w:p>
      <w:pPr>
        <w:spacing w:after="0" w:line="223" w:lineRule="exact"/>
        <w:rPr>
          <w:sz w:val="20"/>
          <w:szCs w:val="20"/>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Verify and Authenticate users. </w:t>
      </w:r>
      <w:r>
        <w:rPr>
          <w:rFonts w:ascii="Times New Roman" w:cs="Times New Roman" w:eastAsia="Times New Roman" w:hAnsi="Times New Roman"/>
          <w:sz w:val="18"/>
          <w:szCs w:val="18"/>
          <w:color w:val="auto"/>
        </w:rPr>
        <w:t>Customers can use the authID platform not only to verify the identity of new users, but also to authenticate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seamlessly on an ongoing basis to enable quick, secure logins and transaction authentications.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 from high-speed processing</w:t>
      </w:r>
      <w:r>
        <w:rPr>
          <w:rFonts w:ascii="Times New Roman" w:cs="Times New Roman" w:eastAsia="Times New Roman" w:hAnsi="Times New Roman"/>
          <w:sz w:val="18"/>
          <w:szCs w:val="18"/>
          <w:color w:val="auto"/>
        </w:rPr>
        <w:t>. Our solution returns a very low-latency response, key to enabling high-volume use cases (such as logins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high-value transactions) and providing a frictionless user experience.</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Precisely and accurately identify their consumers and employees, giving the enterprise complete confidence in who is accessing their digital assets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a seamless user experience in terms of speed and self-guided flow, so that even users who are not tech-savvy are easily able to complete the identity verification and authentication processes.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 a wide variety of devices</w:t>
      </w:r>
      <w:r>
        <w:rPr>
          <w:rFonts w:ascii="Times New Roman" w:cs="Times New Roman" w:eastAsia="Times New Roman" w:hAnsi="Times New Roman"/>
          <w:sz w:val="18"/>
          <w:szCs w:val="18"/>
          <w:color w:val="auto"/>
        </w:rPr>
        <w:t>. Our cloud-based service is device agnostic and may be used to verify or authenticate users on any device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camera, including shared devices, digital kiosks, etc.</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Integrate quickly and easily</w:t>
      </w:r>
      <w:r>
        <w:rPr>
          <w:rFonts w:ascii="Times New Roman" w:cs="Times New Roman" w:eastAsia="Times New Roman" w:hAnsi="Times New Roman"/>
          <w:sz w:val="18"/>
          <w:szCs w:val="18"/>
          <w:color w:val="auto"/>
        </w:rPr>
        <w:t>. We offer pre-integrated OIDC connections as well as integrations with several leading Identity and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solutions.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broad identity document coverage. </w:t>
      </w:r>
      <w:r>
        <w:rPr>
          <w:rFonts w:ascii="Times New Roman" w:cs="Times New Roman" w:eastAsia="Times New Roman" w:hAnsi="Times New Roman"/>
          <w:sz w:val="18"/>
          <w:szCs w:val="18"/>
          <w:color w:val="auto"/>
        </w:rPr>
        <w:t>We can verify identities using a wide spectrum of government-issued documents from around the world.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4, 2022, the Board of Directors of authID (the “Board” or the “Board of Directors”) approved a plan to exit from certain non-core activities comprising the MultiPay correspondent bank payments services in Colombia and the Cards Plus cards manufacturing and printing business in South Africa (“Cards Plus business”). On August 29, 2022 the Company executed and completed the sale of the Cards Plus business. On June 30, 2023, the Company completed the sale of its legacy payments software by MultiPay. As of December 31, 2022, MultiPay S.A.S., and IDGS S.A.S assets are presented as assets held for sale on the Company’s Consolidated Balance Sheets and their operations together with those of Cards Plus Pty Ltd., presented as discontinued operations in the Consolidated Statements of Operations during the years ended December 31, 2023 and 2022, as they met the criteria for discontinued operations under applicable accounting guidance.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in the State of Delaware on September 21, 2011, and changed our name from Ipsidy Inc. to authID Inc. on July 18, 2022. Our corporate headquarters is located at 1580 North Logan Street, Suite 660, Unit 51767, Denver, CO 80203 and our main phone number is (516) 274-8700. Our website address is www.authid.ai. The information contained on, or that can be accessed through, our website is not incorporated by reference into this Form 10-K and you should not consider information on our website to be part of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Market Opportunity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momentum towards a digital economy in recent years, accompanied by a massive growth in cyberattacks, fraud, and account takeovers are driving the demand for more streamlined and more secure identity verification and authentication. The World Economic Forum estimates digitally enabled platform business models will drive 70% of new economic value created over the next ten years. Yet vast amounts of data have been compromised, and ransomware attacks have cost businesses hundreds of millions in remediation costs, lost revenue and brand equity. MGM Resorts estimated that the cyber-attack reported in September 2023, cost them over $100 million alone. Passwords and device authentication alone no longer provide the security needed to fight today’s rampant cyber-attacks and account takeover schemes.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Statista, approximately 480,000 incidents of cyberattacks were reported in the United States in 2022, nearly a 100% increase since 2016. In the 2023 Verizon Data Breach Investigation Report, 83% of 4,000 data breaches studied involved external actors, while 74% of all breaches were attributed to some form of social engineering, stolen credentials, or human error. Verizon also found that Business Email Compromise (BEC) attacks now represent more than 50% of social engineering incidents, having almost doubled in recent years. Further it is predicted that Artificial Intelligence (AI) will almost certainly increase the volume and heighten the impact of cyberattacks over the next two years (NCSC Assessment, Jan 1,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services, ecommerce, the sharing economy, and healthcare businesses, among other industry verticals, are confronted by the challenges of identifying their customers, patients and beneficiaries with ease and certainty in the digital world. Organizations across all sectors need to control access to their data and applications by their employees. Governments around the world are enacting new data privacy regulations and pushing for stronger authentication methods in commerce, which impose a “call to action” for many of these entities.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have created a hyper-growth market for the identity verification and authentication industry as well as increased buyer demand for integrated identity platforms that can provide a range of identity solutions to address the full authentication lifecycle of the user journey. The demand for Integrated Identity Platforms is estimated to reach a market size of $48 billion in 2023, increasing at a 24.6% CAGR to reach almost $116 billion by 2027 (Forbes Tech Council, June 6,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orient our business strategy and invest for future growth by focusing on the following key priorities:</w:t>
      </w:r>
    </w:p>
    <w:p>
      <w:pPr>
        <w:spacing w:after="0" w:line="221" w:lineRule="exact"/>
        <w:rPr>
          <w:sz w:val="20"/>
          <w:szCs w:val="20"/>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Drive new customer growth</w:t>
      </w:r>
      <w:r>
        <w:rPr>
          <w:rFonts w:ascii="Times New Roman" w:cs="Times New Roman" w:eastAsia="Times New Roman" w:hAnsi="Times New Roman"/>
          <w:sz w:val="18"/>
          <w:szCs w:val="18"/>
          <w:color w:val="auto"/>
        </w:rPr>
        <w:t>. We intend to continue to build our customer base with a focus on key markets and verticals with the strongest need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high-assurance identity verification and authentication, including highly regulated sectors and organizations with high-risk transactions. This entails targeting less complex, less resource-intensive opportunities, as well as larger, higher revenue-generating brands. We concentrate on enhancing, or complementing legacy platforms as a top-of-funnel, high-assurance provider where appropriate.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Accelerate onboarding and usage within our customer base. </w:t>
      </w:r>
      <w:r>
        <w:rPr>
          <w:rFonts w:ascii="Times New Roman" w:cs="Times New Roman" w:eastAsia="Times New Roman" w:hAnsi="Times New Roman"/>
          <w:sz w:val="18"/>
          <w:szCs w:val="18"/>
          <w:color w:val="auto"/>
        </w:rPr>
        <w:t>As we continue to acquire meaningful contracts, we intend to invest in bringing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live on our platform quickly, ensuring that they realize the benefits of our platform and ramp up their usage, while speeding up time to revenue.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Strategically develop our partner network. </w:t>
      </w:r>
      <w:r>
        <w:rPr>
          <w:rFonts w:ascii="Times New Roman" w:cs="Times New Roman" w:eastAsia="Times New Roman" w:hAnsi="Times New Roman"/>
          <w:sz w:val="18"/>
          <w:szCs w:val="18"/>
          <w:color w:val="auto"/>
        </w:rPr>
        <w:t>There are major cybersecurity and identity organizations with which we can partner to expand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reach quickly and efficiently. We are identifying and pursuing strategic reseller and similar partner opportunities to complement our direct sales team.</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and advance our platform. </w:t>
      </w:r>
      <w:r>
        <w:rPr>
          <w:rFonts w:ascii="Times New Roman" w:cs="Times New Roman" w:eastAsia="Times New Roman" w:hAnsi="Times New Roman"/>
          <w:sz w:val="18"/>
          <w:szCs w:val="18"/>
          <w:color w:val="auto"/>
        </w:rPr>
        <w:t>We intend to continue to invest in research and development and hiring top technical talent to meet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identity proofing and authentication needs of our existing and prospective customers, as well as support new use cases, diversify our product offerings, and continually improve our key differentiators of speed, accuracy, and user experience.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 Acquisitions. </w:t>
      </w:r>
      <w:r>
        <w:rPr>
          <w:rFonts w:ascii="Times New Roman" w:cs="Times New Roman" w:eastAsia="Times New Roman" w:hAnsi="Times New Roman"/>
          <w:sz w:val="18"/>
          <w:szCs w:val="18"/>
          <w:color w:val="auto"/>
        </w:rPr>
        <w:t>As we have done in the past, we intend to selectively pursue acquisitions that will help us achieve our strategic goals,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technology capabilities and accelerate growth. We believe pursuing these types of acquisitions will increase our ability to work with existing customers, add new customers, enter new markets, develop new services and enhance our processing platform capabilities. However, we have no commitments with respect to any such acquisitions at this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authID provides its Verified platform based on a subscription and usage-based model, with fees per transaction, enrolled or active users.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platform primarily through our direct sales team, which consists of inside sales and field sales professionals based in the United States. To power our efforts, we have built a team of subject matter experts in the identity space, and applied a regimented sales execution strategy, allowing us to win against competitors with comparable products but a sub-optimal approach to the market. In the last six months of 2023, our new leadership team significantly expanded our sales force and technical sales support. We also use a premier lead generation service and digital marketing in order to carefully target potential customers and provide qualified leads for our sales representatives to develop.</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work with channel partners, such as banking infrastructure or cybersecurity providers who provide our services to their customers through reseller arrangements and allow us to broaden our customer reach.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for our service offerings is highly competitive and rapidly evolving. We face competition from a broad range of providers with solutions across the identity management lifecycle, including:</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providing identity verification or proofing through both biometric and non-biometric solutions (such as data-based verification using identity proxies, such as DMV records and addresses), both on-premise and cloud-based.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of passwordless identity authentication using device-based and cloud-based biometrics.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companies providing identity and access management platforms, adding identity authentication services to their offering at low/no cost.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entrants seeking to develop and market competing technologies.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possible that, as the digital identity market continues to grow and evolve, larger companies with significant resources may increase their presence in the market and develop competing solutions through internal efforts or partnerships with existing players.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ability to serve both identity verification and authentication needs, as well as the tendency for enterprises to acquire multiple digital identity solutions, we can and often do co-exist with competing products within our customer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team is responsible for the design, development, testing and quality of our platform as well as any new technologies, features, integrations and improvements. The team includes specialists in software engineering, user experience, quality assurance, product management, infrastructure, and technical writing. Our employees are located primarily in the United States, with additional sub-contractors based in Europe, India and the Caribbean. We intend to continue to invest in our technology to strengthen and expand our platform to stay ahead of our competition and meet the evolving needs of our current and prospective customers.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patents, trademarks, copyrights, trade secrets and contractual provisions to protect our proprietary technology. For example, we enter into confidentiality and invention assignment agreements with our employees, consultants and other third parties, and control access to software, services, documentation and other proprietary information. We believe the duration of our patents is adequate relative to the expected lives of our service offerings. We also purchase or license technology that we incorporate into our products or services. While it may be necessary in the future to seek or renew licenses relating to various aspects of our products, we believe, based upon past experience and industry practice, such licenses generally could be obtained on commercially reasonable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security applications and biometric technology associated with the Company’s products and platforms, the activities and operations of the Company are subject to license restrictions and other regulations, such as (without limitation) export controls and other security regulation by government agencies. Expansion of the Company’s activities in areas such as financial services may require government licensing in different jurisdictions and may subject it to additional regulation and oversight.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Data protection legislation in various countries in which the Company does business may require it to register its databases with governmental authorities in those countries and to comply with additional disclosure and consent requirements with regard to the collection, storage and use of personal information of individuals resident in those countries. Several US states have adopted or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several class action lawsuits. These regulations could have a significant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a total of approximately 22 employees who are located in the United States and Colombia as well as outsourced service providers. There are 17 employees in the United States who provide overall Company strategic, business and technological leadership. Employees in the U.S. receive health benefits on a cost-sharing basis and employees in Colombia are provided the respective Government required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Company has four U.S. subsidiaries: Innovation in Motion Inc., Fin Holdings, Inc., ID Solutions Inc. and authID Gaming Inc. The Company has one subsidiary in Colombia: MultiPay S.A.S. The Company has one subsidiary in the United Kingdom: Ipsidy Enterprises Limited. The Company is the sole shareholder of all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Form 10-K, Quarterly Reports on Form 10-Q, Current Reports on Form 8-K, and any amendment to these reports are filed with the SEC. Such reports and other information filed by us with the SEC are available free of charge on our website at </w:t>
      </w:r>
      <w:r>
        <w:rPr>
          <w:rFonts w:ascii="Times New Roman" w:cs="Times New Roman" w:eastAsia="Times New Roman" w:hAnsi="Times New Roman"/>
          <w:sz w:val="18"/>
          <w:szCs w:val="18"/>
          <w:i w:val="1"/>
          <w:iCs w:val="1"/>
          <w:color w:val="auto"/>
        </w:rPr>
        <w:t>investors.authid.ai</w:t>
      </w:r>
      <w:r>
        <w:rPr>
          <w:rFonts w:ascii="Times New Roman" w:cs="Times New Roman" w:eastAsia="Times New Roman" w:hAnsi="Times New Roman"/>
          <w:sz w:val="18"/>
          <w:szCs w:val="18"/>
          <w:color w:val="auto"/>
        </w:rPr>
        <w:t xml:space="preserve"> as soon as reasonably practicable after we electronically file such material with, or furnish it to, the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contained on the websites referenced in this Form 10-K is not incorporated by reference into this filing.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15, 2024, Mr. Joe Trelin tendered his resignation as Chairman and a Director of the Company, effective immediately. On February 20, 2024, the board of directors of the Company (the “Board”) accepted his resignation and agreed to vest the unvested portion of an option granted to Mr. Trelin June 28, 2023, amounting to 6,511 shares. The Company is currently in discussions with one or more candidates to be appointed as an additional Independent Director, but no agreement has been reached regarding such appointment at this time. On February 20, 2024, the Board appointed Michael Thompson to the Audit Committee in compliance with Rule 5605(c)(2)(A) of the Nasdaq Rules. See “Subsequent Events”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Summary of Risk Factors 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be able to achieve profitability going forward.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cash flow and, given our projected funding needs, our ability to generate positive cash flow is uncertain.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for us to evaluate our future business prospects and make decisions based on those estimates of our future performance.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successfully commercialize our products that are currently in development or that our existing products will sustain market acceptance.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key personnel and need additional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present many risks that could have a material adverse effect on our business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products is characterized by changing technology, requirements, standards and products, and we may be adversely affected if we do not respond promptly and effectively to these changes.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technology and solutions are not adopted and used by customer organizations, we will not be able to grow our business and our operations will be negatively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entered into and may seek in the future to enter into contracts with governments, as well as state and local governmental agencies and municipalities, which subjects us to certain risks associated with such types of contracts.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seek business through a competitive bidding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in part on third-party software to develop and provide our solutions.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depended upon a small number of large system sales ranging up to $1,500,000 and we may fail to achieve one or more large sales in the future, or fail to successfully transition to new products generating recurring revenues.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expand our international operations are subject to a number of risks, any of which could adversely reduce our future international sales and increase our losses</w:t>
      </w:r>
      <w:r>
        <w:rPr>
          <w:rFonts w:ascii="Times New Roman" w:cs="Times New Roman" w:eastAsia="Times New Roman" w:hAnsi="Times New Roman"/>
          <w:sz w:val="18"/>
          <w:szCs w:val="18"/>
          <w:i w:val="1"/>
          <w:iCs w:val="1"/>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operating in foreign markets, which may make operating in those markets difficult and thereby force us to curtail our business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breaches of network or information technology security, presentation attacks, natural disasters, pandemics, or terrorist attacks could have an adverse effect on our business.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in Ukraine and the Middle East may impact the business of the Company, the markets in which it operates and the financial markets, in which the Company needs to raise capital.</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in service or defects in our systems could impair the delivery of our services and harm our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could obtain access to our proprietary information or could independently develop similar technologies.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that we are infringing their intellectual property rights; IP litigation could require us to incur substantial costs even when our efforts are successful.</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directors and holders of 5% of outstanding shares together beneficially own a significant portion of our Common Stock and, as a result, can exercise control over stockholder and corporate actions.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Some of our competitors have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market share.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could negatively impact the business.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we cannot be certain if the reduced disclosure requirements applicable to “emerging growth companies” will make our Common Stock less attractive to investors.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the Nasdaq Capital Market. Our failure to meet the continued listing requirements of the Nasdaq Capital Market could result in a de-listing of our Common Stock.</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by our existing stockholders could cause our share price to fall.</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11" w:name="page12"/>
    <w:bookmarkEnd w:id="11"/>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securities litigation, which is expensive and could divert management attention.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adversely change their recommendations or publish negative reports regarding our business or our Common Stock, our stock price and trading volume could decline.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been volatile and your investment in our stock could suffer a decline in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and we may not be able to achieve profitability going forward.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an accumulated deficit of approximately $159.5 million as of December 31, 2023 and incurred an operating loss of approximately $19.4 million for the year ended December 31, 2023. We have had net losses in most of our quarters since our inception. We expect that we will continue to incur net losses in 2024. We may incur losses in the future for a number of reasons, including the other risks described in this report, and we may encounter unforeseen expenses, difficulties, complications, delays and other unknown events. Accordingly, we may not be able to achieve or maintain profitability. Our management is developing plans and executing certain programs to alleviate the negative trends and conditions described above, however there is no guarantee that such plans will be successfully implemented. Our ability to curtail our operating losses or generate a profit may be further impacted by the fact that our business plan is largely unproven. There is no assurance that even if we successfully implement our business plan, that we will be able to curtail our losses. If we incur significant additional operating losses, our stock price may decline, perhaps significantly and the Company will need to raise substantial additional capital in order to be able to continue to operate, which will dilute the existing stockholders and such dilution may be significant. Additional capital may not be available on terms acceptable to the Company, or at all.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yet to achieve positive cash flow and, given our projected funding needs, our ability to generate positive cash flow is uncertain.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had negative cash flow from operating activities of approximately $8.4 million and approximately $12.8 million for the years ended December 31, 2023 and 2022, respectively. We anticipate that we will continue to have negative cash flows from operating activities through March 31, 2025 as we expect to incur increased research and development, sales and marketing, and general and administrative expenses. Our business will require significant amounts of working capital to support our growth, particularly as we seek to introduce our new offered products. An inability to generate positive cash flow from operations may adversely affect our ability to raise needed capital for our business on reasonable terms, if at all. It may also diminish supplier or customer willingness to enter into transactions with us, and have other adverse effects that may impact our long-term viability. There can be no assurance we will achieve positive cash flows in the foreseeable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need access to additional financing, which may not be available to us on acceptable terms, or at all. If we cannot access additional financing when we need it and on acceptable terms, our business, prospects, financial condition, operating results and ability to continue as a going concern will be adversely affected. As a result of these factors, there is substantial doubt about the Company’s ability to continue as a going concern.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growth-oriented business plan to offer products to our customers will require continued capital investment. Our research and development activities will also require continued investment. We raised approximately $15.4 million and $9.6 million net proceeds after expenses in 2023 and 2022, respectively, through equity and debt financing at varying terms.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limited operating history makes it difficult for us to evaluate our future business prospects and make decisions based on those estimates of our future performance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and have generated limited revenue. As we look to further expand our existing products it is difficult, if not impossible, to forecast our future results based upon our historical data. Because of the uncertainties related to our lack of historical operations, we may be hindered in our ability to anticipate and timely adapt to increases or decreases in revenues or expenses. If we make poor budgetary decisions as a result of unreliable historical data, we could be less profitable or incur additional losses, which may result in a decline in our stock price.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There can be no assurance that we will successfully commercialize our products that are currently in development or that our existing products will sustain market acceptance.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ever successfully commercialize our platform and related solutions or that we will experience market reception for our products in development or increased market reception for our existing products. There is no guarantee that we will be able to successfully implement our new products utilizing the acquired and internally developed technology, products, and customer base. There is no assurance that our existing products or solutions will achieve market acceptance or that our new products or solutions will achieve market acceptance. Further, there can be no guarantee that we will not lose business to our existing or potential new competitors.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We depend upon key personnel and need additional personnel.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23, 2023, Rhon Daguro was appointed as our Chief Executive Officer. Our success depends on the continued services of Mr. Daguro and of certain other members of the current management team. Our executive team is incentivized by stock compensation grants that align the interests of investors with the executive team and certain executives have employment retention agreements. The loss of key management, engineering employees or third- party contractors could have a material and adverse effect on our business operations. Additionally, the success of our operations will largely depend upon our ability to successfully attract and maintain competent and qualified key management personnel. As with any company with limited resources, there can be no guarantee that we will be able to attract such individuals or that the presence of such individuals will necessarily translate into profitability for our company. If we are successful in attracting and retaining such individuals, it is likely that our payroll costs and related expenses will increase significantly and that there will be additional dilution to existing stockholders as a result of equity incentives that may need to be issued to such management personnel. Our inability to attract and retain key personnel may materially and adversely affect our business operations. Any failure by our management to effectively anticipate, implement, and manage personnel required to sustain our growth would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present many risks that could have a material adverse effect on our business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we have closed acquisitions of various companies. We may also pursue select acquisitions in the future. The success of our future growth strategy will depend on our ability to integrate our existing operations, together with any future acquisition of which none are planned at this date. Integrating the operations of our existing business with any future acquisitions, including anticipated cost savings and additional revenue opportunities, involves a number of challenges. The failure to meet these integration challenges could seriously harm our results of operations and the market price of our shares may decline as a result. Realizing the benefits of any future acquisition will depend in part on the integration of intellectual property, products, operations, personnel and sales force and the completion of assignments of current and past contracts and rights. These integration activities are complex and time-consuming, and we may encounter unexpected difficulties or incur unexpected costs. We may not successfully integrate our existing and acquired operations, and may not realize the anticipated net reductions in costs and expenses and other benefits and synergies of the acquisition to the extent, or in the timeframe, anticipated. In addition to the integration risks, we could face numerous other risks, including, but not limited to, the following:</w:t>
      </w:r>
    </w:p>
    <w:p>
      <w:pPr>
        <w:spacing w:after="0" w:line="18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normal daily operations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key business relationships and the reputations of the businesses we acquire;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stockholders resulting from any acquisitions, which are paid for with Company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related to acquired operations and continuing support and development of acquired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 for the liabilities of the businesses we acquire;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we are required to account for our acquisitions under accounting principles generally accepted in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apply and maintain our internal standards, controls, procedures and policies to acquired businesses;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companies we acquire.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have a material adverse effect on our business, results of operations, financial condition or cash flows, particularly in the case of a larger acquisition, or concurrent acquisitions.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market for our products is characterized by changing technology, requirements, standards and products, and we may be adversely affected if we do not respond promptly and effectively to these changes.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our verified products is characterized by evolving technologies, changing industry standards, changing political and regulatory environments, frequent new product introductions and rapid changes in customer requirements. The introduction of products embodying new technologies and the emergence of new industry standards and practices can render existing products obsolete and unmarketable. In addition cyber attack attempts are increasing in number, magnitude, and technical sophistication, and we expect emerging technologies to contribute to the increasing sophistication of attacks and to lead to new threats. For example, threat actors may leverage emerging artificial intelligence (or, AI) technologies to develop new hacking tools and attack vectors, generate deep fake images, exploit vulnerabilities, obscure their activities, and increase the difficulty of threat attribution. Our future success will depend on our ability to enhance our existing products and to develop, or acquire and introduce, on a timely and cost-effective basis, new products and product features that counter these new threats, keep pace with technological developments and emerging industry standards and address the increasingly sophisticated needs of our customers. In the future:</w:t>
      </w:r>
    </w:p>
    <w:p>
      <w:pPr>
        <w:spacing w:after="0" w:line="188"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developing and marketing new products or product features that respond to new AI driven cyberattacks, technological change or evolving industry standards;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that could delay or prevent the successful development, or acquisition, introduction and marketing of these new products and features;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3" w:name="page14"/>
    <w:bookmarkEnd w:id="13"/>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products and product features may not adequately meet the requirements of the marketplace and achieve market acceptance.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respond promptly and effectively to new cybersecurity threats and attacks, changing technologies and market requirements, we will be unable to compete effectively in the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successfully identify new product opportunities and develop and bring new products to market in a timely manner, or that the products and technologies developed by others will not render our products or technologies obsolete or noncompetitive. The failure of our new product development efforts could have a material adverse effect on our business, results of operations and future growth.</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technology and solutions are not adopted and used by customer organizations, we will not be able to grow our business and our operations will be negatively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grow depends significantly on whether organizations of various types and sizes adopt our technology and solutions as part of their new standards. If these organizations do not adopt our technology, we may not be able to penetrate some of the new markets we are targeting, or we may lose some of our existing customer base.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us to achieve our growth objectives, our identity verification and authentication technologies and solutions must be adapted to and adopted in a variety of areas including, among others, computer and online systems access control, and identity verification for transaction authentication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accurately predict the future growth rate, if any, or the ultimate size of these markets. The growth of the market for our products and services depends on a number of factors such as the cost, performance and reliability of our products and services compared to the products and services of our competitors, customer perception of the benefits of our products and solutions, public perception of the intrusiveness of these solutions and the manner in which organizations use the information collected, customer satisfaction with our products and services and marketing efforts and publicity for our products and services. Our products and services may not adequately address market requirements and may not gain wide market acceptance. If our solutions or our products and services do not gain wide market acceptance, our business and our financial results will suffer.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in the past entered into and may seek in the future to enter into contracts with governments, as well as state and local governmental agencies and municipalities, which subjects us to certain risks associated with such types of contracts.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Most contracts with governments or with state or local agencies or municipalities, or Governmental Contracts, are awarded through a competitive bidding process, and some of the business that we expect to seek in the future will likely be subject to a competitive bidding process </w:t>
      </w:r>
      <w:r>
        <w:rPr>
          <w:rFonts w:ascii="Times New Roman" w:cs="Times New Roman" w:eastAsia="Times New Roman" w:hAnsi="Times New Roman"/>
          <w:sz w:val="18"/>
          <w:szCs w:val="18"/>
          <w:i w:val="1"/>
          <w:iCs w:val="1"/>
          <w:color w:val="auto"/>
        </w:rPr>
        <w:t>(See “We may have to seek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through a competitive bidding process” below)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afforded the opportunity in the future to bid on contracts that are held by other companies and are scheduled to expire, if the governments, or the applicable state or local agency or municipality determines to extend the existing contract. If we are unable to win new contract awards or retain those contracts, if any, that we are awarded over any extended period, our business, prospects, financial condition and results of operations will be adversely affected.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Governmental Contracts subject us to risks associated with public budgetary restrictions and uncertainties, actual contracts that are less than awarded contract amounts, the requirement for posting a performance bond and the related cost and cancellation at any time at the option of the governmental agency. Any failure to comply with the terms of any Governmental Contracts could result in substantial civil and criminal fines and penalties, as well as suspension from future contracts for a significant period of time, any of which could adversely affect our business by requiring us to pay significant fines and penalties or prevent us from earning revenues from Governmental Contracts during the suspension period. Cancellation of any one of our major Governmental Contracts could have a material adverse effect on our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are subject to the U.S. Foreign Corrupt Practices Act, or the FCPA, and other laws in the United States and elsewhere that prohibit improper payments or offers of payments to United States’, or foreign governments and their officials and political parties for the purpose of obtaining or retaining business. Our activities in the United States and elsewhere create the risk of unauthorized payments or offers of payments by one of our employees, contractors or customers that could be in violation of various laws, including the FCPA, even though these parties are not always subject to our control. We have implemented safeguards to discourage these practices by our employees, consultants and customers. However, our existing safeguards and any future improvements may prove to be less than effective, and our employees, contractors or customers may engage in conduct for which we might be held responsible. Violations of the FCPA or similar laws may result in severe criminal or civil sanctions and we may be subject to other liabilities, which could adversely affect our business, financial condition and results of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Governments may be in a position to obtain greater rights with respect to our intellectual property than we would grant to other entities. Governmental agencies also have the power, based on financial difficulties or investigations of their contractors, to deem contractors unsuitable for new contract awards. Because we will engage in the government contracting business, we will be subject to additional regulatory and legal compliance requirements, as well as audits, and may be subject to investigation, by governmental entities. Compliance with such additional regulatory requirements are likely to result in additional operational costs in performing such Governmental Contracts which may impact our profitability. Failure to comply with the terms of any Governmental Contract could result in substantial civil and criminal fines and penalties, as well as suspension from future contracts for a significant period of time, any of which could adversely affect our business by requiring us to pay the fines and penalties and prohibiting us from earning revenues from Governmental Contracts during the suspension period.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governmental programs can experience delays or cancellation of funding and suspension of appropriations has occurred, for example the partial United States government shutdown in 2018/19, which can be unpredictable; this may make it difficult to forecast our revenues on a quarter-by-quarter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to seek business through a competitive bidding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 bidding, whether for contracts with governments or with private enterprises, presents a number of risks, including:</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frequent need to compete against companies or teams of companies with more financial and marketing resources and more experience than we have in bidding on and performing major contracts;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 and managerial time and effort necessary to prepare bids and proposals for contracts that may not be awarded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accurately estimate the resources and cost structure that will be required to service any fixed-price contract that we are awarded;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delay that may arise if our competitors protest or challenge new contract awards made to us pursuant to competitive bidding or subsequent contract modifications, and the risk that any of these protests or challenges could result in the resubmission of bids on modified specifications, or in termination, reduction or modification of the awarded contract.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we are unable to win particular contracts that are awarded through the competitive bidding process, we will incur expenses associated with such competitive bidding and may not be able to operate in the market for the products and services that are provided under those contracts for a number of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We rely in part on third-party software to develop and provide our solutions.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in part on software licensed from third parties to develop and offer some of our solutions. Any loss of the right to use any such software or other intellectual property required for the development and maintenance of our solutions, or any defects or other issues with such software could result in problems or delays in the provision of our solutions until equivalent technology is either developed by us, or, if available from others, is identified, obtained, and integrated, which could harm our business.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historically depended upon a small number of large system sales ranging up to $1,500,000 and we may fail to successfully transition to new products generating recurring revenues.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we have derived a substantial portion of our revenues from a small number of sales of large, relatively expensive systems, typically ranging in price up to $1,500,000. We have changed the product set of the business to eliminate system sales and have developed a new range of software as a service (SaaS) based products and solutions, which are in a lower price range and intended to generate recurring revenue from a large number of customers. We have invested heavily in developing and launching such products but there is no guarantee that such efforts will be successful and that a satisfactory return on such investment will be achieved. We are still endeavoring to enter into multi-year contracts for our new products with minimum commitments ranging in price from $50,000 to $1,800,000 and we may, or may not, be successful in achieving such sales. Accordingly, our quarterly results are difficult to predict because we cannot predict in which quarter, if any, substantial sales (whether measured in commitment volumes, or number of contracts) will occur in a given year, nor when (if at all), or at what rate the ramp in sales of new products will occur. As a result, we believe that quarter-to-quarter comparisons of our sales are not a good indication of our future performance. In some future quarters, our sales may be below the expectations of securities analysts and investors, in which case the market price of our Common Stock may decrease significantly.</w:t>
      </w:r>
    </w:p>
    <w:p>
      <w:pPr>
        <w:spacing w:after="0" w:line="1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efforts to expand our international operations are subject to a number of risks, any of which could adversely reduce our future international sales and increase our losses</w:t>
      </w:r>
      <w:r>
        <w:rPr>
          <w:rFonts w:ascii="Times New Roman" w:cs="Times New Roman" w:eastAsia="Times New Roman" w:hAnsi="Times New Roman"/>
          <w:sz w:val="18"/>
          <w:szCs w:val="18"/>
          <w:b w:val="1"/>
          <w:bCs w:val="1"/>
          <w:i w:val="1"/>
          <w:iCs w:val="1"/>
          <w:color w:val="auto"/>
        </w:rPr>
        <w: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revenues historically to date are attributable to sales and business operations in jurisdictions other than the United States. Although we are now focusing our efforts in generating more United States based revenues, we continue to pursue international sales, in particular in Europe. Our international operations could be subject to a number of risks, any of which could adversely affect our future international sales and operating results, including:</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duties and tariffs;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regulations or restrictions including sanctions;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Data Privacy and other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regulatory and economic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social unrest;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our intellectual property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aggressive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issues, including currency exchange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supporting foreign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collection risks;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Coronavirus or other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wars and terrorism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Negative developments in any of these areas in one or more countries could result in a reduction in demand for our products, the cancellation or delay of orders already placed, difficulty in collecting receivables, and a higher cost of doing business, any of which could adversely affect our business, results of operations or financial condition.</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are exposed to risks in operating in foreign markets, which may make operating in those markets difficult and thereby force us to curtail our business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conducting our business in foreign countries, we are subject to political, economic, legal, operational and other risks that are inherent in operating in other countries. Risks inherent to operating in other countries range from difficulties in settling transactions in emerging markets to possible nationalization, expropriation, price controls and other restrictive governmental actions. We also face the risk that exchange controls or similar restrictions imposed by foreign governmental authorities may restrict our ability to convert local currency received or held by us in their countries into U.S. dollars or other currencies, or to take those dollars or other currencies out of those countries.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possible that countries in which we do or intend to do business, or companies and their principals become subject to sanctions under U.S. law. This would prevent us from doing business with those countries or with those entities or individuals. We could be exposed to fines and penalties in the event of breach any applicable sanctions legislation or orders. In addition, we might be required to suspend or terminate existing contracts in order to comply with such sanctions legislation or orders, which would adversely impact our future revenues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Cyber-attacks, breaches of network or information technology security, presentation attacks, natural disasters, pandemics or terrorist attacks could have an adverse effect on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Cyber-attacks or other breaches of network or information technology (IT) security, natural disasters, pandemics such as Covid-19, terrorist acts or acts of war may cause equipment failures or disrupt our systems and operations. We may be subject to attempts to breach the security of our networks and IT infrastructure through cyber-attack, presentation attacks to biometric data capture systems, including deep fakes and other threats developed by use of AI driven technologies, malware, computer viruses and other means of unauthorized access. While we regularly review our security policies, protocols, controls and systems to determine their effectiveness for detection and prevention of such attacks, and to make improvements and fix any known vulnerabilities where necessary, new means and methods for such attacks are constantly being developed by bad actors, facilitated by the easy access to generative AI and we may not become aware of such new attacks or vulnerabilities prior to being subject to such an attack. There is no guarantee that we can prevent all such attacks, even if we become aware of their potential. While we maintain insurance coverage for some of these events, the potential liabilities associated with these events could exceed the insurance coverage we maintain. A failure to protect the privacy of customer and employee confidential data against breaches of network or IT security could result in damage to our reputation. To date, we have not been subject to cyber-attacks or other cyber incidents that we are aware of which, individually or in the aggregate, resulted in a material impact to our operations or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For us to further penetrate the marketplace, the marketplace must be confident that we provide effective security protection for governmental and other secured identification documents and other personally identifiable information or protected personal information, or PII. Although we are not aware that we have experienced any act of sabotage or unauthorized access by a third party of our software or technology to date, if an actual or perceived breach of security occurs in our internal systems or those of our customers, regardless of whether we caused the breach, it could adversely affect the market’s perception of our products and services. This could cause us to lose customers, resellers, alliance partners or other business partners, thereby causing our revenues to decline. If we or our customers were to experience a breach of our internal systems, our business could be severely harmed by adversely affecting the market’s perception of our products and services.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recently, we have considered the impact of the coronavirus pandemic (COVID-19) on our overall operations. The continuing impact of this disease or any other disease which may give rise to a pandemic in the United States and worldwide are unknown, and the widespread growth in infections, or travel restrictions, quarantines or site closures imposed as a result of disease, is among other things, impacting the ability of our employees, sub-contractors, or our customers’ employees and sub-contractors to attend places of work, to meet with potential customers, or undertake implementations at our customer’s locations. In addition, the disease could lead to disruptions in our supply chain, causing shortages or unavailability of software updates, or necessary equipment. Any of these outcomes could have a material adverse effect on our business,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War in Ukraine and the Middle East may impact the business of the Company, the markets in which it operates and the financial markets, in which the Company needs to raise capital.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 in Ukraine and the Middle East may impact the Company and its operations in a number of different ways, which are yet to be fully assessed and are therefore uncertain. The Company’s principal concern is for the safety of the personnel who support from those regions. The Company works with third party sub-contractors for outsourced services, including software engineering and development, some of whom are based in Eastern Europe. The Company also works with outsourced engineers and developers and third-party providers in other parts of the world, including the United States, Europe, India, and Latin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uncertainty impacting and potential interruption in energy and other supply chains resulting from military hostilities in Europe and the Middle East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multiple threat actors, including state-sponsored organizations may prompt enterprises to adopt additional security measures such as those offered by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hostilities continue and perhaps even thereafter as the situation in Europe and the Middle East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Interruptions, delays in service or defects in our systems could impair the delivery of our services and harm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the efficient and uninterrupted operation of our computer network systems, software, telecommunications networks, and processing centers, as well as the systems and services of third parties, in order to provide services to our customers. Almost all of our network systems are hosted “in the cloud” by internationally recognized third party service providers such as Microsoft Azure and Amazon Web Services. Our systems and data centers are vulnerable to damage or interruption from, among other things, fire, natural disaster, power loss, telecommunications failure, terrorist acts, war, unauthorized entry, human error, and computer viruses or other defects. They may also be subject to break-ins, sabotage, intentional acts of vandalism and similar misconduct. We have security, backup and recovery systems in place, and business continuity plans that will be designed to ensure our systems will not be inoperable. However, there is still a risk that a system outage or data loss may occur which would not only damage our reputation but could also require the payment of penalties or damages to our clients if our systems do not meet certain operating standards. Despite precautions taken at these facilities, the occurrence of a natural disaster or an act of sabotage or terrorism, a decision to close the facilities without adequate notice or other unanticipated problems at these facilities could result in lengthy interruptions in our service. Our property and business interruption insurance may not be applicable or adequate to compensate us for all losses or failures that may occur.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damage to, failure of, or defects, bugs or errors in our systems or those of third parties, errors or delays in the processing of payment or other transactions, telecommunications failures or other difficulties could result in loss of revenue, loss of customers, loss of customer and consumer data, harm to our business or reputation, exposure to fraud losses or other liabilities, negative publicity, additional operating and development costs, and diversion of technical and other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parties could obtain access to our proprietary information or could independently develop similar technologies.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protect our core technology and intellectual property. To date, we have relied primarily on a combination of patents, patent applications, trade secret and copyright laws, as well as nondisclosure and other contractual restrictions on copying, reverse engineering and distribution to protect our proprietary technology. There can be no assurance that any of our patent applications will result in the issuance of a patent or that the examination process will not require us to narrow our claims in any application. In addition, any patents may be contested, circumvented, found unenforceable or invalid and we may not be able to prevent third parties from infringing on them.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Despite the precautions we take, third parties may copy or obtain and use our technologies, ideas, know-how and other proprietary information without authorization or may independently develop technologies similar or superior to our technologies. In addition, the confidentiality and non-competition agreements between us and most of our employees, distributors and clients may not provide meaningful protection of our proprietary technologies or other intellectual property in the event of unauthorized use or disclosure. If we are not able to successfully defend our industrial or intellectual property rights, we may lose rights to technologies that we need to develop our business, which may cause us to lose potential revenues, or we may be required to pay significant license fees for the use of such technologies.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patents and any patents that we may register in the future may provide only limited protection for our technology and may not be sufficient to provide competitive advantages to us. For example, competitors could be successful in challenging any issued patents or, alternatively, could develop similar or more advantageous technologies on their own or design around our patents. Any inability to protect intellectual property rights in our technology could enable third parties to compete more effectively with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laws of certain foreign countries may not protect our intellectual property rights to the same extent as do the laws of the United States. Our means of protecting our intellectual property rights in the United States or any other country in which we operate may not be adequate to fully protect our intellectual property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Third parties may assert that we are infringing their intellectual property rights; IP litigation could require us to incur substantial costs even when our efforts are successful.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face intellectual property litigation, which could be costly, harm our reputation, limit our ability to sell our products, force us to modify our products or obtain appropriate licenses, and divert the attention of management and technical personnel. Our products employ technology that may infringe on the proprietary rights of others, and, as a result, we could become liable for significant damages and suffer other harm to our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been subject to material intellectual property litigation to date. Litigation may be necessary in the future to enforce any patents we have or may obtain and/or any other intellectual property rights, to protect our trade secrets, to determine the validity and scope of the proprietary rights of others, or to defend against claims of infringement or invalidity, and we may not prevail in any such future litigation. Litigation, whether or not determined in our favor or settled, could be costly, could harm our reputation and could divert the efforts and attention of our management and technical personnel from normal business operations. In addition, adverse determinations in litigation could result in the loss of our proprietary rights, subject us to significant liabilities, require us to seek licenses from third parties, prevent us from licensing our technology or selling or manufacturing our products, or require us to expend significant resources to modify our products or attempt to develop non-infringing technology, any of which could seriously harm our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may contain technology provided to us by third parties. Because we did not develop such technology ourselves, we may have little or no ability to determine in advance whether such technology infringes the intellectual property rights of any other party. Our suppliers and licensors may not be required to indemnify us in the event that a claim of infringement is asserted against us, or they may be required to indemnify us only with respect to intellectual property infringement claims in certain jurisdictions, and/or only up to a maximum amount, above which we would be responsible for any further costs or damages. In addition, we have indemnification obligations to certain parties with respect to any infringement of third-party patents and intellectual property rights by our products. If litigation were to be filed against these parties in connection with our technology, we would be required to defend and indemnify such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officers, directors and holders of 5% of outstanding shares together beneficially own a significant portion of our Common Stock and, as a result, can exercise control over stockholder and corporate actions.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officers and directors and the holders of at least 5% of the outstanding shares of the Company currently beneficially own approximately 19.6% of our outstanding Common Stock, and 24.4% on a fully diluted basis assuming the exercise of both vested and unvested options and warrants. As such, they have a significant influence over most matters requiring approval by stockholders, including the election of directors and approval of significant corporate transactions. This concentration of ownership may also have the effect of delaying or preventing a change in control, which in turn could have a material adverse effect on the market price of the Company’s Common Stock or prevent stockholders from realizing a premium over the market price for their Shares.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face competition. Some of our competitors have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market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for our service offerings is highly competitive and rapidly evolving. We face competition from a broad range of providers with solutions across the identity management lifecycle, including:</w:t>
      </w:r>
    </w:p>
    <w:p>
      <w:pPr>
        <w:spacing w:after="0" w:line="16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providing identity verification or proofing through both biometric and non-biometric solutions (such as data-based verification using identity proxies, such as DMV records and addresses), both on-premise and cloud-based.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of passwordless identity authentication using device-based and cloud-based biometrics.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companies providing identity and access management platforms, adding identity authentication services to their offering at low/no cost.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entrants seeking to develop and market competing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It is also possible that, as the digital identity market continues to grow and evolve, larger companies with significant resources may increase their presence in the market and develop competing solutions through internal efforts or partnerships with existing players.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ability to serve both identity verification and authentication needs, as well as the tendency for enterprises to acquire multiple digital identity solutions, we can and often do co-exist with competing products within our customer base.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resources available to our competitors to develop new products and introduce them into the marketplace exceed the resources currently available to us. Some of our competitors have longer operating histories and greater name recognition than we do and one or more of these competitors could use their greater resources and/or name recognition to gain market share at our expense or could make it very difficult for us to establish market share. As a result, our competitors may be able to compete more aggressively and sustain that competition over a longer period of time that we can. This intense competitive environment may require us to make changes in our products, pricing, licensing, services, distribution, or marketing to develop a market position. Each of these competitors has the potential to capture market share in our target markets, which could have an adverse effect on our position in our industry and on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could negatively impact the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or require any approval from government authorities or agencies in order to operate our regular business and operations. However, data protection legislation in various countries in which the Company does business (including Colombia and the United Kingdom) may require it to register its databases with governmental authorities in those countries and to comply with additional disclosure and consent requirements with regard to the collection, storage and use of personal information of individuals resident in those countries. To the extent that our business is based on Governmental Contracts, the relevant government authorities will need to approve us as a supplier and the terms of those contracts. However, it is possible that any proposed expansion to our business and operations in the future would require government approvals. Due to the security applications and biometric technology associated with our products and platforms the activities and operations of our company are or could become subject to license restrictions and other regulations, such as (without limitation) export controls and other security regulation by government agencies. As indicated in, “We are exposed to risks in operating in foreign markets” above, the imposition of sanctions on particular countries, entities or individuals would prevent us from doing business with such countries, entities or individuals. If our existing and proposed products become subject to licensing, export control and other regulations, we may incur increased costs necessary to comply with existing and newly adopted or amended laws and regulations or penalties for any failure to comply. Our operations could be adversely affected, directly or indirectly, by existing or future laws and regulations (and amendments thereto) relating to our business or industry.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states in the United States have adopted legislation governing the collection, use of, and storage of biometric information and other states are considering such legislation. Specifically, several states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lawsuits. The widespread adoption of such legislation could result in restrictions on our current or proposed business activities, or we may incur increased costs to comply with such regulations.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cybersecurity and data privacy. Our compliance efforts are complicated by the fact that these requirements and obligations may be subject to uncertain or inconsistent interpretations and enforcement, and may conflict among various jurisdictions. Any failure or perceived failure by us to comply with applicable laws, rules, regulations, standards, certifications, or contractual obligations, or any compromise of security that results in unauthorized access to, or unauthorized loss, destruction, use, modification, acquisition, disclosure, release, or transfer of personal information, may result in outcomes such as: requirements to modify or cease certain operations or practices; the expenditure of substantial costs, time, and other resources; proceedings or actions against us; legal liability; governmental investigations; enforcement actions; claims; fines; judgments; awards; penalties; sanctions; and potentially costly litigation (including class actions).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the Sarbanes-Oxley Act and the Dodd-Frank Act. We are also subject to the corporate governance and other listing rules of the Nasdaq Stock Market LLC (“Nasdaq”). Maintaining compliance with these rules and regulations, particularly after we cease to be an emerging growth company, will increase our legal, accounting and financial compliance costs, will make some activities more difficult, time-consuming and costly and may also place increased strain on our personnel, systems and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at the time we cease to be an emerging growth company and a smaller reporting company, we will be required to provide attestation that we maintain effective disclosure controls and procedures by our registered public accounting firm. Any failure to develop or maintain effective controls, or any difficulties encountered in their implementation or improvement, could harm our operating results or cause us to fail to meet our reporting obligations. Any failure to implement and maintain effective internal control also could adversely affect the results of periodic management evaluations regarding the effectiveness of our internal control over financial reporting that are required to include in our periodic reports filed with the SEC, under Section 404(a) of the Sarbanes-Oxley Act or the annual auditor attestation reports regarding effectiveness of our internal controls over financial reporting that we will be required to include in our periodic reports filed with the SEC upon our ceasing to be an emerging growth company and a smaller reporting company, unless, under the JOBS Act, we meet certain criteria that would require such reports to be included prior to then, under Section 404(b) of the Sarbanes-Oxley Act. Ineffective disclosure controls and procedures and internal control over financial reporting could also cause investors to lose confidence in our reported financial and other information, which would likely have a negative effect on the trading price of shares of our Common Stock.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maintain the effectiveness of our disclosure controls and procedures and internal control over financial reporting going forward, we will need to expend significant resources and provide significant management oversight. There is a substantial effort involved in continuing to implement appropriate processes, document our system of internal control over relevant processes, assess their design, remediate any deficiencies identified and test their operation. As a result, management’s attention may be diverted from other business concerns, which could harm our business, operating results and financial condition. These efforts will also involve substantial accounting-related costs. We may experience difficulty in meeting these reporting requirements in a timely manner.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our previous filings, we had a material weakness in our control over financial reporting starting with the quarter ended June 30, 2023. Management has taken action to remediate the various elements of this material weakness, with immediate effect in relation to the financial statements for the year ending December 31, 2023. We remediated this material weakness and put in place a process to undertake an ongoing review of the Company’s activities during each quarter to identify the potential complex accounting matters and if necessary to engage a professional CPA advisory firm to review the proposed accounting treatment on these complex accounting matters that may arise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maintain key controls currently in place or that we implement in the future and pending such implementation, or if any difficulties are encountered in their implementation or improvement, (1) our management might not be able to certify, and our independent registered public accounting firm might not be able to report on, the adequacy of our internal control over financial reporting, which would cause us to fail to meet our reporting obligations, (2) misstatements in our financial statements may occur that may not be prevented or detected on a timely basis and (3) we may be deemed to have significant deficiencies or material weaknesses, any of which could adversely affect our business, financial condition and results of operations.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our internal controls are perceived as inadequate or that we are unable to produce timely or accurate financial statements, our stock price could decline and we could be subject to sanctions or investigations by the SEC or other regulatory authorities, which would require additional financial and management resources.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exclusive forum for: (i) any derivative action or proceeding brought on behalf of the Company; (ii) any action asserting a claim for breach of a fiduciary duty owed by any director, officer, employee, or agent of ours to us or our stockholders; (iii) any action asserting a claim arising pursuant to any provision of the Delaware General Corporation Law, the Certificate of Incorporation, or the bylaws; and (iv) any action asserting a claim governed by the internal affairs doctrine (the “Delaware Forum Provision”). In addition, our amended and restated bylaws provide that any person or entity purchasing or otherwise acquiring any interest in shares of our common stock is deemed to have notice of and consented to the Delaware Forum Provision.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Section 27 of the Securities Exchange Act of 1934, as amended (the “Exchange Act”), creates exclusive federal jurisdiction over all suits brought to enforce any duty or liability created by the Exchange Act or the rules and regulations thereunder. As a result, the Delaware Forum Provision will not apply to suits brought to enforce any duty or liability created by the Exchange Act or any other claim for which the federal courts have exclusive jurisdiction. We note, however, that there is uncertainty as to whether a court would enforce this provision and that investors cannot waive compliance with the federal securities laws and the rules and regulations thereunder.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that the Delaware Forum Provision in our amended and restated bylaws may impose additional litigation costs on stockholders in pursuing any such claims, particularly if the stockholders do not reside in or near the State of Delaware. Additionally, the Delaware Forum Provision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expect to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The Company has adopted and will be adopting all standards as they become effective for public companies.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take advantage of reduced disclosure requirements, including regarding executive compensation. If we remain an “emerging growth company” in the future, we may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take advantage of these provisions at least until December 31, 2024. However, if certain events occur prior to such date, including if we are deemed a “large accelerated filer” under the Exchange Act, our annual gross revenues exceed $1.07 billion or we issue more than $1.0 billion of non- convertible debt in any three-year period, we may cease to be an emerging growth company prior to such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and/or become more volatile.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There can be no assurance that we will be able to comply with the continued listing standards of the Nasdaq Capital Market. Our failure to meet the continued listing requirements of the Nasdaq Capital Market could result in a de-listing of our Common Stock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assure you that we will be able to comply with the continuing listing requirements that we are required to meet in order to maintain a listing of our Common Stock on the Nasdaq Capital Market. If we fail to satisfy the continued listing requirements of the Nasdaq Capital Market, such as the minimum bid price requirement, or the minimum stockholder’s equity requirement, the Nasdaq Capital Market may take steps to de-list our Common Stock. Such a de-listing would likely have a negative effect on the price of our Common Stock and would impair our stockholders’ ability to sell or purchase our Common Stock when they wish to do so. In the event of a de-listing, we would take actions to restore our compliance with the Nasdaq Capital Market’s listing requirements, but we can provide no assurance that any action taken by us would result in our Common Stock becoming listed again, or that any such action would stabilize the market price or improve the liquidity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Specifically, on January 25, 2023, the Company received a notice letter from the Listing Qualifications staff of the Nasdaq that it was not in compliance with the Nasdaq Listing Rule 5550(a)(2) that the Company maintain a bid price for the Company’s common stock above $1.00 per share (“Bid Price Requirement”). On April 4, 2023, the Company received a notice letter from the Listing Qualifications staff of Nasdaq indicating that the Company was not in compliance with Nasdaq Listing Rule 5550(b)(1) (“Rule 5550(b)(1)”) as the Company’s stockholders’ equity was below $2.5 million, which is the minimum stockholders’ equity required for compliance with Rule 5550(b)(1). Further, as of April 3, 2023, the Company did not meet the alternative compliance standards relating to the market value of listed securities, or net income from continuing operations. As a result of the Company’s fund-raising activities in May 2023, the Company’s total stockholder equity was approximately $9.6 million, as reported on the Company’s Form 10-Q for the period ended June 30, 2023. On May 30, 2023, the Company received notice from Nasdaq, that Nasdaq Staff had determined, that the Company complied with Rule 5550(b)(1). As a result of the 1-for-8 reverse stock split that the Company undertook in July 2023, the Company received notice on July 24, 2023 from Nasdaq that the Company was in compliance with the Bid Price Requirement and the matter raised by their letter of January 25, 2023 was closed.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a substantial number of shares of our Common Stock in the public market by our existing stockholders could cause our share price to fall.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including sales by our executive officers, directors and significant stockholders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or cease publishing research or reports about us, our business or our market, or if they adversely change their recommendations or publish negative reports regarding our business or our Common Stock, our stock price and trading volume could decline.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stock price would likely decline. If any analysts who may cover us were to cease coverage of the Company or fail to regularly publish reports on us, we could lose visibility in the financial markets, which in turn could cause our stock price or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volatile and your investment in our stock could suffer a decline in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price and volume fluctuations. For example, during the three year period ended December 31, 2023, the closing price of our common stock ranged from $2.40 to $141.44. In addition, the stock market has from time to time experienced significant price and volume fluctuations that have particularly affected the market prices for the common stock of technology companies and that have often been unrelated to the operating performance of particular companies. These broad market fluctuations may adversely affect the market price of our common stock. You may not be able to resell your shares at or above the price you paid for them due to fluctuations in the market price of our stock caused by changes in our operating performance or prospects and other factors.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Some specific factors, in addition to the other risk factors identified above, that may have a significant effect on the price of our stock, many of which we cannot control, include but are not limited to:</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announcements or our competitors’ announcements of technological innovations;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quarterly variations in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our own financial guidance, or from expectations of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pricing policies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claims of infringement of intellectual property rights or other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growth rate or our competitors’ growth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our patents or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additional capital as needed;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or in market valuations of other technology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and short selling campaigns involving our capital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stock by the Company, or members of our management team or Board or significant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analyst recommendations or earnings estimates regarding our stock, other comparable companies or our industry generally.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anticipate paying any cash dividends in the foreseeable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and we do not anticipate paying cash dividends in the foreseeable future. Therefore, investors should not rely on an investment in our Common Stock as a source for any future dividend income. 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our financial condition, contractual restrictions and other factors deemed relevant by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 criminals are becoming more sophisticated and effective every day, and they are increasingly targeting companies similar to ours operating in the technology, software and identification space. All companies utilizing technology are subject to threats of breaches of their cybersecurity programs. To mitigate the threat to our business, we take a comprehensive approach to cybersecurity risk management and make securing the data customers and other stakeholders entrust to us a top priority. Our Board of directors and our management are actively involved in the oversight of our risk management program, of which cybersecurity represents an important component. As described in more detail below, we have established policies, standards, processes and practices for assessing, identifying, and managing material risks from cybersecurity threats. We have devoted significant financial and personnel resources to implement and maintain security measures to meet regulatory requirements and customer expectations, and we intend to continue to make significant investments to maintain the security of our data and cybersecurity infrastructure. There can be no guarantee that our policies and procedures will be properly followed in every instance or that those policies and procedures will be effective to prevent cyberattack incidents. Such incidents, whether or not successful, could result in our incurring significant costs related to, for example, rebuilding our internal systems, implementing additional threat protection measures, providing modifications or replacements to our products and services,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 We have seen an increase in cyberattack volume, frequency, and sophistication. Although our Risk Factors include further detail about the material cybersecurity risks we face, we believe that as of the date of this Annual Report on Form 10-K, risks from prior cybersecurity threats, have not materially affected our business to date. We can provide no assurance that there will not be incidents in the future or that they will not materially affect us, including our business strategy, results of operations, or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policies, standards, processes and practices for assessing, identifying, and managing material risks from cybersecurity threats are based on frameworks established by the International Organization for Standardization, specifically ISO/IEC 27001:2013 and other applicable industry standards. We have established comprehensive Information Security Management Systems (“ISMS”) policies, which are independently reviewed and audited annually for conformity and effectiveness under ISO/IEC 27001. Our cybersecurity program in particular focuses on the following key areas: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cybersecurity risks are identified and addressed through a comprehensive, cross-functional approach. Key security, risk, and compliance stakeholders, including a member of the Board meet at least monthly in our Security Steering Committee (the “Security Committee”) to develop strategies for preserving the confidentiality, integrity and availability of our company and customer information, identifying, preventing and mitigating cybersecurity threats, and effectively responding to cybersecurity incidents. We maintain controls and procedures that are designed to ensure prompt escalation of certain cybersecurity incidents so that decisions regarding public disclosure and reporting of such incidents can be made by management and the Board in a timely manner.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Risk Assessment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and members of management. Risk assessment is integral to all engineering, business and operational decisions and in addition to the annual reviews, is an ongoing effort, as circumstances and facts arise.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 Audit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least annually we conduct a self-audit of our information security management systems (“ISMS”), in order to identify if there is any non-conformance with our ISMS policies and procedures. The results of the self-audit are reported to our Steering Committee and our external auditor for ISO/IEC 27001 compliance.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Technical Safeguards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Incident Response and Recovery Planning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comprehensive incident response and recovery plans and continue to regularly test and evaluate the effectiveness of those plans. Our incident response and recovery plans address — and guide our employees, management and the Board on — our response to a cybersecurity incident.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Risk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controls designed to identify and mitigate cybersecurity threats associated with our use of third-party service providers. Such providers are subject to security risk assessments at the time of onboarding and contract renewal. We use a variety of inputs in such risk assessments, including information supplied by providers and third parties. In addition, we require our providers to meet appropriate security requirements, controls and responsibilities.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 and Awareness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policies require each of our employees to contribute to our data security efforts. We regularly remind employees of the importance of handling and protecting customer and employee data, including through regular privacy and security training and testing to enhance employee awareness of how to detect and respond to cybersecurity threats.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External Assessments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policies, standards, processes and practices are regularly assessed by consultants and external independent auditors. These assessments include a variety of activities including information security assessments, audits and independent reviews of our ISMS, control environment and operating effectiveness. For example, in 2022 and 2023, we conducted independent audits to assess our ISMS against the ISO/IEC 27001:2013 standard and received certification of compliance with the standard. In 2022 we also undertook independent testing to achieve conformance with ISO 30107-3 Level 1 and 2 for Presentation Attack Detection (PAD), for our Bioweb server and Verified dashboard. We also undertake regular penetration testing of our systems. The results of significant assessments are reported to management and the Board. Cybersecurity processes are adjusted based on the information provided from these assessments. We have also obtained industry certifications and attestations that demonstrate our dedication to protecting the data our customers entrust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in coordination with the Security Committee, oversees our management of cybersecurity risk. They receive regular reports from management about the prevention, detection, mitigation, and remediation of cybersecurity incidents, including material security risks and information security vulnerabilities. Our Security Committee directly oversees our cybersecurity program. The Board receives periodic updates from management on cybersecurity risk resulting from risk assessments, progress of risk reduction initiatives, external auditor feedback, control maturity assessments, and relevant internal and industry cybersecurity incidents.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Technology Officer (“CTO”), Senior Vice President of Engineering (“SVP-Engineering”), Data Engineering and Security Director and General Counsel have primary responsibility for assessing and managing material cybersecurity risks and are members of management’s Security Committee, which is a governing body that drives alignment on security decisions across our company. The Security Committee meets monthly to review security performance metrics, identify security risks, and assess the status of approved security enhancements. The Security Committee also considers and makes recommendations on security policies and procedures, security service requirements, and risk mitigation strategies.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CTO has served in various roles in information technology and information security for over 35 years, which have covered operations management experience in Government Security, Identity Access Management and SaaS solutions industries. Our SVP-Engineering has over 30 years of experience in software development and engineering, starting in the U.S. Marine Corps. Our Data Engineering and Security Director has over 10 years experience in information technology, with a focus on data engineering and information security. Our General Counsel has over 12 years of experience managing risks, including risks arising from cybersecurity threats, at several publicly-traded technology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Headquarters are now located 1580 North Logan Street, Suite 660, Unit 51767, Denver, CO 80203. This is a virtual office address, we do not have any physical offices and all employees work remotely.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 and low per share closing sales prices of the Company’s stock on the Nasdaq Market (ticker symbol AUID) for each quarter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0" w:type="dxa"/>
            <w:vAlign w:val="bottom"/>
          </w:tcPr>
          <w:p>
            <w:pPr>
              <w:spacing w:after="0"/>
              <w:rPr>
                <w:sz w:val="21"/>
                <w:szCs w:val="21"/>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15, 2024, there were approximately 147 stockholders of record of our common stock. This number does not include shares held by brokerage clearing houses, depositories or others in unregistered form. The stock transfer agent for our securities is Computershare Shareholder Services, PO Box 505000, Louisville, Kentucky 40233.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never declared or paid any cash dividends on its common stock. The Company currently intends to retain future earnings, if any, to finance the expansion of its business. As a result, the Company does not anticipate paying any cash dividends in the foreseeable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 as of December 31, 2023</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awards and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awards and</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first column)</w:t>
            </w:r>
          </w:p>
        </w:tc>
      </w:tr>
      <w:tr>
        <w:trPr>
          <w:trHeight w:val="216"/>
        </w:trPr>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- 2017 Incentive Stock Plan</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- 2021 Equity Incentive Plan</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863,701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17,003</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498,501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42.69</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185,000</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the authID Inc. 2017 Incentive Stock Plan and the 2021 Equity Incentive Plan. The Company has also authorized the grant of options to purchase up to 185,000 shares common stock by way of inducement grants to new employees under Nasdaq Rule 5635(c) (“Inducement Grants”). The Company has no other equity incentive plans in effect as of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2017, the shareholders of the Company approved the 2017 Incentive Stock Plan (“2017 Incentive Plan”). On December 29, 2021 the shareholders of the Company approved the 2021 Equity Incentive Plan (“2021 Plan”). The following is a summary of principal features of the 2017 Incentive Plan and the 2021 Plan. The summaries, however, does not purport to be a complete description of all the provisions of each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2017 Incentive Plan initially authorized Awards over 604,167 shares of common stock and at the Annual Meeting of Stockholders held on March 22, 2021, the stockholders approved and ratified an increase of 312,500 shares allocated to the 2017 Incentive Plan. No further awards may be made under the 2017 Incentive Plan. The 2021 Plan initially authorized Awards over 156,250 shares as well as (a) the balance of the shares which were not allocated to awards under the 2017 Incentive Plan and (b) any shares which are forfeited or cancelled under awards that lapse or expire under the prior plans. At the Annual Meeting of Stockholders held on June 26, 2023, the stockholders approved and ratified an increase of 362,500 shares to the 2021 Plan. All plans are administered by the Compensation Committee.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each plan, options may be granted which are intended to qualify as Incentive Stock Options (“ISOs”) under Section 422 of the Internal Revenue Code of 1986 (the “Code”) or which are not (“Non-ISOs”) intended to qualify as Incentive Stock Options thereunder. Other types of equity awards may also be granted under each of the plans include but are not limited to restricted stock, restricted stock units, and stock appreciation rights, which together with the ISO’s and Non-ISO’s are hereinafter collectively referred to as “Awards”. Each of the plans are not considered qualified deferred compensation plan under Section 401(a) of the Internal Revenue Code and are not subject to the provisions of the Employee Retirement Income Security Act of 1974 (“ERISA”).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Awards granted under the Plans shall be contained in an agreement between the participant and the Company and such terms shall be determined by the Compensation Committee consistent with the provisions of the applicable Plan. The terms of Awards may or may not require a performance condition in order to vest the equity comprised in the relevant Award.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option granted under any of the Plans must provide for an exercise price of not less than 100% of the fair market value of the underlying shares on the date of grant, but the exercise price of any ISO granted to an eligible employee owning more than 10% of our outstanding common stock must not be less than 110% of fair market value on the date of the grant. The Plans further provide that with respect to ISOs the aggregate fair market value of the common stock underlying the options which are exercisable by any option holder during any calendar year cannot exceed $100,000. The term of each Plan option and the manner in which it may be exercised is determined by the board of directors or the compensation committee, provided that no option may be exercisable more than 10 years after the date of its grant and, in the case of an incentive option granted to an eligible employee owning more than 10% of the common stock, no more than five years after the date of the grant. In the event of any stock split of our outstanding common stock, the board of directors may adjust (a) the number of shares (i) reserved under the Plan and available for awards, (ii) covered by outstanding awards, (b) the exercise prices related to outstanding awards and (c) the appropriate Fair Market value and other price determinations for any awards in order to give effect to such stock split. Subject to the limitation on the aggregate number of shares issuable under the Plan, there is no maximum or minimum number of shares as to which Award may be granted to any person.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21, 2023, the Compensation Committee approved the grant of options to purchase up to 185,000 shares common stock by way of Inducement Grants to new employees, that the Company expected to hire commencing January 2024. The grants are to be Non-ISO’s and the terms of the Inducement Grants shall be contained in an agreement between the participant and the Company and such terms shall be consistent with the Awards issued under the 2021 Plan.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filed a Registration Statement on Form S-8 on November 12, 2021, with respect to the 2017 Incentive Plan and all outstanding Awards set forth in the above table. The Company filed a further Registration Statement on Form S-8 on February 1, 2022, with respect to the 2021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Between May 23 and June 7, 2023, the Company entered into a securities purchase agreement with accredited investors (the “Purchase Agreement”), pursuant to which the Company agreed to issue and sell, in a public offering an aggregate of 1,113,828 shares (the “Registered Shares”) of the Company’s common stock and in a concurrent private placement 1,121,482 shares (the “PIPE Shares”) of Common Stock (the “Offering”) at a price between $3.664 and $5.632 per share (or $4.00 if the purchaser is a director of the Company). The purchasers under the Purchase Agreement included Stephen J. Garchik (“Garchik”) and four directors of the Company, including the Chief Executive Officer and Chairman of the Board of Directors.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Garchik, who is a Holder (as defined below), the collateral agent for the Convertible Notes and a shareholder of the Company, entered into that certain Amended and Restated Facility Agreement, dated March 8, 2023 (the “A&amp;R Facility Agreement”), with the Company and pursuant to the A&amp;R Facility Agreement, loaned $900,000 to the Company on March 9, 2023, pursuant to a promissory note in favor of Garchik (the “Initial Promissory Note”). In the Offering, the Company and Garchik agreed that the Company would offset the purchase price of certain shares that Garchik agreed to purchase pursuant to the Purchase Agreement against the Company’s obligations under, and the cancellation of, the A&amp;R Facility Agreement and the Initial Promissory Note and the related obligations of the Company’s subsidiaries ID Solutions, Inc., FIN Holdings, Inc. and Innovation in Motion, Inc. (the “Guarantors”) under the guaranty that that the Guarantors had entered into as a condition to Garchik lending under the Initial Promissory Note. Accordingly, Garchik agreed that upon the closing of the Offering, the A&amp;R Facility Agreement, the Initial Promissory Note and the Guaranty terminated.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May 23 and June 7, 2023, the Company entered into an exchange agreement with certain holders (“Holders”) of the March 2022 Senior Secured Convertible Notes (the “Convertible Notes”) of the Company (the “Exchange Agreement”), pursuant to which the Company issued 2,382,700 shares (the “Exchange Shares”) of common stock to the Holders in exchange for the Holders’ Convertible Notes principal balance and accrued interest (the “Note Exchange”) at a price between $3.776 and $5.80 per share or $4.12 if the Holder is a director, officer or insider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 Agreements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20, 2023, the Company entered into an engagement agreement (the “Engagement Agreement”) with Madison Global Partners, LLC (“Madison”), pursuant to which Madison agreed to serve as non-exclusive exclusive placement agent for the issuance and sale of the Registered Shares and the PIPE Shares. The Company paid Madison an aggregate cash fee equal to 7.0% of the gross proceeds received by the Company from the sale of the securities in the Offering, $80,000 cash retainer fee and issued stock purchase warrants (the “Madison Warrants”) to purchase up to 156,712 shares of common stock of the Company at an exercise price of $3.664 per share, which equal to 7.0% of the aggregate number of Shares placed in the Offering. Pursuant to the Engagement Agreement, the Company reimbursed Madison $60,000 for fees and expenses of legal counsel and other out-of-pocket expenses. The Engagement Agreement has indemnity and other customary provisions for transactions of this nature. On May 12, 2023, in connection with certain recruitment services, the Company issued 187,500 common stock warrants to Madison III, LLC, an affiliate of Madison with a term of 5 years and an exercise price of $3.164 per share.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 2023, the Company entered into a further engagement agreement (the “November Engagement Agreement”) with Madison, pursuant to which Madison agreed to serve as non-exclusive exclusive placement agent for the issuance and sale in a public offering of an aggregate of 1,574,990 shares (the “November Registered Shares”). The Company paid Madison an aggregate cash fee equal to 7.0% of the gross proceeds received by the Company from the sale of the November Registered Shares, $80,000 cash retainer fee and issued stock purchase warrants (the “November Madison Warrants”) to purchase up to 110,249 shares of common stock of the Company with a term of 5 years at an exercise price of $6.00 per share, which equal to 7.0% of the aggregate number of Shares placed in the Offering. Pursuant to the November Engagement Agreement, the Company reimbursed Madison $60,000 for fees and expenses of legal counsel and other out-of-pocket expenses. The November Engagement Agreement has indemnity and other customary provisions for transactions of this nature.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Director &amp; Executive Officer Stock Option Grants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28, 2023, the Company made a grant of options to each of Messrs. Koehneman and Trelin and to Ms. White to acquire 15,625 shares of common stock and to each of Messrs. Jisser and Thompson to acquire 3,125 shares of common stock. Each such option is at the exercise price of $5.48 per share, exercisable for a period of ten years, vesting over a period of twelve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28, 2023, the Company made an additional grant of options to Mr. Szoke to acquire 50,000 shares of common stock at the exercise price of $5.48 per share, exercisable for a period of ten years, vesting subject to achievement of performance and service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28, 2023, the Company made an additional grant of options to Mr. Daguro to acquire 183,125 shares of common stock at an exercise price of $5.48 per share, exercisable for a period of ten years, vesting subject to achievement of performance and service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15, 2023, the Company made a grant of options to Mr. Sellitto to acquire 50,000 shares of common stock at an exercise price of $8.87 per share, exercisable for a period of ten years, vesting subject to achievement of performance and service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21, 2023, the Company granted Mr. Szoke and Mr. Sellitto options to acquire 5,000 and 7,000 shares of common stock, respectively, at an exercise price of $9.25 per share, exercisable for a period of ten years, vesting over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Stock Option Grants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also granted a total of 100,000 options to certain new employees at exercise prices ranging from $6.13 per share to $9.85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2022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$29.60 per share. The Convertible Notes were sold with an aggregate cash origination fee of approximately $200,000, and we issued a total of approximately 3,563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132,940 shares of our common stock at prices of $24.24 per share for an outside investor and $29.60 per share for the management investors (the “PIPE”). The aggregate gross proceeds from the PIPE are approximately $3.3 million. Additionally, the Company entered into a Credit Facility with an accredited investor,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agreed to pay the Lender the Facility Commitment Fee of 12,500 shares of our common stock upon the effective date of the Facility Agreement. The gross proceeds of the sale of the Convertible Notes and the PIPE were used to pay the expenses of those offerings and to provide working capital for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issued approximately 42,463 shares of common stock pursuant to exercises of common stock warrants and options. The Company also issued 59,981 shares of common stock in lieu of interest payments for the Convertible Notes. During the year ended December 31, 2022, a holder of a Convertible Note converted the full principal amount of $50,000 and accrued interest of $406 into 1,690 and 17 shares of our common stock,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21, 2022, the Company issued 17,837 common stock warrants in connection with Subscription Agreements and Convertible Notes referenced above with a term of five years and exercise price of $29,60 per share.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the offers and sales of securities listed above were made to accredited investors. The issuance of the above securities is exempt from the registration requirements under Section 4(a)(2) of the Securities Act of 1933, as amended, and/or Regulation D promulgated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“Management’s Discussion and Analysis of Financial Condition and Results of Operation,” except where the context otherwise requires, the term “we,” “us,” “our,” “authID” or “the Company,” refers to the business of authID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authID Inc. (together with its subsidiaries, the “Company”, “authID”, “we” or “our”) ensures cyber-savvy enterprises “Know Who’s Behind the Device”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for every customer or employee login and transaction. Through its easy-to-integrate, patented, biometric identity platform, authID quickly and accurately verifies a user’s identity, eliminating any assumption of ‘who’ is behind a device and preventing cybercriminals from taking over accounts. authID combines digital onboarding, biometric passwordless authentication and account recovery, with a fast, accurate, user-friendly experience – delivering identity verification in 700ms. Establishing a biometric root of trust for each user that is bound to their accounts, or provisioned devices, authID stops fraud at onboarding, eliminates password risks and costs, and provides the faster, frictionless, and more accurate user identity experience demanded by operators of today’s digital ecosystems.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Verified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cloud-based platform was developed with internally developed software as well as acquired and licensed technology and provides the following core services:</w:t>
      </w:r>
    </w:p>
    <w:p>
      <w:pPr>
        <w:spacing w:after="0" w:line="19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 Identity Verification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 Identity Authentication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 Access Recovery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FIDO Passkey binding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Biometric Identity Verification</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are, in real time. authID’s Proof</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identity verification product eliminates the need for costly and less accurate face-to-face, in-person ID checks and instead provides a verified identity in seconds. In a digital, online world of increasing fraud and security threats, Proof speeds up onboarding and offers our customers confidence in the identities of consumers, employees or third-party vendors.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Biometric Identity Authentication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 Access and Recovery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FIDO Passkey Binding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FIDO Passkey Binding enables enterprises and their users to bind biometrically verified user identities to FIDO2 passkeys, enabling strong authentication for device-based passwordless login and transaction authentication that is tied to a trusted identity. This solution establishes a digital chain of trust between biometrically verified individuals, their accounts, and their devices, thus eliminating passwords and protecting users and systems against fraud attacks.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Key Customer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solution allows our enterprise customers to:</w:t>
      </w:r>
    </w:p>
    <w:p>
      <w:pPr>
        <w:spacing w:after="0" w:line="223" w:lineRule="exact"/>
        <w:rPr>
          <w:sz w:val="20"/>
          <w:szCs w:val="20"/>
          <w:color w:val="auto"/>
        </w:rPr>
      </w:pPr>
    </w:p>
    <w:p>
      <w:pPr>
        <w:ind w:left="66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Verify and Authenticate users. </w:t>
      </w:r>
      <w:r>
        <w:rPr>
          <w:rFonts w:ascii="Times New Roman" w:cs="Times New Roman" w:eastAsia="Times New Roman" w:hAnsi="Times New Roman"/>
          <w:sz w:val="18"/>
          <w:szCs w:val="18"/>
          <w:color w:val="auto"/>
        </w:rPr>
        <w:t>Customers can use the authID platform not only to verify the identity of new users, but also to authenticate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seamlessly on an ongoing basis to enable quick, secure logins and transaction authentications.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 from high-speed processing</w:t>
      </w:r>
      <w:r>
        <w:rPr>
          <w:rFonts w:ascii="Times New Roman" w:cs="Times New Roman" w:eastAsia="Times New Roman" w:hAnsi="Times New Roman"/>
          <w:sz w:val="18"/>
          <w:szCs w:val="18"/>
          <w:color w:val="auto"/>
        </w:rPr>
        <w:t>. Our solution returns a very low-latency response, key to enabling high-volume use cases (such as logins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high-value transactions) and providing a frictionless user experience.</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Precisely and accurately identify their consumers and employees, giving the enterprise complete confidence in who is accessing their digital assets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a seamless user experience in terms of speed and self-guided flow, so that even users who are not tech-savvy are easily able to complete the identity verification and authentication processes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 a wide variety of devices</w:t>
      </w:r>
      <w:r>
        <w:rPr>
          <w:rFonts w:ascii="Times New Roman" w:cs="Times New Roman" w:eastAsia="Times New Roman" w:hAnsi="Times New Roman"/>
          <w:sz w:val="18"/>
          <w:szCs w:val="18"/>
          <w:color w:val="auto"/>
        </w:rPr>
        <w:t>. Our cloud-based service is device agnostic and may be used to verify or authenticate users on any device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camera, including shared devices, digital kiosks, etc.</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 quickly and easily. </w:t>
      </w:r>
      <w:r>
        <w:rPr>
          <w:rFonts w:ascii="Times New Roman" w:cs="Times New Roman" w:eastAsia="Times New Roman" w:hAnsi="Times New Roman"/>
          <w:sz w:val="18"/>
          <w:szCs w:val="18"/>
          <w:color w:val="auto"/>
        </w:rPr>
        <w:t>We offer pre-integrated OIDC connections as well as integrations with several leading Identity and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solutions.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broad identity document coverage. </w:t>
      </w:r>
      <w:r>
        <w:rPr>
          <w:rFonts w:ascii="Times New Roman" w:cs="Times New Roman" w:eastAsia="Times New Roman" w:hAnsi="Times New Roman"/>
          <w:sz w:val="18"/>
          <w:szCs w:val="18"/>
          <w:color w:val="auto"/>
        </w:rPr>
        <w:t>We can verify identities using a wide spectrum of government-issued documents from around the world.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4, 2022, the Board of Directors of authID (the “Board” or the “Board of Directors”) approved a plan to exit from certain non-core activities comprising the MultiPay correspondent bank payments services in Colombia and the Cards Plus cards manufacturing and printing business in South Africa (“Cards Plus business”). On August 29, 2022 the Company executed and completed the sale of the Cards Plus business. On June 30, 2023, the Company completed the sale of its legacy payments software by MultiPay. As of December 31, 2022, MultiPay S.A.S., and IDGS S.A.S assets are presented as assets held for sale on the Company’s Consolidated Balance Sheets and their operations together with those of Cards Plus Pty Ltd., presented as discontinued operations in the Consolidated Statements of Operations during the years ended December 31, 2023 and 2022, as they met the criteria for discontinued operations under applicable accounting guidance.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financial results will be impacted by several market trends in the identity verification and authentication markets, as well as expanding digital transformation efforts across a wide range of market segments. These trends include:</w:t>
      </w:r>
    </w:p>
    <w:p>
      <w:pPr>
        <w:spacing w:after="0" w:line="162"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concerns over identity theft, fraud and account takeover, resulting from the acceleration of digital transformation, for example online shopping and remote working and the growth in AI assisted fraud;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in the sharing economy;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electronic payments and alternative money transfer solutions provided by both bank and non-bank entities. The key drivers for these alternative payment methods are consumer demands for safe, convenient payment transactions, with less friction.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included in this Annual Report have been prepared in accordance with U.S. GAAP assuming the Company will continue on a going concern basis, which implies the Company will continue to meet its obligations and continue its operations for the next year following the issuance date of these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approximately $159.5 million. For the year ended December 31, 2023, the Company earned revenue of approximately $0.19 million, used $8.4 million to fund its operations, and incurred a net loss from continuing operations of approximately $19.6 million. 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“Liquidity and Capital Resources” below, the Company secured additional financing during 2023 which provides funding for its current operations as it continues to invest in its product, people, and technology.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2024, Mr. Joe Trelin tendered his resignation as Chairman and a Director of the Company, effective immediately. On February 20, 2024, the board of directors of the Company (the “Board”) accepted his resignation and agreed to vest the unvested portion of an option granted to Mr. Trelin June 28, 2023, amounting to 6,511 shares.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Rule 5605(b)(1) of the Rules of the Nasdaq Stock Market, (“Nasdaq”), a majority of the Board must be comprised of Independent Directors as defined in Rule 5605(a)(2). As a result of Mr. Trelin’s resignation, the Board currently consists of six directors of which three are considered Independent Directors. The Company is currently in discussions with one or more candidates to be appointed as an additional Independent Director, but no agreement has been reached regarding such appointment at this time. Pursuant to Rule 5605(b)(1)(A), the Company has a cure period, within which to restore the majority of Independent Directors, expiring on the earlier of the date of the next Annual Meeting or one year from the date of the vacancy (subject to a minimum period of 180 days from the date of the vacancy).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20, 2024, the Board appointed Michael Thompson to the Audit Committee in compliance with Rule 5605(c)(2)(A) of the Nasdaq Rules.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These services and their contracted pricing has been evaluated by Management based on historical experience with similar providers and determined to be priced at fair, market rates. On October 25, 2023, and on December 19, 2023, the Company entered into amendments to the above services agreement, pursuant to which TPG will provide certain additional services to the Company. In consideration of the services, the Company will pay TPG $98,000 per month during the remainder of the initial one-year term ending in June 2024. The foregoing is only a summary of the material terms of the agreements entered with TPG and does not purport to be a complete description of the rights and obligations of the parties thereunder. The summary of the agreement entered with TPG is qualified in its entirety by reference to the forms of such agreements, which were filed as exhibits to the Company’s Current Report and are incorporated by reference herein (See “Exhibits”).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investment, credit and funding agreements with Mr. Stephen Garchik, which are summarized in the following paragraphs. Mr. Garchik is now a holder of more than 10% of the issued and outstanding common stock of the Company. Mr. Garchik’s financial support for the Company has been a material factor in the continued operation of the Company over the period covered by this Annual Report and its current financial position. Full details of these transactions are set forth in Item 13 “Certain Relationships and Related Transactions and Director Independence” and in Note 8 “Related Party Transactions” to the Audited Consolidated Financial Statements of the Company as of and for the years ended December 31, 2022 and 2023, which are exhibited hereto (the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21, 2022 the Company entered into the Original Facility Agreement with Mr. Garchik, pursuant to which Mr. Garchik agreed to provide a $10.0 million unsecured standby line of credit facility. On April 18, 2022, Joseph Trelin, as Garchik’s designee under the Original Facility Agreement, was appointed as a member of the Board of Directors of the Company. By virtue of such right of nomination Mr. Garchik considered himself a “director by deputization”.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6 “Working Capital Facility”, to the Consolidated Financial Statements, the Original Facility Agreement was amended and restated effective March 8, 2023 pursuant to which amendment the amount of the facility was reduced to $3.6 million, and an initial advance of $900,000 was made.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 On May 25, 2023, the Company and Mr. Garchik agreed to terminate the A&amp;R Facility Agreement and satisfied and offset the outstanding balance of the Note and accrued interest in the amount of $929,250 with the purchase price of 253,617 shares of common stock. In addition, Mr. Garchik invested a further $1,000,000 on the same date. The purchase price of the shares issued in these two transactions was the same as the purchase price paid by all other investors (who were not directors) in the same round and was the Nasdaq Official Closing Price in effect on the date of the transaction.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On May 23, 2023, pursuant to an Exchange Agreement, Mr. Garchik, exchanged a Convertible Note and accrued interest in the amount of $1,014,625 for 268,705 shares of common stock. The price of the shares issued to Mr. Garchik under the Exchange Agreement was the same as the purchase price paid by all other investors (who were not directors) pursuant to the Exchange Agreement and was the Nasdaq Official Closing Price in effect on the date of the transaction. As a result of such exchange, the issuance of shares in satisfaction of the Credit Facility and the purchase of additional shares of common stock as referenced above (See Note 9 “Shareholders’ Equity” to the Consolidated Financial Statements), Mr. Garchik is now a holder of more than 10% of the outstanding shares of the Company’s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20, 2023, Mr. Garchik, purchased 166,667 shares of Company’s common stock at a price of $1,000,000. The purchase price of the shares issued in this transaction was the same as the purchase price paid by all other investors in the same round and was higher than the Nasdaq Official Closing Price in effect on the date of the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described in Item 13 “Certain Relationships and Related Transactions and Director Independence” and in Note 8 “Related Party Transactions” to the Consolidated Financial Statements, the Company has entered into various equity investments and employment agreements with Directors and Officers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policy for significant revenue generating activities from continuing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contracts are reviewed for their respective performance obligations and related revenue and expense recognition implications. A performance obligation under the revenue standard is defined as a promise to provide a “distinct” good or service to a customer and is the unit of account for revenue recognition. The Company’s revenues that are derived from the identity services could include multiple performance obligations. Additionally, the contracts could include implementation services, or support on an “as needed” basis and we will review each contract and determine whether such performance obligations are separate and distinct and apply the standard accordingly to the revenue and expense derived from or related to each such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and 2022, the Company’s projection and assessment did not indicate that an impairment charge was required as its fair value was in excess of carrying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accounted for stock-based compensation under the provisions of FASB ASC 718 – “Stock Compensation” which requires the use of the fair-value based method to determine compensation for all arrangements under which employees and others receive shares of stock or equity instruments (stock options and common stock purchase warrants). For both employee and non-employee awards, the fair market value of each stock option award is estimated on the date of grant using the Black-Scholes and/or Monte-Carlo valuation models as appropriate that uses assumptions for expected volatility, expected dividends, expected term, and the risk-free interest rate. Expected volatilities are based on historical volatility of the Company’s stock and other factors estimated over the expected term of the stock options. For employee awards, the expected term of options granted is derived based on exercise history. We continually monitor exercise activity from the date of grant and consider our short history and certain stock price growth during various periods to determine if expected term should be modified. The risk-free rate is based on the U.S. Treasury yield curve in effect at the time of grant for the period of the expected term. The Company accounts for forfeitures of employee awards as they occur.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includes information about Adjusted EBITDA that is not prepared in accordance with U.S. GAAP. Adjusted EBITDA is not based on any standardized methodology prescribed by U.S. GAAP and is not necessarily comparable to similar measures presented by other companies. A reconciliation of this non-GAAP measure is included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that represents U.S. GAAP net income (loss) adjusted to exclude (1) interest expense, (2) interest income, (3) provision for income taxes, (4) depreciation and amortization, (5) stock-based compensation expense (stock options) and (6) certain other items management believes affect the comparability of operating results. Other items included the following:</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expense of $7.5 million in 2023 and $0 in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cost of $0.9 million in 2023 and $0.2 million in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 of $0 in 2023 and $1.1 million in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debt extinguishment of $0.4 million in 2023 and $0 in 2022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that Adjusted EBITDA, when viewed with our results under U.S.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include the impact of certain charges or gains resulting from matters we consider not to be indicative of our ongoing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as a supplement to our U.S. GAAP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From Continuing Operations to Adjusted EBITDA Continuing Operations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(19,617,969)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(23,675,310)</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Addback: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1,108,458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(98,230)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7,476,000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380,741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855,279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255,858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749,900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recruiting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1,101,867</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487,398</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8,870,168</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continuing operations (Non-GAAP)</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(8,711,601)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(11,398,530)</w:t>
            </w: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Adjusted EBITDA Loss From Continuing Operations in 2023 compared to 2022 is principally due to cost saving measures taken in 2023 resulting in lower headcount costs and lower third-party vendors costs. Additionally, a significant reduction in stock option expense is related to the reversal of the charge associated with unvested performance-based grants when certain senior level executives departed the organization in 2023 and was offset by one-time expenses related to the conversion of convertible debt to equity.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and Financial Condition for the Year Ended December 31, 2023 as Compared to the Year Ended December 31, 2022 – Continuing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revenues from Verified software license were approximately $186,000 compared to approximately $157,000 for the year ended December 31, 2022. Verified software license revenue increased as we acquired new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Legacy authentication services revenues were approximately $4,000 compared to approximately $371,000 for the year ended December 31, 2022. Revenue from Legacy authentication services dropped significantly due to one large customer, that decommissioned a legacy product offering in 2022 and another large customer that had a one-off order in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general and administrative expenses decreased by approximately $6.8 million compared to the year ended December 31, 2022, principally due to lower stock-based compensation expenses as well as the Company’s cost saving measures resulting in lower headcount costs and lower third-party vendor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research and development expenses decreased by approximately $3.5 million compared to the year ended December 31, 2022, principally due to lower stock-based compensation expenses as well as the Company’s cost saving measures resulting in lower headcount costs and lower third-party vendor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depreciation and amortization decreased by approximately $0.5 million compared to the year ended December 31, 2022, as the Company reduced the value of certain legacy business assets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during the year ended December 31, 2023 compared to the year ended December 31, 2022 decreased by $0.3 million, principally due to the exchange of Convertible Notes for common stock in May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authID considers it in the best interests of the Company to focus its business activities on providing biometric authentication products and services by means of our proprietary Verified platform. Accordingly, on May 4, 2022, the Board approved a plan to exit from certain non-core activities comprising the MultiPay correspondent bank, payments services in Colombia and the Cards Plus cards manufacturing and printing business in South Africa.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Cards Plus business in South Africa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29, 2022, the Company completed the sale of Cards Plus for a price of $300,000 of which $150,000 was received and the remaining balance of $150,000 was recorded in other current asset, less $3,272 in costs to sell, and recognized a loss of $188,247 from the transaction. While the Company and Cards Plus continue to actively pursue payment of the remaining balance of $150,000, which is subject to regulatory approval, management re-evaluated the likelihood of recovery and recorded an allowance for doubtful account during the 3 months ending September 30, 2023 related to the collection of the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MultiPay business in Colombia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exited the MultiPay business in Colombia but still maintains an authID customer support and operations team in Bogota, which performs essential functions to support the global operations of our Verified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2023, MultiPay finalized the sale of the Company’s proprietary software to its major customer for approximately $96,000. As a result, the Company recognized a gain of approximately $216,000 which included the release of a foreign currency translation gain of approximately $155,000.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Cards Plus and MultiPay had been classified as discontinued operations as of December 31, 2023 and 2022, under generally accepted accounting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 &amp; Middle East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 in Ukraine and the Middle East may impact the Company and its operations in a number of different ways, which are yet to be fully assessed and are therefore uncertain. The Company’s principal concern is for the safety of the personnel who support from those regions. The Company works with third party sub-contractors for outsourced services, including software engineering and development, some of whom are based in Eastern Europe. The Company also works with outsourced engineers and developers and third-party providers in other parts of the world, including the United States, Europe, India, and Latin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uncertainty impacting and potential interruption in energy and other supply chains resulting from military hostilities in Europe and the Middle East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multiple threat actors, including state-sponsored organizations may prompt enterprises to adopt additional security measures such as those offered by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hostilities continue and perhaps even thereafter as the situation in Europe and the Middle East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economy has been undergoing a period of political and economic uncertainty and stock markets are experiencing high levels of volatility, and it is difficult to predict how long this uncertainty and volatility will continue. The continuing wars in Ukraine and the Middle East, inflationary pressures, rising energy prices and increases in interest rates have impacted the United States and other major economies and have created uncertainty regarding a possible recession. As a result, many businesses, especially in the technology sector have made significant cut-backs in expenditure, including reductions in force and investment freezes. Our sales and results are also impacted by the changes in levels of spending on identity verification, management and security methods, and thus, negative trends in the global economy and other factors which negatively impact such spending may negatively impact the growth of our revenue from those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current assets were $10.9 million and current liabilities outstanding amounted to $1.7 million which resulted in net working capital of $9.2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by operating activities was $8.4 million for the year ended December 31, 2023 compared to $12.8 million in 2022. Cash used in operations for 2023 and 2022 was primarily the result of funding the business operations as the Company invested in people and product. However, the Company’s cost savings measures reduced the year over year levels.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generated/(used) in investing activities in 2023 and 2022 was approximately $75,000 and ($182,000) as the Company received proceeds from the sale of its discontinued businesses.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2023 was approximately $15.4 million, compared to $10.2 million in 2022. Cash provided by financing activities in 2023 consisted primarily of the net proceeds from the sale of common stock in May 2023 and November 2023 and a $0.5 million initial drawdown net of debt issuance costs under the Company’s A&amp;R Facility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the Company will continue to be opportunistic and judicious in raising additional funds to support its operations and investments as it creates a sustainable organization. There is no guarantee that such financing will be available if available on acceptable terms.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growth-oriented business plan to offer products to our customers will require continued capital investment. Research and development activities and technology deployment will require continued investment.</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Company projects that the current and past investments in technology and systems will lead to revenue expansion thereby reducing liquidity needs. However, to further implement its business plan and satisfy its working capital requirements, the Company will need to raise more capital. There is no guarantee that the Company will be able to raise additional equity or debt financing at acceptable terms, if at all. We expect that we will need additional funding in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quarter of 2024.</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our current business plan will not change, and because of such change, we will need additional capital to implement such business plan. Further, assuming we achieve our expected growth plan, of which there is no guarantee, we will need additional capital to implement growth beyond our current business plan. As a result of these factors, there is substantial doubt about the Company’s ability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Indebtedness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Item 1A, (Risk Factors) the Company has a history of losses and may not be able to achieve profitability in the near term. The Company has not been able to achieve positive cash flows from operations and raised additional financing in 2023 and 2022 from the sale of equity and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has a series of Senior Secured Convertible Notes outstanding for approximately $0.25 million due in March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6 and 7 of the Consolidated Financial Statements for additional information associated with the credit facility and convertible notes payable.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Equity Financing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of the Consolidated Financial Statements for additional information associated with equity financing in 2023 and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Common Stock Transactions</w:t>
      </w:r>
    </w:p>
    <w:p>
      <w:pPr>
        <w:spacing w:after="0" w:line="227" w:lineRule="exact"/>
        <w:rPr>
          <w:sz w:val="20"/>
          <w:szCs w:val="20"/>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May 23 and June 7, 2023, the Company entered into a securities purchase agreement with accredited investors (the “Purchase Agreement”), pursuant to which the Company agreed to issue and sell, in a public offering an aggregate of 1,113,828 shares (the “Registered Shares”) of the Company’s common stock and in a concurrent private placement 1,121,482 shares (the “PIPE Shares”) of Common Stock (the “May 2023 Offering”) at a per share price between $3.664 and $5.632 per share (or $4.00 if the purchaser is a director of the Company). The purchasers under the Purchase Agreement included Garchik and four directors of the Company, including the Chief Executive Officer and Chairman of the Board of Directors.</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2023, pursuant to a Securities Purchase Agreement, Mr. Garchik capitalized the outstanding principal balance of $900,000 under the Initial Promissory Note, into 245,634 shares of common stock,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May 23 and June 7, 2023, the Company entered into an exchange agreement with certain holders (“Holders”) of the March 2022 Senior Secured Convertible Notes (the “Convertible Notes”) of the Company (the “Exchange Agreement”), pursuant to which the Company issued 2,348,347 shares (the “Exchange Shares”) of common stock to the Holders in exchange for the Holders’ Convertible Notes (the “Note Exchange”) at a per share price between $3.776 and $5.80 per share (or $4.12 if the Holder is a director, officer or insider of the Company.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2023, authID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with accredited investors (the “</w:t>
      </w:r>
      <w:r>
        <w:rPr>
          <w:rFonts w:ascii="Times New Roman" w:cs="Times New Roman" w:eastAsia="Times New Roman" w:hAnsi="Times New Roman"/>
          <w:sz w:val="18"/>
          <w:szCs w:val="18"/>
          <w:u w:val="single" w:color="auto"/>
          <w:color w:val="auto"/>
        </w:rPr>
        <w:t>November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pursuant to which the Company agreed to issue and sell, in a registered offering (the “</w:t>
      </w:r>
      <w:r>
        <w:rPr>
          <w:rFonts w:ascii="Times New Roman" w:cs="Times New Roman" w:eastAsia="Times New Roman" w:hAnsi="Times New Roman"/>
          <w:sz w:val="18"/>
          <w:szCs w:val="18"/>
          <w:u w:val="single" w:color="auto"/>
          <w:color w:val="auto"/>
        </w:rPr>
        <w:t>November Offering</w:t>
      </w:r>
      <w:r>
        <w:rPr>
          <w:rFonts w:ascii="Times New Roman" w:cs="Times New Roman" w:eastAsia="Times New Roman" w:hAnsi="Times New Roman"/>
          <w:sz w:val="18"/>
          <w:szCs w:val="18"/>
          <w:color w:val="auto"/>
        </w:rPr>
        <w:t>”) an aggregate of 1,574,990 shares of the Company’s common stock at a per share price of $6.00. The purchasers under the November Purchase Agreement included Stephen J. Garchik and three directors of the Company, including the Chief Executive Officer and Chairman of the Board of Directors.</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111,516 shares of common stock for approximately $388,000 of interest accrued under the Convertible Notes and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Common Stock Transactions</w:t>
      </w:r>
    </w:p>
    <w:p>
      <w:pPr>
        <w:spacing w:after="0" w:line="227" w:lineRule="exact"/>
        <w:rPr>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132,940 shares of our common stock at prices of $24.24 per share for an outside investor and $29.60 per share for the management investors (the “PIPE”). The aggregate gross proceeds from the PIPE are approximately $3.3 million.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 total of 3,562 shares of our common stock to the Note Investors as an additional origination fee.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2022, the Company entered into a Facility Agreement with a current shareholder and noteholder of the Company, pursuant to which the shareholder agreed to provide the Company a $10.0 million unsecured standby letter of credit facility. Pursuant to the Credit Facility, the Company paid a facility commitment fee of 12,500 shares of our common stock with a fair market value of $24.24 per share upon the effective date of the Credit Facility.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a holder of a Convertible Note converted the full principal amount of $50,000 and accrued interest of $406 into 1,690 and 17 shares of our common stock, respectively.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the Company issued 59,981 shares of common stock for approximately $696,000 of interest related to the Convertible Notes. See Note 9 for details.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 stock option and convertible note holders exercised their respective warrants and stock options and conversion right and were issued approximately 44,152 shares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financing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the following contractual obligations.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9"/>
              </w:rPr>
              <w:t>Payments due by period</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8"/>
                <w:szCs w:val="18"/>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4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245,000</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245,000</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Severance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9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570,000</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notes thereto and the report of our independent registered public accounting firm (PCOAB ID 00677), are set forth on pages F-1 through F-31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our Chief Executive Officer and Chief Financial Officer performed an evaluation of the effectiveness of our disclosure controls and procedures as defined in Rules 13a-15 and 15d-15(e) of the Exchange Act. Based on the evaluation, the Chief Executive Officer and Chief Financial Officer concluded that, as of December 31, 2023,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for the Company, as defined in Rules 13a-15(f) and 15d-15(f) under the Securities Exchange Act of 1934, as amended. Our internal control over financial reporting is designed to provide reasonable, but not absolute, assurance regarding the reliability of financial reporting and the preparation of financial statements in accordance with U.S. accepted accounting principles. Our management, including the Chief Executive Officer and Chief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and such evaluation is subject to the risks discussed in item 1A – Risk Factors of this Report.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2023, using the criteria established in Internal Control - Integrated Framework (2013) issued by the Committee of Sponsoring Organizations of the Treadway Commission. Based on management’s assessment using the above criteria, management concluded that the Company maintained effective internal control over financial reporting as of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2023, the Company identified a material weakness in its internal control over financial reporting related to the review of accounting treatment for the Convertible Notes exchange. The Convertible Note exchange transaction which gave rise to this issue (See Note 7 “Convertible Notes Payable”) was a complex and infrequent transaction, which required particular accounting treatment. The correct accounting treatment was not immediately identified by the Company, due to the Company’s limited resources available for advanced technical analysis and advice, similar to other companies of our size. The correct accounting treatment was identified and reflected prior to filing of the quarterly report on Form 10-Q for the quarter ended June 30, 2023 and no previously published financial statements were impacted by this issue.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remediated this material weakness and put in place a process to undertake an ongoing review of the Company’s activities during each quarter to identify the potential complex accounting matters and, if necessary, to engage a professional certified public accounting advisory firm to review the proposed accounting treatment on these complex accounting matters that may arise in the future.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last fiscal year, there have been no changes except as noted above in our internal control over financial reporting that occurred during our last fiscal year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2023, no director or officer adopted or terminated (i) any contract, instruction or written plan for the purchase or sale of securities of the Company intended to satisfy the affirmative defense conditions of Rule 10b5-1(c) or (ii) any “non-Rule 10b5-1 trading arrangement” as defined in paragraph (c) of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Directors and Officers of the Company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 (s) and Offices Held</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Rhoniel A. Daguro</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C. Sellitto</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R. Szoke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Technology Officer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Jisser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L. Koehneman*</w:t>
            </w:r>
            <w:r>
              <w:rPr>
                <w:rFonts w:ascii="Times New Roman" w:cs="Times New Roman" w:eastAsia="Times New Roman" w:hAnsi="Times New Roman"/>
                <w:sz w:val="29"/>
                <w:szCs w:val="29"/>
                <w:color w:val="auto"/>
                <w:vertAlign w:val="superscript"/>
              </w:rPr>
              <w:t>(1)(2)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56"/>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C. Thompson</w:t>
            </w:r>
            <w:r>
              <w:rPr>
                <w:rFonts w:ascii="Times New Roman" w:cs="Times New Roman" w:eastAsia="Times New Roman" w:hAnsi="Times New Roman"/>
                <w:sz w:val="29"/>
                <w:szCs w:val="29"/>
                <w:color w:val="auto"/>
                <w:vertAlign w:val="superscript"/>
              </w:rPr>
              <w:t>(1)(2)(3)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56"/>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Jacqueline L. White*</w:t>
            </w:r>
            <w:r>
              <w:rPr>
                <w:rFonts w:ascii="Times New Roman" w:cs="Times New Roman" w:eastAsia="Times New Roman" w:hAnsi="Times New Roman"/>
                <w:sz w:val="29"/>
                <w:szCs w:val="29"/>
                <w:color w:val="auto"/>
                <w:vertAlign w:val="superscript"/>
              </w:rPr>
              <w:t>(1)(3)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Committee Chair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Audit Committee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Governance Committee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Compensation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Rhoniel A. Daguro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Daguro joined our company as a director on March 9, 2023 and was appointed CEO on March 23, 2023. He has over 20 years of sales, marketing, technology, and venture capital experience. He has built multiple profitable software and professional services firms. Most recently, from 2018 to 2022, he served as the Chief Revenue Officer of Socure Inc. Prior to that, Mr. Daguro held various executive sales positions with Persistent Systems, Hortonworks, and Oracle.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Edward C. Sellitto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Mr. Sellitto joined authID as Chief Financial Officer of the Company on August 15, 2023. Mr. Sellitto has over 15 years of experience in Financial Management and Revenue Operations roles supporting a wide range of industries and company sizes, from startups to Fortune 100 organizations. </w:t>
      </w:r>
      <w:r>
        <w:rPr>
          <w:rFonts w:ascii="Times New Roman" w:cs="Times New Roman" w:eastAsia="Times New Roman" w:hAnsi="Times New Roman"/>
          <w:sz w:val="18"/>
          <w:szCs w:val="18"/>
          <w:color w:val="auto"/>
          <w:highlight w:val="white"/>
        </w:rPr>
        <w:t>Most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recently, from December 2022 through present, he served as Vice President, Revenue Operations at Zero Hash, a Digital Asset-as-a-Service infrastructure provider. From February 2022 through December 2022, Mr. Sellitto served as the Head of Go-To-Market Financial Planning and Analysis for Sprinklr (NYSE: CXM) and at various roles including Director – Sales Operations and VP – Revenue Operations with Socure from May 2019 through February 2022. Further, from 2018 to 2019, Mr. Sellitto served as the Director – Sales Operations for SmartSource Rentals. </w:t>
      </w:r>
      <w:r>
        <w:rPr>
          <w:rFonts w:ascii="Times New Roman" w:cs="Times New Roman" w:eastAsia="Times New Roman" w:hAnsi="Times New Roman"/>
          <w:sz w:val="18"/>
          <w:szCs w:val="18"/>
          <w:color w:val="auto"/>
        </w:rPr>
        <w:t>Ed holds an MBA in Corporate Finance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and Strategy from the Stern School of Business at New York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Thomas R. Szoke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Thomas Szoke is a co-founder of authID and has over 35 years of executive management, solutions engineering, and operations management experience in Government Security, Identity Access Management and SaaS solutions industries. He rejoined the Company as a Director on March 9, 2023 and in April 2023 became the Company’s Chief Technology Officer. Mr. Szoke previously served as a Director and the Company’s Chief Solutions Architect and has held several other executive positions since its inception, from 2013 through 2021. He has also expanded the Company’s market presence and product portfolio through technological innovation and global strategic partnerships. Mr. Szoke has been issued several US and international patents focused on identity solutions and has pioneered the concept and development of different product lines for the Company including its Multi-Factor Out-of-Band Identity and Transaction Authentication Platform. From 2021 to 2023, he was an independent consultant for the Company and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 Jisser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Jisser joined authID on March 9, 2023. He is the Founder &amp; CEO of The Pipeline Group, Inc., a technology-enabled services company that aims to deliver business results for companies looking to build predictable and profitable pipeline. Mr. Jisser founded the company in his garage in 2017, and it reached #415 among the fastest growing private companies in America, according to Inc. Magazine rankings published in 2021. Prior to that, Mr. Jisser served as GTM Advisor at Druva Inc., where he rebuilt the global inside sales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L. Koehneman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Koehneman joined our company as a Director on June 9, 2021. Mr. Koehneman previously held various positions at Pricewaterhouse Coopers, a global accounting firm, through 2020, including the Global Advisory Chief Operating Officer and Human Capital Leader from 2016 through 2019, the U.S. Advisory Operations Leader from 2005 through 2016 responsible for the oversight of Advisory services for PwC, including business unit performance, finance, investments, human resources, acquisitions, and administration, and the Lead Engagement Partner for Financial Statement Audits and Internal Control and Security Reviews from 1993 through 2004 for several public and private company audits. Since 2020 he has also served as a director and member of the Audit Committee of Aspen Group,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C. Thompson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Thompson joined the Company as a Director on March 9, 2023. He has over 38 years of domestic and international experience in publicly traded and private equity backed consumer and commercial businesses. Since 2022, Mr. Thompson has been a partner at Hemingway Capital, an operationally focused private equity firm. Previously, he served as Chief Executive Officer for companies in the bedding (Corsicana Mattress from 2018 to 2022), polyurethane foam and pet products industries and was an operating executive for two leading middle-market private equity firms. Mr. Thompson has also held executive positions with Rubbermaid Commercial Products, Merillat Industries, a division of Masco Corporation, and Black+Decker, and began his career with Sunbeam Appliance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Jacqueline L. White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White joined our company as a Director on June 9, 2021. Ms. White has been a leader in enterprise technology software and IT consulting for the past 25 years. Ms. White has held global positions at SAP, Oracle, and Accenture, always leading diverse, high performing organizations around the world. In May 2023 Ms. White became President of i2C Inc, which operates a global payments and digital banking platform. Prior to that, Ms. White joined the Executive Management Team of Temenos AG (Six: TEMN), a company specializing in enterprise software for banks and financial services, as the President of the Americas Region in January 2021. Ms. White led the Banking &amp; Capital Markets line of business of DXC Technology Co. (NYSE: DXC) as Senior Vice President and Practice Lead from September 2019 to January 2021. From January 2018 through September 2019, Ms. White served as the Chief Revenue Officer of Saltstack, a VM Ware Company, and from January 2015 through January 2018 as Global Senior Vice President Global FSI Consulting for SAP (NYSE: SAP). Prior to joining SAP, Ms. White held various positions with Accenture Services Pvt. Ltd., Oracle, BearingPoint and Novell. Ms. White was named by Utah Business Magazine as “Top Executives to Watch” in July 2020. Ms. White received a BA in Comparative Literature from Brigham Young University and a Leadership Certificate from Boston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&amp;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 during calendar year ended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the Board of Directors held fourteen meetings as well as committee meetings, as outlined below and meetings of the Special Committee and Pricing Committee that were formed for the purposes of approval of the separate funding transactions in May and November 2023. Each director attended all of the meetings of the Board and all of the meetings held by all committees on which such director served, apart from one meeting which one director was not able to attend. The Board also approved certain actions by unanimous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established by the Board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has standing Audit, Compensation, and Governance Committees. Information concerning the function of each Board committee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overseeing management’s implementation of effective internal accounting and financial controls, supervising matters relating to audit functions, reviewing and setting internal policies and procedures regarding audits, accounting and other financial controls, reviewing the results of our audit performed by the independent public accountants, and evaluating and selecting the independent public accountants. The Audit Committee has adopted an Audit Committee Charter which is posted on the Corporate Governance page under the tab labeled “Board Committees” on our Investor Relations website at https://investors.authid.ai. The Board has designated the Chair of the Committee as the “audit committee financial expert” as defined by the SEC. During 2023, the Audit Committee held five meetings. The Committee also approved certain actions by unanimous written consent.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determines matters pertaining to the compensation of our named executive officers and administers our stock option and incentive compensation plans. The Compensation Committee has adopted a Compensation Committee Charter which is posted on our which is posted on the Corporate Governance page under the tab labeled “Board Committees” on our Investor Relations website at https://investors.authid.ai. During 2023, the Compensation Committee held three meetings and also approved certain actions by unanimous written consent.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Governance Committee is responsible for considering potential Board members, nominating Directors for election to the Board, implementing the Company’s corporate governance policies, recommending compensation for the Board and for all other purposes outlined in the Governance Committee Charter, which is posted on the Corporate Governance page under the tab labeled “Board Committees” on our Investor Relations website at https://investors.authid.ai. During 2023, the Governance Committee held one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provided in its charter, the Governance Committee is responsible for identifying individuals qualified to become directors. The Governance Committee seeks to identify director candidates based on input provided by a number of sources including (1) the Governance Committee members, (2) our other directors, (3) our stockholders, (4) our Chief Executive Officer or Chair of the Board, and (5) third parties such as service providers. In evaluating potential candidates for director, the Governance Committee considers the entirety of each candidate’s credentials.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Qualifications for consideration as a director nominee may vary according to the particular areas of expertise being sought as a complement to the existing composition of the Board of Directors. However, at a minimum, candidates for director must possess:</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personal and professional ethics and integrity;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exercise sound judgment;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independent analytical inquiries;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willingness and ability to devote adequate time and resources to diligently perform Board and committee duties;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and relevant business experience and acumen.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set forth below, during the year ended December 31, 2023, there have been no material changes to the procedures by which security holders may recommend nominees to our board of directors.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March 8, 2023 the Original Facility Agreement with Mr. Garchik was amended and restated by virtue of the A&amp;R Facility Agreement. Pursuant to that amendment Garchik’s right to designate a person for nomination as a director under the Original Facility Agreement was terminated.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 Thereafter, no security holder had or has any contractual right to recommend or designate nominees to our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currently no legal proceedings, and during the past 10 years there have been no legal proceedings, that are material to the evaluation of the ability or integrity of any of our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There is no arrangement or understanding between or among our executive officers and directors pursuant to which any director or officer was or is to be selected as a director or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knowledge, during the last ten years, none of our directors and executive officers has:</w:t>
      </w:r>
    </w:p>
    <w:p>
      <w:pPr>
        <w:spacing w:after="0" w:line="225"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our knowledge, none of our directors and executive officers has at any time been subject to any proceedings: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were initiated by any regulatory, civil or criminal agency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claims alleging fraud were asserted and seeking damages in excess of $100,000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Policy (the “Code of Ethics”) that applies to all directors and officers, which is posted on the Corporate Governance page under the tab labeled “Board Committees” on our Investor Relations website at https://investors.authid.ai. The Code of Ethics describes the legal, ethical and regulatory standards that must be followed by the directors and officers of the Company and sets forth high standards of business conduct applicable to each director and officer. As adopted, the Code of Ethics sets forth written standards that are designed to deter wrongdoing and to promote, among other things:</w:t>
      </w:r>
    </w:p>
    <w:p>
      <w:pPr>
        <w:spacing w:after="0" w:line="183"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prompt internal reporting of violations of the Code of Ethics to the appropriate person or persons identified in the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Ethics.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and executive officers and persons who own more than 10% of the issued and outstanding shares of our common stock to file reports of initial ownership of common stock and other equity securities and subsequent changes in that ownership with the SEC. Officers, directors and greater than ten percent stockholders are required by SEC regulation to furnish us with copies of all Section 16(a) forms they file. To our knowledge, based solely on a review of the copies of such reports furnished to us and written representations that no other reports were required, during the fiscal year ended December 31, 2023 all Section 16(a) filing requirements applicable to our officers, directors and greater than 10% beneficial owners were complied 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below table sets forth information concerning all cash and non-cash compensation awarded to, earned by or paid to (i) all individuals serving as the Company’s principal executive officers or acting in a similar capacity during the last two completed fiscal years, regardless of compensation level, and (ii) the Company’s two most highly compensated executive officers other than the principal executive officers serving at the end of the last two completed fiscal years (collectively, the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Rhoniel Daguro</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310,769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CEO (1)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Thimot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76,458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327,167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403,625</w:t>
            </w: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CEO (2)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330,253</w:t>
            </w:r>
          </w:p>
        </w:tc>
      </w:tr>
      <w:tr>
        <w:trPr>
          <w:trHeight w:val="216"/>
        </w:trPr>
        <w:tc>
          <w:tcPr>
            <w:tcW w:w="3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Szoke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188,490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140,833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555,702</w:t>
            </w:r>
          </w:p>
        </w:tc>
      </w:tr>
      <w:tr>
        <w:trPr>
          <w:trHeight w:val="198"/>
        </w:trPr>
        <w:tc>
          <w:tcPr>
            <w:tcW w:w="2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Chief Solutions Architect and Former</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 (3)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94,712</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57,123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315,303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469,326</w:t>
            </w: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CFO (4)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 Thi Bich Pham</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171,875</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303,840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475,715</w:t>
            </w: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CFO (5)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147,019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768,170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943,214</w:t>
            </w:r>
          </w:p>
        </w:tc>
      </w:tr>
    </w:tbl>
    <w:p>
      <w:pPr>
        <w:spacing w:after="0" w:line="198" w:lineRule="exact"/>
        <w:rPr>
          <w:sz w:val="20"/>
          <w:szCs w:val="20"/>
          <w:color w:val="auto"/>
        </w:rPr>
      </w:pPr>
    </w:p>
    <w:p>
      <w:pPr>
        <w:jc w:val="both"/>
        <w:ind w:left="340" w:hanging="332"/>
        <w:spacing w:after="0" w:line="253"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Rhoniel A. Daguro, a director of the Company, was hired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Mr. Daguro has earned a bonus of $225,000 in 2023 for non-equity incentive compensation based on Bookings in 2023.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Mr. Daguro’s stock options was $1,185,100. Mr. Daguro has not exercised or realized a gain on his vested stock options as of the date of this report’s submission. All other compensation is primarily the Company’s 401(k) match for the fiscal year 2023.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Mr. Daguro prior to being appointed as Chief Executive Officer received $2,000 for Director’s Compensation in 2023.</w:t>
      </w:r>
    </w:p>
    <w:p>
      <w:pPr>
        <w:spacing w:after="0" w:line="225" w:lineRule="exact"/>
        <w:rPr>
          <w:sz w:val="20"/>
          <w:szCs w:val="20"/>
          <w:color w:val="auto"/>
        </w:rPr>
      </w:pPr>
    </w:p>
    <w:p>
      <w:pPr>
        <w:jc w:val="both"/>
        <w:ind w:left="340" w:hanging="332"/>
        <w:spacing w:after="0" w:line="253"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Thomas Thimot was hired as Chief Executive Officer on June 14, 2021. Mr. Thimot and the Company entered into an Offer Letter pursuant to which Mr. Thimot will earn an annual salary of $325,000 with a bonus target at 50% of the base salary (pro-rated for 2021) upon terms to be agreed with the Compensation Committee for 2021, which was finally determined to be $75,000 and on the understanding that the 2022 target will include a requirement of the Company achieving three times the annual revenue of 2021. The Compensation Committee approved a bonus of $75,000 for 2021 on January 25, 2022. Additionally, Mr. Thimot was granted an option to acquire 150,000 shares of common stock at an exercise price of $62.40 per share for a term of ten years of which half of the options vest monthly over four years and the balance is subject to certain performance vesting requirements. The grant date fair market value of Mr. Thimot’s stock options was $5,272,000. Mr. Thimot has not exercised or realized a gain on his vested stock options as of the date of the submission of this report. All other compensation besides Mr. Thimot’s separation benefits is primarily the Company’s 401(k) match for the fiscal year 2023 and 2022. Mr. Thimot resigned as CEO on March 6, 2023, which became effective on his successor’s appointment on March 23, 2023.</w:t>
      </w:r>
    </w:p>
    <w:p>
      <w:pPr>
        <w:spacing w:after="0" w:line="194"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Mr. Thimot will also be eligible for certain health benefits. The exercise period with respect to Mr. Thimot’s stock option to acquire 32,812 shares of common stock at an exercise price of $62.40 per share was extended through March 23, 2027. All unvested grants or other equity awards lapsed and are no longer exercisable as of the separation date.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R. Szoke, a director of the Company agreed to serve as Chief Technology Officer of the Company on April 12, 2023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the Company achieving increments of $1,000,000 in total contract value of all customer agreements less claw backs (“Bookings”) up to an aggregate of $5,000,000 in Bookings. Mr. Szoke has earned a bonus of $120,000 in 2023 for non-equity incentive compensation based on Bookings in 2023. For subsequent years, Mr. Szoke and the Compensation Committee of the Board will mutually agree as to the performance targets to earn for the annual bonus.</w:t>
      </w:r>
    </w:p>
    <w:p>
      <w:pPr>
        <w:spacing w:after="0" w:line="187"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 The grant date fair market value of the two option grants was $182,000. Additionally, on December 21, 2023, the Company granted Mr. Szoke options to acquire 5,000 shares of common stock at an exercise price of $9.25 for ten years, vesting over twelve months. The grant date fair market value of the option grant was $39,145.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Mr. Szoke prior to being appointed as Chief Executive Officer received $4,000 for Director’s Compensation in 2023.</w:t>
      </w:r>
    </w:p>
    <w:p>
      <w:pPr>
        <w:spacing w:after="0" w:line="225" w:lineRule="exact"/>
        <w:rPr>
          <w:sz w:val="20"/>
          <w:szCs w:val="20"/>
          <w:color w:val="auto"/>
        </w:rPr>
      </w:pPr>
    </w:p>
    <w:p>
      <w:pPr>
        <w:jc w:val="both"/>
        <w:ind w:left="340" w:hanging="332"/>
        <w:spacing w:after="0" w:line="253"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Sellitto was hired as Chief Financial Officer of the Company on July 31, 2023 in consideration of an annual salary of $250,000. Mr. Sellitto will be eligible for an annual target bonus of up to 60% of base salary based on achievement of performance milestones, as Mr. Sellitto and the Compensation Committee of the Board, will mutually agree for each year. The target bonus was pro-rated for the 2023 year and is $57,123. At the outset of employment, Mr. Sellitto was provided with a grant of options to purchase 50,000 shares of common stock vesting subject to achievement of performance and service conditions at an exercise price of $8.87, with an exercise period of 10 years. The grant date fair market value of the option grant was $260,500. The employment of Mr. Sellitto will be at will and may be terminated at any time, with or without formal cause. Additionally, on December 21, 2023, the Company granted Mr. Selitto options to acquire 7,000 shares of common stock at an exercise price of $9.25 for ten years, vesting over twelve months. The grant date fair market value of the option grant was $54,803. Mr. Selitto has not exercised or realized a gain on his vested stock options as of the date of the submission of this report. All other compensation is primarily the Company’s 401(k) match for the fiscal year 2023.</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Pham was hired as Chief Financial Officer on April 25, 2022 and commenced employment on June 20, 2022. Ms. Pham and the Company entered an Offer Letter pursuant to which Ms. Pham received a signing bonus of $25,000 and will earn an annual salary of $275,000 with a bonus target at 40% of the base salary (pro-rated for 2022). In addition, Ms. Pham was granted an option to acquire 43,750 shares of common stock at an exercise price of $19.28 per share for a term of ten years of which half of the options vest monthly over four years and the balance is subject to certain performance vesting requirements. The grant date fair market value of Ms. Pham’s stock options was $722,750. In December 2022, Ms. Pham was granted an option to purchase 7,500 shares of common stock at an exercise price of $6.32 per share for a term of ten years which will vest over one year period at the aggregate grant date fair market value of $45,000. Mr. Pham has not exercised or realized a gain on her vested stock options as of the date of the submission of this report. All other compensation is primarily the Company’s 401(k) match for the fiscal year 2023. On May 11, 2023, the Company and Ms. Annie Pham, the CFO of the Company, entered a Retention Agreement, pursuant to which the Company agreed to provide specified retention bonus amounts subject to certain performance conditions in the aggregate amount of up to $240,625 and to accelerate the vesting on her equity awards upon termination. Mr. Pham also received one-year of medical coverage for an aggregate cost of $57,715. This Agreement replaces the previous Executive Retention Agreement dated April 25, 2022, which was terminated, and a release granted in relation thereto. Ms. Pham resigned on August 15, 2023.</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references for stock option grants should be read with Note 9 of the Notes to Financial Statements – Stockholder’s Equity – Stock Option Issuances.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18"/>
          <w:szCs w:val="18"/>
          <w:color w:val="auto"/>
        </w:rPr>
        <w:t>On October 6, 2023, the Board adopted the Company’s Policy for the Recovery of Erroneously Awarded Compensation, in accordance with Nasdaq Rule 5608 (“Clawback Policy”). The Clawback Policy provides for the reasonably prompt recovery by the Company of Incentive Based Compensation paid to a Covered Person (an executive officer and certain other specified senior employees), to the extent erroneously awarded, following an Accounting Restatement by the Company. The Clawback Policy applies to all Incentive Based Compensation paid after the date of adoption of the Clawback Policy. (All capitalized terms in this paragraph are as defined in the Clawback Policy). The foregoing description of the Clawback Policy is not complete and is qualified in its entirety by reference to the full text of the Clawback Policy which was filed as an exhibit to the Quarterly Report on Form 10-Q for the period ended September 30, 2023 and is incorporated by reference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401(k) retirement plan which allows employer match of 100% of up to 3% employee 401(k) payroll contribution and 50% of 3%-5% employee 401(k) payroll contribution, the Company currently has no other retirement, pension, or profit-sharing plan covering its officers and directors. The Company provides medical benefits on a cost sharing basis and has a dental plan which is fully paid by the employees cost. (See “Executive Agreements”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Grant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calendar year ended December 31, 2023, the following grants were made to named executive officers:</w:t>
      </w:r>
    </w:p>
    <w:p>
      <w:pPr>
        <w:spacing w:after="0" w:line="225" w:lineRule="exact"/>
        <w:rPr>
          <w:sz w:val="20"/>
          <w:szCs w:val="20"/>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to Mr. Daguro stock options to acquire 490,000 shares of common stock that vest upon the achievement of performance and service conditions. See above for additional disclosure.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to Mr. Szoke stock options to acquire 62,500 shares of common stock that vest upon the achievement of performance and service conditions. Additionally, the Company granted Mr. Szoke stock options to acquire 5,000 shares of common stock that vest upon the achievement of service conditions over twelve months. See above for additional disclosure.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to Mr. Sellitto stock options to acquire 50,000 shares of common stock that vest upon the achievement of performance and service conditions. Additionally, the Company granted Mr. Sellitto stock options to acquire 7,000 shares of common stock that vest upon the achievement of service conditions over twelve months. See above for additional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calendar year ended December 31, 2022, the following grants were made to named executive officers: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Ms. Pham stock options to acquire 43,750 shares of common stock which half vest monthly over four years and the balance is subject to certain performance vesting requirements. Ms. Pham was granted stock options to acquire an additional 7,500 shares of common stock that vest over one year.</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other grants of plan-based awards or common stock options, to other named executive officers during the years ended December 31, 2023, and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Outstanding Equity Awards to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held by our named executive officers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r>
      <w:tr>
        <w:trPr>
          <w:trHeight w:val="21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 Daguro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144,354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162,521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4/10/33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Rhon Daguro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66,125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6/28/33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Szoke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41,667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9/25/25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Szoke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5/5/31</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Szoke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3/14/33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Szoke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18,052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31,948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6/28/33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Szoke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12/21/33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Thimot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32,812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3/23/27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5,552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44,448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8/15/33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12/21/33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 Thi Bich Pham</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43,750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8/15/27</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 Thi Bich Pham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8/15/27</w:t>
            </w:r>
          </w:p>
        </w:tc>
      </w:tr>
      <w:tr>
        <w:trPr>
          <w:trHeight w:val="637"/>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option exercises and restricted stock vesting during the year ended December 31, 2023 by any named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96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19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9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 Trelin</w:t>
            </w: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Chairman of the Board</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284,000</w:t>
            </w: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Koehneman</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110,500</w:t>
            </w: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106,000</w:t>
            </w: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Jacqueline White</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110,500</w:t>
            </w: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107,500</w:t>
            </w: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Thompson</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52,000</w:t>
            </w: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Jisser</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52,000</w:t>
            </w: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Kumnick</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Chairman of the Board, CEO and President</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105,500</w:t>
            </w: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Broenniman</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Board Member and President</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101,000</w:t>
            </w: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Gorriz</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105,000</w:t>
            </w: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Neepa Patel</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17,500</w:t>
            </w:r>
          </w:p>
        </w:tc>
      </w:tr>
      <w:tr>
        <w:trPr>
          <w:trHeight w:val="216"/>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106,000</w:t>
            </w:r>
          </w:p>
        </w:tc>
      </w:tr>
      <w:tr>
        <w:trPr>
          <w:trHeight w:val="655"/>
        </w:trPr>
        <w:tc>
          <w:tcPr>
            <w:tcW w:w="1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In May 2022, the Board approved that the compensation policy for non-employee directors be amended as follows:</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attendance at each Board or Committee meeting of the Company, each director, who is not a committee chair, shall receive the sum of $2,000.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attendance at each Board or Committee meeting of the Company, each director, who is a committee chair shall receive the sum of $2,500.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attendance at each Board or Committee meeting of the Company, which lasts more than 2 hours, in lieu of the above sums, each director shall receive the sum of $1,000 per hour duration of such meeting.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Board and Committee meetings are held on the same day, the meetings shall be treated as a single meeting for the purpose of determining compensation.</w:t>
      </w:r>
    </w:p>
    <w:p>
      <w:pPr>
        <w:spacing w:after="0" w:line="165"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Payment shall be made quarterly in arrear in the month following completion of each fiscal quarter commencing July 2022 for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quarter of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2023, the Board approved that the compensation policy for non-employee directors be amended as follows:</w:t>
      </w:r>
    </w:p>
    <w:p>
      <w:pPr>
        <w:spacing w:after="0" w:line="225"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cash compensation payable to each non-employee Director of $2,000 per meeting (or $2,500 per meeting for Committee chairs) be limited to one meeting per quarter, regardless of the number of meetings actually attended;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with respect to the year awards to be made following the 2023 Annual Meeting, each non-employee director be awarded options to purchase 15,625 shares of Common Stock (“Shares”) for the current year, to be granted following the Annual Meeting (and subject to the stockholder approval of the proposal to increase the shares allocated to the 2021 Plan), provided that those Directors who had already received a grant of 12,500 shares should only receive an additional 3,125 shares, each option vesting over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Rhoniel A. Daguro, a director of the Company, was hired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Mr. Daguro has earned a bonus of $225,000 in 2023 for non-equity incentive compensation based on Bookings in 2023.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the option grants was $1,185,100.</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8"/>
          <w:szCs w:val="18"/>
          <w:color w:val="auto"/>
        </w:rPr>
        <w:t>Mr. Thimot, the former Chief Executive Officer resigned upon the appointment of Mr. Daguro as Chief Executive Officer on March 23, 2023. 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Mr. Thimot will also be eligible for certain health benefits. The exercise period with respect to Mr. Thimot’s stock option to acquire 32,813 shares of common stock at an exercise price of $62.40 per share was extended through March 23, 2027. All unvested grants or other equity awards lapsed and are no longer exercisable as of the separation date.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Thomas Thimot, became employed by the Company as Chief Executive Officer effective June 14, 2021. Mr. Thimot and the Company entered into an Offer Letter pursuant to which Mr. Thimot earned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150,000 shares of common stock at an exercise price of $7.80 per share for a term of ten years of which half of the options vest monthly over four years and the balance is subject to certain performance vesting requirements.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Thomas R. Szoke, a director of the Company agreed to serve as Chief Technology Officer of the Company on April 12, 2023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the Company achieving increments of $1,000,000 in total contract value of all customer agreements less claw backs (“Bookings”) up to an aggregate of $5,000,000 in Bookings. Mr. Szoke has earned a bonus of $120,000 in 2023 for non-equity incentive compensation based on Bookings in 2023. For subsequent years, Mr. Szoke and the Compensation Committee of the Board will mutually agree as to the performance targets to earn for the annual bonus.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 The aggregate grant date fair market value of the option grants was $182,000.</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Edward Sellitto was hired as Chief Financial Officer of the Company on July 31, 2023 in consideration of an annual salary of $250,000. As of January 1, 2024, Mr. Sellitto’s annual salary was increased to $275,000. Mr. Sellitto will be eligible for an annual target bonus of up to 60% of base salary based on achievement of performance milestones, as Mr. Sellitto and the Compensation Committee of the Board, will mutually agree for each year. The target bonus was pro-rated for the 2023 year and is $57,123. At the outset of employment, Mr. Sellitto was provided with a grant of options to purchase 50,000 shares of common stock vesting subject to achievement of performance and service conditions at an exercise price of $8.87, with an exercise period of 10 years. The fair market value of the option grant was $260,500. The employment of Mr. Sellitto will be at will and may be terminated at any time, with or without formal cause.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Pham, the former Chief Financial Officer was hired as Chief Financial Officer on April 25, 2022 and commenced employment on June 20, 2022. Ms. Pham resigned on August 15, 2023. Ms. Pham and the Company entered an Offer Letter pursuant to which Ms. Pham received a signing bonus of $25,000 and earned an annual salary of $275,000 with a bonus target at 40% of the base salary (pro-rated for 2022). In addition, Ms. Pham was granted an option to acquire 43,750 shares of common stock at an exercise price of $19.28 per share for a term of ten years of which half of the options vest monthly over four years and the balance is subject to certain performance vesting requirements. The aggregate grant date fair market value of Ms. Pham’s stock options was $722,750. On May 11, 2023, the Company and Ms. Annie Pham, the CFO of the Company, entered a Retention Agreement, pursuant to which the Company agreed to provide specified retention bonus amounts subject to certain performance conditions in the aggregate amount of up to $240,625 and to accelerate the vesting on her equity awards upon termination. Mr. Pham also received one-year of medical coverage for an aggregate cost $57,715. This Agreement replaces the previous Executive Retention Agreement dated April 25, 2022, which was terminated, and a release granted in relation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known to be beneficially owned by all persons who own at least 5% of authID’s outstanding common stock, the Company’s directors, the Company’s executive officers, and the directors and executive officers as a group as of March 15, 2024, unless otherwise noted. Unless otherwise indicated, the stockholders listed in the table have sole voting and investment power with respect to the shares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45"/>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Stock (1)</w:t>
            </w:r>
          </w:p>
        </w:tc>
      </w:tr>
      <w:tr>
        <w:trPr>
          <w:trHeight w:val="216"/>
        </w:trPr>
        <w:tc>
          <w:tcPr>
            <w:tcW w:w="6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Officers and Directors</w:t>
            </w: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Rhoniel A. Daguro</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CEO</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279,916(2)</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R. Szoke</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CTO</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133,741(3)</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 Thompson</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69,027(4)</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 Jisser</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40,579(5)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 Koehneman</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27,985(6)</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Jacqueline L. White</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26,485(7)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13,437(8)</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6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Officers and Directors</w:t>
            </w:r>
          </w:p>
        </w:tc>
        <w:tc>
          <w:tcPr>
            <w:tcW w:w="1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591,170</w:t>
            </w:r>
          </w:p>
        </w:tc>
        <w:tc>
          <w:tcPr>
            <w:tcW w:w="4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J. Garchik</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1,320,933(9)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3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R. Broenniman</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609,311(10)</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63"/>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Officers, Directors and 5% Stockholders</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2,521,414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the Company’s issued and outstanding shares of common stock.</w:t>
      </w:r>
    </w:p>
    <w:p>
      <w:pPr>
        <w:spacing w:after="0" w:line="225" w:lineRule="exact"/>
        <w:rPr>
          <w:sz w:val="20"/>
          <w:szCs w:val="20"/>
          <w:color w:val="auto"/>
        </w:rPr>
      </w:pPr>
    </w:p>
    <w:p>
      <w:pPr>
        <w:jc w:val="both"/>
        <w:ind w:left="340" w:hanging="332"/>
        <w:spacing w:after="0" w:line="25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9,450,220 shares of common stock outstanding as of March 15, 2024. Beneficial ownership is determined in accordance with the rules of the Securities and Exchange Commission and generally includes voting or investment power with respect to securities. Shares of common stock that are currently exercisable or exercisable within 60 days of the reference date of this table are deemed to be beneficially owned by the person holding such securities for computing the percentage of ownership of such person, but are not treated as outstanding for computing the percentage ownership of any other person. Options or warrants which are not vested, or expected to be vested as of May 14, 2024, are referenced in the footnotes below for the sake of completeness, but are not included in the figures in the above 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both"/>
        <w:ind w:left="340" w:hanging="332"/>
        <w:spacing w:after="0" w:line="261"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20,833 shares of common stock, (ii) a stock option to purchase 306,875 shares of common stock at an exercise price of $3.176 vesting subject to achievement of performance and service conditions, and (iii) a stock option to purchase 183,125 shares of common stock at an exercise price of $5.48 vesting subject to achievement of performance and service conditions. A total of 259,083 of the stock options will be vested as of May 14, 2024.</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45,625 shares of common stock, (ii) 12,500 shares of common stock held by Mrs. Szoke, (iii) a stock option to acquire 41,667 shares of common stock at an exercise price of $108.00 per share, (iv) a stock option to acquire 4,166 shares of common stock at an exercise price of $57.60 per share, (v) a stock option to acquire 12,500 shares of common stock at an exercise price of $2.64 per share vesting subject to achievement of performance and service conditions, (vi) a stock option to acquire 50,000 shares of common stock at an exercise price of $5.48 per share vesting subject to achievement of performance and service conditions, and (vii) a stock option to acquire 5,000 shares of common stock at an exercise price of $9.25 per share which vest over 12 months. A total of 75,616 of the stock options will be vested as of May 14, 2024.</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66,423 shares of common stock, (ii) a stock option to acquire 12,500 shares of common stock at an exercise price of $2.64 per share which vest over a three-year period after each Annual Meeting subject to continued service, and (iii) a stock option to acquire 3,125 shares of common stock at an exercise price of $5.48 per share which vest over 12 months. A total of 2,604 of the stock options will be vested as of May 14, 2024.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37,975 shares of common stock, (ii) a stock option to acquire 12,500 shares of common stock at an exercise price of $2.64 per share which vest over a three-year period after each Annual Meeting subject to continued service, and (iii) a stock option to acquire 3,125 shares of common stock at an exercise price of $5.48 per share which vest over 12 months. A total of 2,604 of the stock options will be vested as of May 14, 2024.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1,471 shares of common stock, (ii) 29 shares of common stock held by Mrs. Koehneman, (iii) a stock option to acquire 7,813 shares of common stock at an exercise price of $62.40 per share, which vest over a three-year period after each Annual Meeting subject to continued service, (iv) a stock option to acquire 1,280 shares of common stock at $121.28 per share, (v) a stock option to acquire 4,371 shares of common stock at $24.24 per share, and (vi) a stock option to acquire 15,625 shares of common stock at an exercise price of $5.48 per share which vest over 12 months. A total of 26,485 of the stock options will be vested as of May 14, 2024.</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 stock option to acquire 7,813 shares of common stock at an exercise price of $62.40 per share, which vest over a three-year period after each Annual Meeting subject to continued service, (ii) a stock option to acquire 1,280 shares of common stock at $121.28 per share, and (iii) a stock option to acquire 4,371 shares of common stock at $24.24 per share, and (iv) a stock option to acquire 15,625 shares of common stock at an exercise price of $5.48 per share which vest over 12 months. A total of 26,485 of the stock options will be vested as of May 14, 2024.</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an option to purchase 50,000 shares of common stock at an exercise price of $8.87 vesting subject to achievement of performance and service conditions, and (ii) a stock option to acquire 7,000 shares of common stock at an exercise price of $9.25 per share which vest over 12 months. A total of 13,437 of the stock options will be vested as of May 14, 2024.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1,140,596 shares of common stock held by Mr. Garchik personally, (ii) 20,834 shares of common stock held by the Garchik 2019 Irrevocable Trust (“2019 Trust”) of which Mr. Garchik is a trustee and beneficiary, (iii) 1,459 shares of common stock held by Garchik Universal Limited Partnership, which Mr. Garchik jointly controls with his sister, (iv) 147,627 shares of common stock held by the Marla Garchik 2020 Irrevocable Trust (the “2020 Trust”) of which Mr. Garchik is a beneficiary, and (v) a common stock purchase warrant to acquire 10,417 shares of common stock at $36.00 per share held by the 2019 Trust.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79,889 shares of common stock, (ii) a stock option to purchase 69,445 shares of common stock at a price of $16.80 per share, (iii) a stock option to purchase 47,917 shares of common stock at a price of $57.60 per share which vest upon meeting performance criteria. The performance criteria have not been met as of March 15, 2024 and the options are not expected to be vested by May 14, 2024 (iv) common stock purchase warrants to acquire 1,094 shares of common stock at $21.12 per share, and (v) 458,883 shares of common stock held by Varana Capital Focused L.P. (“VCFLP”). Mr. Broenniman is the Managing Partner of Varana Capital, LLC, which, in turn, is the investment manager of and has dispositive control over the shares held by VCFLP. By virtue of these relationships, in addition to the shares he holds personally, Mr. Broenniman may be deemed to beneficially own the shares held by VCFLP.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for information pertaining to Securities Authorized for Issuance under Equity Compensation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4200 of The NASDAQ Stock Market one of the definitions of an independent director is a person other than an executive officer or employee of a company. The Company’s board of directors has reviewed the materiality of any relationship that each of the directors has with the Company, either directly or indirectly. Based on this review the board has determined that there are four independent directors, including all the members of the Audit, Compensation and Governance Committees.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and March 21, 2022, the Company entered into Subscription Agreements (the “Subscription Agreements”) with an accredited investor and two directors and an executive officer of the Company, and, pursuant to the Subscription Agreements, those directors and officer invested a total of approximately $0.2 million to purchase shares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23, 2023, Messrs. Rhoniel Daguro, CEO, Ken Jisser, Michael Thompson, members of the Company’s Board of Directors and Joseph Trelin, the Chairman of the Board, each purchased 12,500 shares of the Company’s common stock at a price of $50,000.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2023, Messrs. Rhoniel Daguro, CEO and Director, and Joseph Trelin, the Chairman of the Board, each purchased 8,333 shares of the Company’s common stock at a price of $50,000. Michael Thompson, also a Director purchased 16,667 shares of Company’s common stock at a price of $100,000. Stephen Garchik, a holder of more than 10% of the outstanding shares of the Company’s common stock, purchased 166,667 shares of Company’s common stock at a price of $1,000,000.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21, 2022 the Company entered into a facility agreement (the “Original Facility Agreement”) with Mr. Stephen Garchik, an accredited investor, who is both a shareholder of the Company and was a Convertible Note Investor, pursuant to which Mr. Garchik agreed to provide a $10.0 million unsecured standby line of credit facility that will rank behind the Convertible Notes and may be drawn down in several tranches, subject to certain conditions described in the Original Facility Agreement. Pursuant to the Original Facility Agreement, the Company agreed to pay Mr. Garchik the Facility Commitment Fee of 12,500 shares of our common stock upon the effective date of the Original Facility Agreement. Upon request by Mr. Garchik and until the full amount due under the Original Agreement is repaid in full, the Company agreed to provide for the nomination of one designee specified in writing by Garchik for appointment to our board directors and for subsequent election to our board of directors and to recommend such nominee for election to our board of directors. On April 18, 2022, Joseph Trelin, as Garchik’s designee under the Original Facility Agreement, was appointed as a member of the Board of Directors of the Company. By virtue of such right of nomination Mr. Garchik considered himself a “director by deputization”.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Original Facility Agreement was amended and restated effective March 8, 2023 (the “A&amp;R Facility Agreement”) pursuant to which amendment the amount of the facility was reduced to $3.6 million, an initial advance of $900,000 was made (the “Initial Promissory Note”) and subsequent advances under the A&amp;R Facility Agreement are subject to various conditions including the granting of a security interest over substantially all the Company’s assets.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25, 2023, the Company and Mr. Garchik agreed to cancel the Initial Promissory Note, terminated the A&amp;R Facility Agreement and satisfied and offset the outstanding balance of the Initial Promissory Note in the principal amount of $900,000 and $29,250 accrued and unpaid interest with the purchase price of 245,634 and 7,983 shares of common stock,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Payable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21, 2022, the Company entered into a Securities Purchase Agreement (“SPA”) with certain accredited investors, including two directors, an affiliate of a director and an executive officer of the Company (the “Related Note Investors”), and, pursuant to the SPA, sold to the Related Note Investors Senior Secured Convertible Notes (“Convertible Notes”) with an aggregate initial principal amount of approximately $2.2 million and a conversion price of $3.70 per share. In connection with the issuance of the Convertible Notes a total of 3,883 shares of common stock were issued by way of an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 During the period ended December 31, 2022, in connection with the payment of interest on the Convertible Notes, 20,761 shares were issued to the Related Note Investors (excluding the executive officer who had retired by the first interest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On May 23, 2023, pursuant to an Exchange Agreement, Mr. Ken Jisser exchanged $100,000 of Convertible Notes payable and accrued interest of $1,463 for 24,628 shares of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23, 2023, pursuant to an Exchange Agreement, Mr. Stephen J. Garchik, who is a shareholder of the Company, exchanged $1,000,000 of Convertible Notes payable and $14,625 of accrued interest for 264,831 and 3,874 shares of common stock, respectively. As a result of such exchange, the issuance of shares in satisfaction of the Credit Facility referred to below and the purchase of additional shares of common stock in May 2023, Mr. Garchik is now a holder of more than 10% of the outstanding shares of the Company’s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The Trustee of the Stern Trust was the late Mr. Theodore Stern, who was at the time a director of the Company. The principal balance of the Stern Note and accrued interest in the amount of $503,525 was converted into shares of common stock on June 24, 2021. The interest due under the Stern Note as of January 31, 2020 in the amount of $662,000 was capitalized and earned interest at 10% per annum. The Stern Note for the remaining balance of $662,000 was extended through December 31, 2022 on the same terms and conditions. The Stern Note’s full balance of principal and interest was paid in cash in December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&amp; Executive Compensation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25, 2022, Stuart Stoller indicated his intention to resign as Chief Financial Officer of the Company in connection with his planned retirement. The resignation and retirement were effective as of June 17, 2022 at which time Annie Pham was appointed Chief Financial Officer in his place.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Pham was hired as Chief Financial Officer on April 25, 2022 and commenced employment on June 20, 2022. Ms. Pham and the Company entered an Offer Letter pursuant to which Ms. Pham received a signing bonus of $25,000 and will earn an annual salary of $275,000 with a bonus target at 40% of the base salary (pro-rated for 2022). In addition, Ms. Pham was granted an option to acquire 43,750 shares of common stock at an exercise price of $19.28 per share for a term of ten years of which half of the options vest monthly over four years and the balance is subject to certain performance vesting requirements. The aggregate grant date fair market value of Ms. Pham’s stock options was $722,750. In December 2022, Ms. Pham was granted an option to purchase 7,500 shares of common stock at an exercise price of $6.32 per share for a term of ten years which will vest over one year period at the aggregate grant date fair market value of $45,000. Mr. Pham has not exercised or realized a gain on her vested stock options as of the date of the submission of this report. All other compensation is primarily the Company’s 401(k) match for the fiscal year 2023. On May 11, 2023, the Company and Ms. Annie Pham, the CFO of the Company, entered a Retention Agreement, pursuant to which the Company agreed to provide specified retention bonus amounts subject to certain performance conditions in the aggregate amount of up to $240,625 and to accelerate the vesting on her equity awards upon termination. Mr. Pham also received one-year of medical coverage for an aggregate cost $57,715. This Agreement replaces the previous Executive Retention Agreement dated April 25, 2022, which was terminated, and a release granted in relation thereto. Ms. Pham resigned on August 15, 2023.</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150,000 shares of common stock at an exercise price of $7.80 per share for a term of ten years of which half of the options vest monthly over four years and the balance is subject to certain performance vesting requirements.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Thimot resigned upon the appointment of Mr. Daguro as Chief Executive Officer on March 23, 2023. 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Mr. Thimot will also be eligible for certain health benefits. The exercise period with respect to Mr. Thimot’s stock option to acquire 32,812 shares of common stock at an exercise price of $62.40 per share was extended through March 23, 2027. All unvested grants or other equity awards lapsed and are no longer exercisable as of the separation date.</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75,000 shares of common stock at an exercise price of $7.80 per share for a term of ten years of which half of the options vest monthly over four years and the balance is subject to certain performance vesting requirements. On February 15, 2023, Mr. Smith ceased to be an employee, and the President and Chief Technology Officer of the Company.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Smith, pursuant to which the Company agreed to provide specified severance and bonus amounts and provide certain other financial benefits and to extend the exercise period on his equity awards upon termination upon a change of control or an involuntary termination, as each term is defined in the agreement. Following his separation from employment on April 19, 2023, the Company and Mr. Smith entered into a General Release under the terms of his Executive Retention Agreement and separation payments in the aggregate amount of $275,000 were duly paid, in accordance with its terms. All unvested grants or other equity awards lapsed and are no longer exercisable as of the separation date.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Rhoniel A. Daguro, a director of the Company, was hired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Mr. Daguro has earned a bonus of $225,000 in 2023 for non-equity incentive compensation based on Bookings in 2023.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the option grants was $1,185,100.</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Thomas R. Szoke, a director of the Company agreed to serve as Chief Technology Officer of the Company on April 12, 2023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the Company achieving increments of $1,000,000 in total contract value of all customer agreements less claw backs (“Bookings”) up to an aggregate of $5,000,000 in Bookings. Mr. Szoke has earned a bonus of $120,000 in 2023 for non-equity incentive compensation based on Bookings in 2023. For subsequent years, Mr. Szoke and the Compensation Committee of the Board will mutually agree as to the performance targets to earn for the annual bonus.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 The aggregate grant date fair market value of the option grants was $182,000.</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the Company appointed Joe Trelin as an additional independent director. The Company granted Mr. Trelin options to acquire 12,612 shares of common stock or a total of $270,000 at an exercise price of $25.04 per share for a term of ten years that vest one third per year after each Annual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the Company granted additional options to acquire 4,371 shares of common stock each at an exercise price of $24.24 per share, to six of the non-employee Directors, by way of annual compensation under the Company’s compensation policy for non-employee directors, which vest monthly over a one-year-period.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2023 Mr. Broenniman, Mr. Gorriz, Mr. Kumnick. Ms. Patel and Mr. Thimot resigned as directors of the Company. Upon their resignation 6,327 of Mr. Broenniman’s options and 19,278 of Mr. Kumnick’s options previously awarded to them for service as non-management directors were cancelled by agreement, or lapsed in accordance with their terms. 5,154 and 4,981 options respectively previously granted to Mr. Gorriz and Ms. Patel lapsed on their resignations, in accordance with their terms. Mr. Daguro, Mr. Jisser, Mr. Szoke and Mr. Thompson were appointed as additional directors and the size of the Board was reduced to seven. The Company granted to each of Mr. Jisser, and Mr. Thompson options to acquire 12,500 shares of common stock at an exercise price of $2.64 per share for a term of ten years that vest one third per year after each Annual Meeting.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the Company made a grant of options to each of Messrs. Koehneman and Trelin and to Ms. White to acquire 15,625 shares of common stock and to each of Messrs. Jisser and Thompson to acquire 3,125 shares of common stock. Each such option is at the exercise price of $5.48 per share, exercisable for a period of ten years, vesting over a period of twelve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made a grant of options to Mr. Sellitto to acquire 7,000 shares of common stock and to Mr. Szoke to acquire 5,000 shares of common stock. Each such option is at the exercise price of $9.25 per share, exercisable for a period of ten years, vesting over a period of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and on December 19, 2023, the Company entered into amendments to the above services agreement, pursuant to which TPG will provide certain additional services to the Company. In consideration of the services, the Company will pay TPG $98,000 per month during the remainder of the initial one-year term. During the period from June 6 through December 31, 2023 the Company paid TPG a total of $398,000. As of December 31, 2023 the Company had a balance of $84,000 in Accounts Payable related to amounts owed to TPG under the payment terms of this agreement. The foregoing is only a summary of the material terms of the agreements entered with TPG and does not purport to be a complete description of the rights and obligations of the parties thereunder. The summary of the agreement entered with TPG is qualified in its entirety by reference to the forms of such agreements, which were filed as exhibits to the Company’s Current Report and are incorporated by reference herein (See “Exhibits”).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fees incurred for each of the last two years for professional services rendered by Cherry Bekaert LLP, the independent registered public accounting firm (PCAOB ID 00677) or the audit of the Company’s annual financial statements included in the Company’s Form 10-K and review of financial statements for its quarterly reports (Form 10-Q) are reported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fees billed by Cherry Bekaert, LLP in 2023 aggregated $243,164 which includes fees for the audit of financial statements and review of the quarterly financial statements for 2023. Additionally, the Company paid Cherry Bekaert, LLP $33,164 for services associated with the filing of the Company’s S-1 and Prospectus Supplements.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fees billed by Cherry Bekaert, LLP in 2022 aggregated $250,500 which includes fees for the audit of financial statements and review of the quarterly financial statements for 2022. Additionally, the Company paid Cherry Bekaert, LLP $2,500 for services associated with the filing of the Company’s S-3.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by its Charter pre-approves all audit services to be provided to the Company, whether provided by the principal auditor or other firms, and all other services (review, attest and non-audit) to be provided to the Company by the independent auditor. The Audit Committee approved the services rendered for the audit of the financial statements for the year ended December 31, 2023 and December 31, 2022 in addition to the services rendered for the filing of the quarterly financial statements on Form 10-Q in 2023 and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 in 000’s</w:t>
            </w:r>
          </w:p>
        </w:tc>
      </w:tr>
      <w:tr>
        <w:trPr>
          <w:trHeight w:val="245"/>
        </w:trPr>
        <w:tc>
          <w:tcPr>
            <w:tcW w:w="4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Filings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Borders>
              <w:top w:val="single" w:sz="8" w:color="CCEEFF"/>
            </w:tcBorders>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62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policy of the directors, acting via the Audit Committee, is to approve the appointment of the principal auditing firm and any permissible audit-related services. The audit and audit related fees include fees for the annual audit of the financial statements and review of financial statements included in 10K and Q filings.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82" w:gutter="0" w:footer="0" w:header="0"/>
        </w:sectPr>
      </w:pPr>
    </w:p>
    <w:bookmarkStart w:id="63" w:name="page64"/>
    <w:bookmarkEnd w:id="6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&amp; Financial Statements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976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00" w:type="dxa"/>
            <w:vAlign w:val="bottom"/>
            <w:tcBorders>
              <w:top w:val="single" w:sz="8" w:color="auto"/>
              <w:bottom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560" w:type="dxa"/>
            <w:vAlign w:val="bottom"/>
            <w:tcBorders>
              <w:top w:val="single" w:sz="8" w:color="auto"/>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Amended &amp; Restated Certificate of Incorporation</w:t>
              </w:r>
            </w:hyperlink>
          </w:p>
        </w:tc>
        <w:tc>
          <w:tcPr>
            <w:tcW w:w="6180" w:type="dxa"/>
            <w:vAlign w:val="bottom"/>
            <w:tcBorders>
              <w:top w:val="single" w:sz="8" w:color="auto"/>
              <w:bottom w:val="single" w:sz="8" w:color="CCEEFF"/>
            </w:tcBorders>
            <w:gridSpan w:val="23"/>
            <w:shd w:val="clear" w:color="auto" w:fill="CCEEFF"/>
          </w:tcPr>
          <w:p>
            <w:pPr>
              <w:spacing w:after="0"/>
              <w:rPr>
                <w:sz w:val="17"/>
                <w:szCs w:val="17"/>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&amp; Restated Bylaws as of July 18, 2022</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Amendment dated June 1, 2021</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Certificate of Amendment to Amended and Restated Certificate of Incorporation as of July 18, 2022</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Certificate of Amendment to Amended and Restated Certificate of Incorporation as of September 21, 2022</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Amendment to the Amended and Restated Certificate of Incorporation dated June 26, 2023</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Stock Option</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8.0% Convertible Note</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15.0% Convertible Note</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Amended and Restated Promissory Note issued to The Theodore Stern Revocable Trust</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Paycheck Protection Program Term Note dated May 6, 2020</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Paycheck Protection Program Term Note dated February 1, 2021</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Description of the Registrant’s Securities</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10.1 (2)</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Director Agreement</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 (2)</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Indemnification Agreement</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10.5 (7)</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2017 Incentive Stock Plan</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 (2)</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Executive Retention Agreement entered between the Company and Thomas L. Thimot dated June 14, 2021</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10.8 (2)</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Executive Retention Agreement entered between the Company and Cecil N. Smith III dated June 14, 2021</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 (2)</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Letter Agreement between the Company and Thomas L. Thimot dated June 14, 2021</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Letter Agreement between the Company and Cecil N. Smith III dated June 14, 2021</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 (8)</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Letter Agreement between the Company and Phillip L. Kumnick dated as November 5, 2021</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Letter Agreement between the Company and Philip R. Broenniman dated as November 5, 2021</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AuthID Inc. 2021 Equity Incentive Plan</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Letter Agreement between AuthID Inc. and Thomas Szoke dated November 19, 2021</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Securities Purchase Agreement entered into between the Company and the Note Investors dated March 21, 2022.</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Senior Secured Convertible Note issued by the Company to the Note Investors dated March 21, 2022.</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Security and Pledge Agreement entered into between the Company and Stephen J. Garchik as Collateral Agent dated March 21, 2022.</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Registration Rights Agreement entered into between the Company and the Note Investors dated March 21, 2022.</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Facility Agreement entered into between the Company and Stephen J. Garchik dated March 21, 2022.</w:t>
              </w:r>
            </w:hyperlink>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Subscription Agreement entered into between the Company and the PIPE Investors dated March 21, 2022.</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Letter Agreement between Joseph Trelin and AuthID Inc. dated April 18, 2022</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Letter Agreement between Annie Pham and AuthID Inc. dated April 25, 2022</w:t>
              </w:r>
            </w:hyperlink>
          </w:p>
        </w:tc>
      </w:tr>
      <w:tr>
        <w:trPr>
          <w:trHeight w:val="21"/>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and Restated Facility Agreement between the Company and Stephen J. Garchik dated March 8, 2023.</w:t>
              </w:r>
            </w:hyperlink>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5"/>
                <w:szCs w:val="15"/>
                <w:color w:val="auto"/>
              </w:rPr>
            </w:pPr>
          </w:p>
        </w:tc>
        <w:tc>
          <w:tcPr>
            <w:tcW w:w="9760" w:type="dxa"/>
            <w:vAlign w:val="bottom"/>
            <w:gridSpan w:val="36"/>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Promissory Note between the Company and Stephen J. Garchik dated March 9, 2023.</w:t>
              </w:r>
            </w:hyperlink>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5"/>
                <w:szCs w:val="15"/>
                <w:color w:val="auto"/>
              </w:rPr>
            </w:pPr>
          </w:p>
        </w:tc>
        <w:tc>
          <w:tcPr>
            <w:tcW w:w="9760" w:type="dxa"/>
            <w:vAlign w:val="bottom"/>
            <w:gridSpan w:val="36"/>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Guaranty Agreement by FIN Holdings Inc., Innovation in Motion, Inc. and ID Solutions, Inc. in favor of Stephen J. Garchik dated</w:t>
              </w:r>
            </w:hyperlink>
          </w:p>
        </w:tc>
      </w:tr>
      <w:tr>
        <w:trPr>
          <w:trHeight w:val="216"/>
        </w:trPr>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0000EE"/>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March 9, 2023.</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655"/>
        </w:trPr>
        <w:tc>
          <w:tcPr>
            <w:tcW w:w="2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gridSpan w:val="2"/>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3240" w:type="dxa"/>
            <w:vAlign w:val="bottom"/>
            <w:tcBorders>
              <w:top w:val="single" w:sz="8" w:color="CCEEFF"/>
              <w:bottom w:val="single" w:sz="8" w:color="auto"/>
            </w:tcBorders>
            <w:gridSpan w:val="1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10.27</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976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Release Agreement between the Company and Stephen J. Garchik dated March 9, 2023.</w:t>
              </w:r>
            </w:hyperlink>
          </w:p>
        </w:tc>
      </w:tr>
      <w:tr>
        <w:trPr>
          <w:trHeight w:val="176"/>
        </w:trPr>
        <w:tc>
          <w:tcPr>
            <w:tcW w:w="4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4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6340" w:type="dxa"/>
            <w:vAlign w:val="bottom"/>
            <w:tcBorders>
              <w:top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Letter Agreement between Rhoniel Daguro and AuthID Inc. dated March 23, 2023</w:t>
              </w:r>
            </w:hyperlink>
          </w:p>
        </w:tc>
        <w:tc>
          <w:tcPr>
            <w:tcW w:w="3420" w:type="dxa"/>
            <w:vAlign w:val="bottom"/>
            <w:tcBorders>
              <w:top w:val="single" w:sz="8" w:color="CCEEFF"/>
            </w:tcBorders>
            <w:gridSpan w:val="13"/>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04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700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Executive Retention Agreement between Rhoniel Daguro and AuthID Inc. dated March 23, 2023</w:t>
              </w:r>
            </w:hyperlink>
          </w:p>
        </w:tc>
        <w:tc>
          <w:tcPr>
            <w:tcW w:w="276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9760" w:type="dxa"/>
            <w:vAlign w:val="bottom"/>
            <w:gridSpan w:val="24"/>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Confidential Separation Agreement and General Release between Thomas Thimot and authID Inc. Dated March 23, 2023</w:t>
              </w:r>
            </w:hyperlink>
          </w:p>
        </w:tc>
      </w:tr>
      <w:tr>
        <w:trPr>
          <w:trHeight w:val="21"/>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976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Letter Agreement between Thomas Szoke and AuthID Inc. dated April 12, 2023</w:t>
              </w:r>
            </w:hyperlink>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9760" w:type="dxa"/>
            <w:vAlign w:val="bottom"/>
            <w:gridSpan w:val="24"/>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Executive Retention Agreement between Thomas Szoke and AuthID Inc. dated April 12, 2023</w:t>
              </w:r>
            </w:hyperlink>
          </w:p>
        </w:tc>
      </w:tr>
      <w:tr>
        <w:trPr>
          <w:trHeight w:val="20"/>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976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Executive Retention Agreement between Annie Pham and AuthID Inc. dated May 11, 2023</w:t>
              </w:r>
            </w:hyperlink>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9760" w:type="dxa"/>
            <w:vAlign w:val="bottom"/>
            <w:gridSpan w:val="24"/>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Securities Purchase Agreement dated as of May 23, 2023 between the Company and accredited investors</w:t>
              </w:r>
            </w:hyperlink>
          </w:p>
        </w:tc>
      </w:tr>
      <w:tr>
        <w:trPr>
          <w:trHeight w:val="21"/>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104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786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Engagement Agreement dated as of April 20, 2023 between the Company and Madison Global Partners LLC</w:t>
              </w:r>
            </w:hyperlink>
          </w:p>
        </w:tc>
        <w:tc>
          <w:tcPr>
            <w:tcW w:w="190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9760" w:type="dxa"/>
            <w:vAlign w:val="bottom"/>
            <w:gridSpan w:val="24"/>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Stock Purchase Warrant dated May 26, 2023 issued to Madison Global Partners LLC</w:t>
              </w:r>
            </w:hyperlink>
          </w:p>
        </w:tc>
      </w:tr>
      <w:tr>
        <w:trPr>
          <w:trHeight w:val="21"/>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976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Exchange Agreement dated as of May 23, 2023 between the Company and certain Holders</w:t>
              </w:r>
            </w:hyperlink>
          </w:p>
        </w:tc>
      </w:tr>
      <w:tr>
        <w:trPr>
          <w:trHeight w:val="176"/>
        </w:trPr>
        <w:tc>
          <w:tcPr>
            <w:tcW w:w="4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104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716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Letter Agreement between Edward Sellitto and authID Inc. dated July 31, 2023</w:t>
              </w:r>
            </w:hyperlink>
          </w:p>
        </w:tc>
        <w:tc>
          <w:tcPr>
            <w:tcW w:w="2600" w:type="dxa"/>
            <w:vAlign w:val="bottom"/>
            <w:tcBorders>
              <w:top w:val="single" w:sz="8" w:color="CCEEFF"/>
            </w:tcBorders>
            <w:gridSpan w:val="7"/>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104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61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Agreement dated October 25, 2023 between The Pipeline Group, Inc. and authID Inc.</w:t>
              </w:r>
            </w:hyperlink>
          </w:p>
        </w:tc>
        <w:tc>
          <w:tcPr>
            <w:tcW w:w="3580" w:type="dxa"/>
            <w:vAlign w:val="bottom"/>
            <w:tcBorders>
              <w:bottom w:val="single" w:sz="8" w:color="CCEEFF"/>
            </w:tcBorders>
            <w:gridSpan w:val="15"/>
            <w:shd w:val="clear" w:color="auto" w:fill="CCEEFF"/>
          </w:tcPr>
          <w:p>
            <w:pPr>
              <w:spacing w:after="0"/>
              <w:rPr>
                <w:sz w:val="17"/>
                <w:szCs w:val="17"/>
                <w:color w:val="auto"/>
              </w:rPr>
            </w:pPr>
          </w:p>
        </w:tc>
      </w:tr>
      <w:tr>
        <w:trPr>
          <w:trHeight w:val="176"/>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9760" w:type="dxa"/>
            <w:vAlign w:val="bottom"/>
            <w:gridSpan w:val="24"/>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Securities Purchase Agreement dated as of November 20, 2023 between the Company and accredited investor</w:t>
              </w:r>
            </w:hyperlink>
          </w:p>
        </w:tc>
      </w:tr>
      <w:tr>
        <w:trPr>
          <w:trHeight w:val="21"/>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976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Engagement Agreement dated as of November 2, 2023 between the Company and Madison Global Partners, LLC</w:t>
              </w:r>
            </w:hyperlink>
          </w:p>
        </w:tc>
      </w:tr>
      <w:tr>
        <w:trPr>
          <w:trHeight w:val="175"/>
        </w:trPr>
        <w:tc>
          <w:tcPr>
            <w:tcW w:w="4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104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8180" w:type="dxa"/>
            <w:vAlign w:val="bottom"/>
            <w:tcBorders>
              <w:top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Stock Purchase Warrant dated November 22, 2023 issued to Madison Global Partners, LLC</w:t>
              </w:r>
            </w:hyperlink>
          </w:p>
        </w:tc>
        <w:tc>
          <w:tcPr>
            <w:tcW w:w="1580" w:type="dxa"/>
            <w:vAlign w:val="bottom"/>
            <w:tcBorders>
              <w:top w:val="single" w:sz="8" w:color="CCEEFF"/>
            </w:tcBorders>
            <w:gridSpan w:val="3"/>
          </w:tcPr>
          <w:p>
            <w:pPr>
              <w:spacing w:after="0"/>
              <w:rPr>
                <w:sz w:val="15"/>
                <w:szCs w:val="15"/>
                <w:color w:val="auto"/>
              </w:rPr>
            </w:pPr>
          </w:p>
        </w:tc>
      </w:tr>
      <w:tr>
        <w:trPr>
          <w:trHeight w:val="21"/>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1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976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Agreement dated December 19, 2023 between The Pipeline Group, Inc and authID Inc.</w:t>
              </w:r>
            </w:hyperlink>
          </w:p>
        </w:tc>
      </w:tr>
      <w:tr>
        <w:trPr>
          <w:trHeight w:val="176"/>
        </w:trPr>
        <w:tc>
          <w:tcPr>
            <w:tcW w:w="14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14.1 (26)</w:t>
            </w:r>
          </w:p>
        </w:tc>
        <w:tc>
          <w:tcPr>
            <w:tcW w:w="628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Code of Ethics</w:t>
              </w:r>
            </w:hyperlink>
          </w:p>
        </w:tc>
        <w:tc>
          <w:tcPr>
            <w:tcW w:w="3480" w:type="dxa"/>
            <w:vAlign w:val="bottom"/>
            <w:tcBorders>
              <w:top w:val="single" w:sz="8" w:color="CCEEFF"/>
            </w:tcBorders>
            <w:gridSpan w:val="14"/>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 (20)</w:t>
            </w:r>
          </w:p>
        </w:tc>
        <w:tc>
          <w:tcPr>
            <w:tcW w:w="14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List of Subsidiaries</w:t>
              </w:r>
            </w:hyperlink>
          </w:p>
        </w:tc>
        <w:tc>
          <w:tcPr>
            <w:tcW w:w="8360" w:type="dxa"/>
            <w:vAlign w:val="bottom"/>
            <w:tcBorders>
              <w:bottom w:val="single" w:sz="8" w:color="CCEEFF"/>
            </w:tcBorders>
            <w:gridSpan w:val="22"/>
            <w:shd w:val="clear" w:color="auto" w:fill="CCEEFF"/>
          </w:tcPr>
          <w:p>
            <w:pPr>
              <w:spacing w:after="0"/>
              <w:rPr>
                <w:sz w:val="17"/>
                <w:szCs w:val="17"/>
                <w:color w:val="auto"/>
              </w:rPr>
            </w:pPr>
          </w:p>
        </w:tc>
      </w:tr>
      <w:tr>
        <w:trPr>
          <w:trHeight w:val="175"/>
        </w:trPr>
        <w:tc>
          <w:tcPr>
            <w:tcW w:w="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40" w:type="dxa"/>
            <w:vAlign w:val="bottom"/>
          </w:tcPr>
          <w:p>
            <w:pPr>
              <w:spacing w:after="0"/>
              <w:rPr>
                <w:sz w:val="15"/>
                <w:szCs w:val="15"/>
                <w:color w:val="auto"/>
              </w:rPr>
            </w:pPr>
          </w:p>
        </w:tc>
        <w:tc>
          <w:tcPr>
            <w:tcW w:w="976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1"/>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40" w:type="dxa"/>
            <w:vAlign w:val="bottom"/>
            <w:shd w:val="clear" w:color="auto" w:fill="CCEEFF"/>
          </w:tcPr>
          <w:p>
            <w:pPr>
              <w:spacing w:after="0"/>
              <w:rPr>
                <w:sz w:val="17"/>
                <w:szCs w:val="17"/>
                <w:color w:val="auto"/>
              </w:rPr>
            </w:pPr>
          </w:p>
        </w:tc>
        <w:tc>
          <w:tcPr>
            <w:tcW w:w="97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of the Securities Exchange Act</w:t>
            </w:r>
          </w:p>
        </w:tc>
      </w:tr>
      <w:tr>
        <w:trPr>
          <w:trHeight w:val="175"/>
        </w:trPr>
        <w:tc>
          <w:tcPr>
            <w:tcW w:w="4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40" w:type="dxa"/>
            <w:vAlign w:val="bottom"/>
            <w:tcBorders>
              <w:top w:val="single" w:sz="8" w:color="CCEEFF"/>
            </w:tcBorders>
          </w:tcPr>
          <w:p>
            <w:pPr>
              <w:spacing w:after="0"/>
              <w:rPr>
                <w:sz w:val="15"/>
                <w:szCs w:val="15"/>
                <w:color w:val="auto"/>
              </w:rPr>
            </w:pPr>
          </w:p>
        </w:tc>
        <w:tc>
          <w:tcPr>
            <w:tcW w:w="788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of the Securities Exchange Act</w:t>
            </w:r>
          </w:p>
        </w:tc>
        <w:tc>
          <w:tcPr>
            <w:tcW w:w="1880" w:type="dxa"/>
            <w:vAlign w:val="bottom"/>
            <w:tcBorders>
              <w:top w:val="single" w:sz="8" w:color="CCEEFF"/>
            </w:tcBorders>
            <w:gridSpan w:val="4"/>
          </w:tcPr>
          <w:p>
            <w:pPr>
              <w:spacing w:after="0"/>
              <w:rPr>
                <w:sz w:val="15"/>
                <w:szCs w:val="15"/>
                <w:color w:val="auto"/>
              </w:rPr>
            </w:pPr>
          </w:p>
        </w:tc>
      </w:tr>
      <w:tr>
        <w:trPr>
          <w:trHeight w:val="21"/>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40" w:type="dxa"/>
            <w:vAlign w:val="bottom"/>
            <w:tcBorders>
              <w:bottom w:val="single" w:sz="8" w:color="CCEEFF"/>
            </w:tcBorders>
            <w:shd w:val="clear" w:color="auto" w:fill="CCEEFF"/>
          </w:tcPr>
          <w:p>
            <w:pPr>
              <w:spacing w:after="0"/>
              <w:rPr>
                <w:sz w:val="15"/>
                <w:szCs w:val="15"/>
                <w:color w:val="auto"/>
              </w:rPr>
            </w:pPr>
          </w:p>
        </w:tc>
        <w:tc>
          <w:tcPr>
            <w:tcW w:w="97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§1350, as adopted pursuant to Section 906</w:t>
            </w:r>
          </w:p>
        </w:tc>
      </w:tr>
      <w:tr>
        <w:trPr>
          <w:trHeight w:val="216"/>
        </w:trPr>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240" w:type="dxa"/>
            <w:vAlign w:val="bottom"/>
            <w:tcBorders>
              <w:bottom w:val="single" w:sz="8" w:color="CCEEFF"/>
            </w:tcBorders>
            <w:gridSpan w:val="21"/>
            <w:shd w:val="clear" w:color="auto" w:fill="CCEEFF"/>
          </w:tcPr>
          <w:p>
            <w:pPr>
              <w:spacing w:after="0"/>
              <w:rPr>
                <w:sz w:val="18"/>
                <w:szCs w:val="18"/>
                <w:color w:val="auto"/>
              </w:rPr>
            </w:pPr>
          </w:p>
        </w:tc>
      </w:tr>
      <w:tr>
        <w:trPr>
          <w:trHeight w:val="176"/>
        </w:trPr>
        <w:tc>
          <w:tcPr>
            <w:tcW w:w="1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97.1 (26)</w:t>
            </w:r>
          </w:p>
        </w:tc>
        <w:tc>
          <w:tcPr>
            <w:tcW w:w="9760" w:type="dxa"/>
            <w:vAlign w:val="bottom"/>
            <w:gridSpan w:val="24"/>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Policy for the Recovery of Erroneously Awarded Compensation adopted October 6, 2023</w:t>
              </w:r>
            </w:hyperlink>
          </w:p>
        </w:tc>
      </w:tr>
      <w:tr>
        <w:trPr>
          <w:trHeight w:val="21"/>
        </w:trPr>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 *</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t>
            </w:r>
          </w:p>
        </w:tc>
      </w:tr>
      <w:tr>
        <w:trPr>
          <w:trHeight w:val="21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 *</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 *</w:t>
            </w:r>
          </w:p>
        </w:tc>
      </w:tr>
      <w:tr>
        <w:trPr>
          <w:trHeight w:val="21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 *</w:t>
            </w:r>
          </w:p>
        </w:tc>
      </w:tr>
      <w:tr>
        <w:trPr>
          <w:trHeight w:val="21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80" w:hanging="1472"/>
        <w:spacing w:after="0"/>
        <w:tabs>
          <w:tab w:leader="none" w:pos="1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asterisks because the identified confidential portions</w:t>
      </w:r>
    </w:p>
    <w:p>
      <w:pPr>
        <w:spacing w:after="0" w:line="27" w:lineRule="exact"/>
        <w:rPr>
          <w:rFonts w:ascii="Times New Roman" w:cs="Times New Roman" w:eastAsia="Times New Roman" w:hAnsi="Times New Roman"/>
          <w:sz w:val="18"/>
          <w:szCs w:val="18"/>
          <w:color w:val="auto"/>
        </w:rPr>
      </w:pPr>
    </w:p>
    <w:p>
      <w:pPr>
        <w:ind w:left="340" w:right="20" w:hanging="8"/>
        <w:spacing w:after="0" w:line="260" w:lineRule="auto"/>
        <w:tabs>
          <w:tab w:leader="none" w:pos="56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material and (ii) would be competitively harmful if publicly disclosed. A copy of any omitted portions will be furnished to the SEC upon request.</w:t>
      </w:r>
    </w:p>
    <w:p>
      <w:pPr>
        <w:spacing w:after="0" w:line="181"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23, 2021.</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15,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December 16, 2019.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February 18, 2020.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13, 2020.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6,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4, 2018.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November 8, 2021.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S-8 Registration Statement filed with the Securities Exchange Commission on February 1,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21,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Annual Report filed with the Securities Exchange Commission on March 22,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18,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27,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July 19,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September 21, 2022.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10,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March 28,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Annual Report filed with the Securities Exchange Commission on March 30,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April 18,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May 11,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16,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May 26,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June 27,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August 3,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October 26,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Quarterly Report filed with the Securities Exchange Commission on November 8,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November 27,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Current Report filed with the Securities Exchange Commission on December 21,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285" w:gutter="0" w:footer="0" w:header="0"/>
        </w:sectPr>
      </w:pPr>
    </w:p>
    <w:bookmarkStart w:id="65" w:name="page66"/>
    <w:bookmarkEnd w:id="6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Rhoniel A. Daguro</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 Sellitto</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20, 2024</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Exchange Act, this report has been signed below by the following persons on March 20, 2024 on behalf of the registrant and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60" w:type="dxa"/>
            <w:vAlign w:val="bottom"/>
          </w:tcPr>
          <w:p>
            <w:pPr>
              <w:spacing w:after="0"/>
              <w:rPr>
                <w:sz w:val="22"/>
                <w:szCs w:val="22"/>
                <w:color w:val="auto"/>
              </w:rPr>
            </w:pPr>
          </w:p>
        </w:tc>
        <w:tc>
          <w:tcPr>
            <w:tcW w:w="44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Rhoniel A. Daguro</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Rhoniel A. Daguro</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/s/Ken Jisser</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Ken Jisser</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Koehneman</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Michael Koehneman</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 Sellitto</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Ed Sellitto</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R. Szoke</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Thomas R. Szoke</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Jacqueline White</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Jacqueline White</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Thompson</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Michael Thompson</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37"/>
        </w:trPr>
        <w:tc>
          <w:tcPr>
            <w:tcW w:w="4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62</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80" w:type="dxa"/>
            <w:vAlign w:val="bottom"/>
            <w:gridSpan w:val="6"/>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7"/>
              </w:rPr>
              <w:t>FINANCIAL STATEMENTS</w:t>
            </w:r>
          </w:p>
        </w:tc>
        <w:tc>
          <w:tcPr>
            <w:tcW w:w="234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Accounting Firm</w:t>
            </w:r>
          </w:p>
        </w:tc>
        <w:tc>
          <w:tcPr>
            <w:tcW w:w="234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234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234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234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and 2022</w:t>
            </w:r>
          </w:p>
        </w:tc>
        <w:tc>
          <w:tcPr>
            <w:tcW w:w="234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234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216"/>
        </w:trPr>
        <w:tc>
          <w:tcPr>
            <w:tcW w:w="31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89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34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655"/>
        </w:trPr>
        <w:tc>
          <w:tcPr>
            <w:tcW w:w="31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4240" w:type="dxa"/>
            <w:vAlign w:val="bottom"/>
            <w:tcBorders>
              <w:top w:val="single" w:sz="8" w:color="CCEEFF"/>
              <w:bottom w:val="single" w:sz="8" w:color="auto"/>
            </w:tcBorders>
            <w:gridSpan w:val="5"/>
          </w:tcPr>
          <w:p>
            <w:pPr>
              <w:jc w:val="center"/>
              <w:ind w:right="2320"/>
              <w:spacing w:after="0"/>
              <w:rPr>
                <w:sz w:val="20"/>
                <w:szCs w:val="20"/>
                <w:color w:val="auto"/>
              </w:rPr>
            </w:pPr>
            <w:r>
              <w:rPr>
                <w:rFonts w:ascii="Times New Roman" w:cs="Times New Roman" w:eastAsia="Times New Roman" w:hAnsi="Times New Roman"/>
                <w:sz w:val="18"/>
                <w:szCs w:val="18"/>
                <w:color w:val="auto"/>
                <w:w w:val="95"/>
              </w:rPr>
              <w:t>F-1</w:t>
            </w:r>
          </w:p>
        </w:tc>
        <w:tc>
          <w:tcPr>
            <w:tcW w:w="2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authID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authID Inc. (formerly known as Ipsidy Inc.) and subsidiaries (the “Company”) as of December 31, 2023 and 2022, and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As discussed in Note 1 to the consolidated financial statements, the Company has recurring losses and negative cash flows from operations that raise substantial doubt about its ability to continue as a going concern. Management’s evaluations of the events and conditions and management’s plans regarding those matters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 –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further in Note 9 to the consolidated financial statements, the Company issued various types of equity awards, including stock options. During the year ended December 31, 2023, the Company recorded stock option related compensation expense of approximately $487,000. The Company estimated the fair value of stock options granted using either the Black-Scholes option pricing model or the Monte Carlo option pricing model, depending on vesting conditions. The option pricing models required the Company to make several assumptions. During the year ended December 31, 2023, the Company also accounted for the reversal of recorded reversals of previously recognized stock-based compensation due to forfeitures.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Auditing the Company’s accounting for stock options required auditor judgment due to the subjectivity of significant assumptions used in the option pricing models to estimate the fair value of stock options granted.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audit procedures performed to address this critical audit matter included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accuracy and completeness of the awards during the year by reading the relevant Board of Directors minutes and grant documents.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valuation method used for the stock option grants and whether the method used for determining fair value was applied consistently with the valuation of similar grants in prior periods.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work performed by management’s specialist in valuing market condition stock option using the Monte Carlo option pricing model. In addition, we used an auditor specialist to assess the reasonableness of management’s specialist’s pricing model and to perform an independent calculation.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significant assumptions used by management to calculate the fair value of stock options granted. Such evaluation included independent calculation of the expected volatility based upon actual historical stock price movements over the period equal to the expected option term and assessing the reasonableness of the expected option term based on historical stock options exercised.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estimate of the fair value for options granted during the year and compared our estimate of fair value used by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Cherry Bekaert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960"/>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10,177,099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3,237,106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91,277</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261,809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476,004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729,342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118,459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10,901,680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4,346,716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327,001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4,183,232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4,183,232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15,411,913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9,374,185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1,408,965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1,154,072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131,628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124,150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1,664,743</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1,249,149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224,424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7,841,500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Severance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2,214,167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9,090,649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9,450,220 and 3,179,789 shares issued and outstanding as of December 31, 2023 and 2022,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172,714,712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140,257,448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(159,530,535)</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(140,130,159)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comprehensive income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12,624</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155,929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13,197,746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283,536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15,411,913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9,374,185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Verified software license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186,171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156,646</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Legacy authentication services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370,769</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Impairment losses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Conversion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(loss) on sale of discontinued operations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gain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Share - Basic and Diluted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0"/>
        <w:spacing w:after="0"/>
        <w:tabs>
          <w:tab w:leader="none" w:pos="1620" w:val="left"/>
        </w:tabs>
        <w:rPr>
          <w:sz w:val="20"/>
          <w:szCs w:val="20"/>
          <w:color w:val="auto"/>
        </w:rPr>
      </w:pPr>
      <w:r>
        <w:rPr>
          <w:rFonts w:ascii="Times New Roman" w:cs="Times New Roman" w:eastAsia="Times New Roman" w:hAnsi="Times New Roman"/>
          <w:sz w:val="18"/>
          <w:szCs w:val="18"/>
          <w:color w:val="auto"/>
        </w:rPr>
        <w:t>7,882,194</w:t>
      </w:r>
      <w:r>
        <w:rPr>
          <w:sz w:val="20"/>
          <w:szCs w:val="20"/>
          <w:color w:val="auto"/>
        </w:rPr>
        <w:tab/>
      </w:r>
      <w:r>
        <w:rPr>
          <w:rFonts w:ascii="Times New Roman" w:cs="Times New Roman" w:eastAsia="Times New Roman" w:hAnsi="Times New Roman"/>
          <w:sz w:val="18"/>
          <w:szCs w:val="18"/>
          <w:color w:val="auto"/>
        </w:rPr>
        <w:t>14,676,938</w:t>
      </w:r>
    </w:p>
    <w:p>
      <w:pPr>
        <w:spacing w:after="0" w:line="27"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2,800,373</w:t>
      </w:r>
      <w:r>
        <w:rPr>
          <w:sz w:val="20"/>
          <w:szCs w:val="20"/>
          <w:color w:val="auto"/>
        </w:rPr>
        <w:tab/>
      </w:r>
      <w:r>
        <w:rPr>
          <w:rFonts w:ascii="Times New Roman" w:cs="Times New Roman" w:eastAsia="Times New Roman" w:hAnsi="Times New Roman"/>
          <w:sz w:val="18"/>
          <w:szCs w:val="18"/>
          <w:color w:val="auto"/>
        </w:rPr>
        <w:t>6,269,175</w:t>
      </w:r>
    </w:p>
    <w:p>
      <w:pPr>
        <w:spacing w:after="0" w:line="9"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255,858</w:t>
      </w:r>
      <w:r>
        <w:rPr>
          <w:sz w:val="20"/>
          <w:szCs w:val="20"/>
          <w:color w:val="auto"/>
        </w:rPr>
        <w:tab/>
      </w:r>
      <w:r>
        <w:rPr>
          <w:rFonts w:ascii="Times New Roman" w:cs="Times New Roman" w:eastAsia="Times New Roman" w:hAnsi="Times New Roman"/>
          <w:sz w:val="18"/>
          <w:szCs w:val="18"/>
          <w:color w:val="auto"/>
        </w:rPr>
        <w:t>749,900</w:t>
      </w:r>
    </w:p>
    <w:p>
      <w:pPr>
        <w:spacing w:after="0" w:line="9" w:lineRule="exact"/>
        <w:rPr>
          <w:sz w:val="20"/>
          <w:szCs w:val="20"/>
          <w:color w:val="auto"/>
        </w:rPr>
      </w:pPr>
    </w:p>
    <w:p>
      <w:pPr>
        <w:ind w:left="1740" w:hanging="671"/>
        <w:spacing w:after="0"/>
        <w:tabs>
          <w:tab w:leader="none" w:pos="1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1,101,867</w:t>
      </w:r>
    </w:p>
    <w:p>
      <w:pPr>
        <w:spacing w:after="0" w:line="3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10,938,42522,797,880</w:t>
      </w:r>
    </w:p>
    <w:p>
      <w:pPr>
        <w:spacing w:after="0" w:line="252" w:lineRule="exact"/>
        <w:rPr>
          <w:sz w:val="20"/>
          <w:szCs w:val="20"/>
          <w:color w:val="auto"/>
        </w:rPr>
      </w:pPr>
    </w:p>
    <w:p>
      <w:pPr>
        <w:jc w:val="right"/>
        <w:ind w:right="40"/>
        <w:spacing w:after="0"/>
        <w:tabs>
          <w:tab w:leader="none" w:pos="920" w:val="left"/>
        </w:tabs>
        <w:rPr>
          <w:sz w:val="20"/>
          <w:szCs w:val="20"/>
          <w:color w:val="auto"/>
        </w:rPr>
      </w:pPr>
      <w:r>
        <w:rPr>
          <w:rFonts w:ascii="Times New Roman" w:cs="Times New Roman" w:eastAsia="Times New Roman" w:hAnsi="Times New Roman"/>
          <w:sz w:val="18"/>
          <w:szCs w:val="18"/>
          <w:color w:val="auto"/>
        </w:rPr>
        <w:t>(10,748,136)</w:t>
      </w:r>
      <w:r>
        <w:rPr>
          <w:sz w:val="20"/>
          <w:szCs w:val="20"/>
          <w:color w:val="auto"/>
        </w:rPr>
        <w:tab/>
      </w:r>
      <w:r>
        <w:rPr>
          <w:rFonts w:ascii="Times New Roman" w:cs="Times New Roman" w:eastAsia="Times New Roman" w:hAnsi="Times New Roman"/>
          <w:sz w:val="18"/>
          <w:szCs w:val="18"/>
          <w:color w:val="auto"/>
        </w:rPr>
        <w:t>(22,270,465)</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(1,108,458)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(1,359,954)</w:t>
            </w:r>
          </w:p>
        </w:tc>
      </w:tr>
      <w:tr>
        <w:trPr>
          <w:trHeight w:val="216"/>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98,230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(37,221)</w:t>
            </w:r>
          </w:p>
        </w:tc>
      </w:t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(7,476,000)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5"/>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(380,741)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(8,866,969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(1,397,175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2"/>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(19,615,105)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(23,667,640)</w:t>
            </w:r>
          </w:p>
        </w:tc>
      </w:tr>
      <w:tr>
        <w:trPr>
          <w:trHeight w:val="445"/>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(2,864)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(7,670)</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gridSpan w:val="2"/>
          </w:tcPr>
          <w:p>
            <w:pPr>
              <w:spacing w:after="0"/>
              <w:rPr>
                <w:sz w:val="2"/>
                <w:szCs w:val="2"/>
                <w:color w:val="auto"/>
              </w:rPr>
            </w:pPr>
          </w:p>
        </w:tc>
      </w:tr>
      <w:tr>
        <w:trPr>
          <w:trHeight w:val="445"/>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(19,617,969)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(23,675,310)</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14"/>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(366,663)</w:t>
            </w:r>
          </w:p>
        </w:tc>
      </w:tr>
      <w:tr>
        <w:trPr>
          <w:trHeight w:val="255"/>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216,069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(188,247)</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217,593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80"/>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(19,400,376)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(24,230,220)</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49"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6,153,881</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3,065,365</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398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(19,400,376)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(24,230,220)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(143,305)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(55,557)</w:t>
            </w:r>
          </w:p>
        </w:tc>
      </w:tr>
      <w:tr>
        <w:trPr>
          <w:trHeight w:val="250"/>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(19,543,681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(24,285,777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700" w:type="dxa"/>
            <w:vAlign w:val="bottom"/>
            <w:gridSpan w:val="5"/>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270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20"/>
                <w:szCs w:val="20"/>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2,926,655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126,583,738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(115,899,939)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10,895,578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8,870,168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8,870,168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132,940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3,146,927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3,146,940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with convertible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91,757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for working</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facility</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302,999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in lieu of interest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59,980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696,387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Warrants for services with the issuance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convertible debt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449,474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449,474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warrant exercise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exercise for cash</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66,002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note converted to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(24,230,220)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(24,230,220)</w:t>
            </w:r>
          </w:p>
        </w:tc>
        <w:tc>
          <w:tcPr>
            <w:tcW w:w="0" w:type="dxa"/>
            <w:vAlign w:val="bottom"/>
          </w:tcPr>
          <w:p>
            <w:pPr>
              <w:spacing w:after="0"/>
              <w:rPr>
                <w:sz w:val="1"/>
                <w:szCs w:val="1"/>
                <w:color w:val="auto"/>
              </w:rPr>
            </w:pPr>
          </w:p>
        </w:tc>
      </w:tr>
      <w:tr>
        <w:trPr>
          <w:trHeight w:val="162"/>
        </w:trPr>
        <w:tc>
          <w:tcPr>
            <w:tcW w:w="32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3280" w:type="dxa"/>
            <w:vAlign w:val="bottom"/>
            <w:vMerge w:val="continue"/>
            <w:shd w:val="clear" w:color="auto" w:fill="CCEEFF"/>
          </w:tcPr>
          <w:p>
            <w:pPr>
              <w:spacing w:after="0"/>
              <w:rPr>
                <w:sz w:val="7"/>
                <w:szCs w:val="7"/>
                <w:color w:val="auto"/>
              </w:rPr>
            </w:pPr>
          </w:p>
        </w:tc>
        <w:tc>
          <w:tcPr>
            <w:tcW w:w="13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(55,557</w:t>
            </w:r>
          </w:p>
        </w:tc>
        <w:tc>
          <w:tcPr>
            <w:tcW w:w="16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(55,557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Balances, December 31, 2022</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3,179,789</w:t>
            </w: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140,257,448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 (140,130,159)</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155,929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283,536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convertible debt into</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2,348,347</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15,331,776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15,332,011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 of common stock for cash, net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3,564,666</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14,912,547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14,912,904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credit facility borrowings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into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245,634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899,976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487,398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Warrants for services with the sale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in lieu of interest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111,516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387,567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stock option exercise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(19,400,376)</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(19,400,376)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(143,305)</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(143,305)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9,450,220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172,714,712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(159,530,535</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13,197,746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(19,400,376)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(24,230,220)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with cash flows from operations: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7,476,000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487,398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8,870,168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711,269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595,783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Warrants for services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in lieu of interest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387,578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696,393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380,741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255,858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749,900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doubtful collection of other receivable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from sale of discontinued operation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(216,069)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188,247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1,101,867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170,532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(234,962)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contract cost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(33,150)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88,068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167,877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245,932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(669,294)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50,310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relating to discontinued operations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110,064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87,530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(8,372,845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(12,794,400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discontinued operations, net of selling costs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91,751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146,728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disposed of from the sale of a discontinued operation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(299,505)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 - discontinued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(16,159)</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(16,600)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common stock, net of offering costs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14,912,904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3,146,940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facility drawdown, net of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471,816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convertible note payable, net of issuance costs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7,992,841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66,003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on Convertible notes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working capital facility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notes payable - discontinued operations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capital lease obligation - discontinued operations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flows from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15,384,720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10,231,623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Currencies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(149,736)</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6,937,290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(2,798,174)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Year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3,237,106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5,767,276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Year- Discontinued Operations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2,703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270,707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the Year - Discontinued Operations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End of the Year</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10,177,099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3,237,106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94,887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 - discontinued operations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 - discontinued operations</w:t>
            </w: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Schedule of Non-cash Investing and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 payable and accrued interest to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7,856,011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50,406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Conversion of credit facility borrowings into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Cashless option and warrant exercises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Common stock issued with convertible debt</w:t>
            </w: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Common stock for working capital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Warrants for services with the issuance of convertible debt</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09" w:orient="portrait"/>
          <w:cols w:equalWidth="0" w:num="1">
            <w:col w:w="11240"/>
          </w:cols>
          <w:pgMar w:left="320" w:top="873" w:right="339" w:bottom="0" w:gutter="0" w:footer="0" w:header="0"/>
        </w:sectPr>
      </w:pPr>
    </w:p>
    <w:bookmarkStart w:id="74" w:name="page75"/>
    <w:bookmarkEnd w:id="74"/>
    <w:p>
      <w:pPr>
        <w:jc w:val="both"/>
        <w:ind w:left="7560"/>
        <w:spacing w:after="0"/>
        <w:tabs>
          <w:tab w:leader="none" w:pos="8600" w:val="left"/>
          <w:tab w:leader="none" w:pos="8880" w:val="left"/>
          <w:tab w:leader="none" w:pos="9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449,474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17145</wp:posOffset>
            </wp:positionV>
            <wp:extent cx="156019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9">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authID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Ipsidy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SUMMARY OF SIGNIFICANT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authID Inc. quickly and accurately verifies a user’s identity, through its easy-to-integrate, patented, biometric identity platform, eliminating any assumption of ‘who’ is behind a device and preventing cybercriminals from taking over accounts. authID combines digital onboarding, biometric passwordless authentication and account recovery, with a fast, accurate, user-friendly experience . Establishing a biometric root of trust for each user that is bound to their accounts or provisioned devices, authID stops fraud at onboarding, eliminates password risks and costs, and provides the faster, frictionless, and more accurate user identity experience demanded by operators of today’s digital ecosystems.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July 18, 2022, the Company changed its name to authID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4, 2022, the Board of Directors of authID Inc. approved a plan to exit from certain non-core activities comprising the MultiPay correspondent bank payments services in Colombia and the Cards Plus cards manufacturing and printing business in South Africa (“Cards Plus business”). On August 29, 2022 the Company executed and completed the sale of the Cards Plus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exited the MultiPay business in Colombia and all impacted employees had left the Company. As of December 31 2022, MultiPay S.A.S., assets are presented as assets held for sale on the Company’s Consolidated Balance Sheets and their operations presented as discontinued operations in the Consolidated Statements of Operations as they met the criteria for discontinued operations under applicable accounting guidance. On June 30, 2023, MultiPay finalized the sale of MultiPay’s proprietary software to its major customer for approximately $96,000 of sale consideration. The Company collected the cash from this customer in September 2023, released foreign currency translation gain of approximately $155,000 and recognized a gain of approximately $216,000 from the transaction. See Discontinued Operations Note 11 for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(“US GAAP”) assuming the Company will continue on a going concern basis, which implies the Company will continue to meet its obligations and continue its operations for the next year following the issuance date of these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approximately $159.5 million. For the year ended December 31, 2023, the Company earned revenue of approximately $0.19 million, used $8.4 million to fund its operations, and incurred a net loss from continuing operations of approximately $19.6 million, of which $11.2 million was non-cash.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Notes 7 and 9, the Company was able to secure additional financing by the following: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2023, the Company closed a registered direct public offering (“Registered Public Offering”) with accredited investors to sell 1,574,990 shares of the Company’s common stock, par value $0.0001 per share at a per share price of $6.00 per share. The aggregate gross proceeds were approximately $9.4 million (or approximately $8.6 million, net of offering costs). The purchasers included three directors of the Company, including the Chief Executive Officer and Chairman of the Board of Directors.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pursuant to Securities Purchase Agreements, the Company issued 1,989,676 shares of common stock for aggregate gross proceeds of approximately $7.3 million (or approximately $6.4 million, net of offering costs).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pursuant to an exchange agreement with Holders of Convertible Notes payable, the Company issued 2,348,347 shares of common stock in exchange for Convertible Notes in the gross principal amount of approximately $8.9 million (approximately $7.9 million, net of debt issuance costs and discount).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9, 2023, the Company entered into a promissory note in favor of Garchik for aggregate gross proceeds of $0.9 million (approximately $0.5 million, net of offering costs). On May 26, 2023, the Company issued 253,617 shares of common stock to Garchik in exchange for the outstanding balance plus accrued and unpaid interest in the aggregate amount of $929,250.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for its current operations as it continues to invest in its product, people, and technology.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2024, Mr. Joe Trelin tendered his resignation as Chairman and a Director of the Company, effective immediately. On February 20, 2024, the board of directors of the Company (the “Board”) accepted his resignation and agreed to vest the unvested portion of an option granted to Mr. Trelin June 28, 2023, amounting to 6,511 shares.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Rule 5605(b)(1) of the Rules of the Nasdaq Stock Market, (“Nasdaq”), a majority of the Board must be comprised of Independent Directors as defined in Rule 5605(a)(2). As a result of Mr. Trelin’s resignation, the Board currently consists of six directors of which three are considered Independent Directors. The Company is currently in discussions with one or more candidates to be appointed as an additional Independent Director, but no agreement has been reached regarding such appointment at this time. Pursuant to Rule 5605(b)(1)(A), the Company has a cure period, within which to restore the majority of Independent Directors, expiring on the earlier of the date of the next Annual Meeting or one year from the date of the vacancy (subject to a minimum period of 180 days from the date of the vacancy).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20, 2024, the Board appointed Michael Thompson to the Audit Committee in compliance with Rule 5605(c)(2)(A) of the Nasdaq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authID Inc. and its wholly-owned subsidiaries MultiPay S.A.S., ID Solutions, Inc., FIN Holdings Inc., Ipsidy Enterprises Limited, Cards Plus Pty Ltd. (through August 29, 2022 when the sale of Cards Plus Pty Ltd. was completed) and authID Gaming Inc. (collectively the “Company”). All significant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Verified Software License </w:t>
      </w:r>
      <w:r>
        <w:rPr>
          <w:rFonts w:ascii="Times New Roman" w:cs="Times New Roman" w:eastAsia="Times New Roman" w:hAnsi="Times New Roman"/>
          <w:sz w:val="18"/>
          <w:szCs w:val="18"/>
          <w:color w:val="auto"/>
        </w:rPr>
        <w:t>– The Company recognizes revenue based on the identified performance obligations over the performance period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and / or variable fees generated. Variable fees are typically earned over time based on monthly users, transaction volumes or a monthly flat fee rate.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deferred revenue contract liabilities of approximately $132,000 and $81,000 as of December 31, 2023 and December 31, 2022 respectively for certain revenue that will be earned in future periods. All deferred revenue contract liabilities as of December 31, 2023 are expected to be earned over the next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Company’s Remaining Performance Obligation (RPO) was $4.03 million, of which $0.13 million is held as deferred revenue and $3.89 million is related to other non-cancelable contracted amounts. The Company estimated the $4.03 million balance based primarily on minimum annual billings associated with signed customer contracts, which have not yet implemented the Company’s software. Based on the contractual terms of the signed customer contracts, we anticipate recognizing this revenue over the next 3 years. However, due to the complexities and estimates inherent in revenue recognition, ultimate revenue recognized may differ from these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Contract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defer the portion of sales commission that is considered a cost of obtaining a new contract with a customer and amortize these deferred costs over the period of benefit. We expense the remaining sales commissions as incurred. The following table summarizes deferred contract cost activity for the year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Deferred</w:t>
            </w:r>
          </w:p>
        </w:tc>
      </w:tr>
      <w:tr>
        <w:trPr>
          <w:trHeight w:val="245"/>
        </w:trPr>
        <w:tc>
          <w:tcPr>
            <w:tcW w:w="9980" w:type="dxa"/>
            <w:vAlign w:val="bottom"/>
          </w:tcPr>
          <w:p>
            <w:pPr>
              <w:spacing w:after="0"/>
              <w:rPr>
                <w:sz w:val="21"/>
                <w:szCs w:val="21"/>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Contract Costs</w:t>
            </w:r>
          </w:p>
        </w:tc>
      </w:tr>
      <w:tr>
        <w:trPr>
          <w:trHeight w:val="216"/>
        </w:trPr>
        <w:tc>
          <w:tcPr>
            <w:tcW w:w="9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157,300</w:t>
            </w:r>
          </w:p>
        </w:tc>
        <w:tc>
          <w:tcPr>
            <w:tcW w:w="80" w:type="dxa"/>
            <w:vAlign w:val="bottom"/>
          </w:tcPr>
          <w:p>
            <w:pPr>
              <w:spacing w:after="0"/>
              <w:rPr>
                <w:sz w:val="18"/>
                <w:szCs w:val="18"/>
                <w:color w:val="auto"/>
              </w:rPr>
            </w:pPr>
          </w:p>
        </w:tc>
      </w:tr>
      <w:tr>
        <w:trPr>
          <w:trHeight w:val="250"/>
        </w:trPr>
        <w:tc>
          <w:tcPr>
            <w:tcW w:w="9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Carrying Value at December 31, 2023</w:t>
            </w: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157,300</w:t>
            </w:r>
          </w:p>
        </w:tc>
        <w:tc>
          <w:tcPr>
            <w:tcW w:w="80" w:type="dxa"/>
            <w:vAlign w:val="bottom"/>
          </w:tcPr>
          <w:p>
            <w:pPr>
              <w:spacing w:after="0"/>
              <w:rPr>
                <w:sz w:val="20"/>
                <w:szCs w:val="20"/>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Authentication Services </w:t>
      </w:r>
      <w:r>
        <w:rPr>
          <w:rFonts w:ascii="Times New Roman" w:cs="Times New Roman" w:eastAsia="Times New Roman" w:hAnsi="Times New Roman"/>
          <w:sz w:val="18"/>
          <w:szCs w:val="18"/>
          <w:color w:val="auto"/>
        </w:rPr>
        <w:t>– The Company historically has sold certain legacy software licenses to customers and revenue is recognized when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and all other revenue recognition criteria have been met. During both 2023 and 2022, the Company provided annual software maintenance support services relating to previously licensed software on a stand-ready basis. These fees were billed in advance and recognized ratably over the requisite service period as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customers are granted credit on a short-term basis. The Company routinely reviews its trade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2022, the Company completed the sale of Cards Plus for a price of $300,000 of which $150,000 was received and the remaining balance of $150,000 was recorded in other current assets. While the Company and Cards Plus continue to actively pursue payment of the remaining balance, which is subject to regulatory approval, management re-evaluated the likelihood of recovery and recorded an allowance for doubtful account in the year ended December 31, 2023 related to this receivable.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management determined no other allowance for doubtful accounts was required.</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New Accounting Pronouncement </w:t>
      </w:r>
      <w:r>
        <w:rPr>
          <w:rFonts w:ascii="Times New Roman" w:cs="Times New Roman" w:eastAsia="Times New Roman" w:hAnsi="Times New Roman"/>
          <w:sz w:val="18"/>
          <w:szCs w:val="18"/>
          <w:color w:val="auto"/>
        </w:rPr>
        <w:t>– In June 2016, the Financial Accounting Standards Board issued Accounting Standards Update No. 2016-13,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 Credit Losses (Topic 326),” which replaces the current incurred loss impairment methodology for most financial assets with the current expected credit lost, or CECL, methodology. The series of new guidance amends the impairment model by requiring entities to use a forward-looking approach based on expected losses rather than incurred losses to estimate credit losses on certain types of financial instruments, including trade receivables. The Company adopted the new standard effective January 1, 2023, which did not have a material impact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Major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that potentially expose the Company to a concentration of credit risk consist of cash and accounts receivable.</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Company’s cash is deposited at financial institutions and cash balances held in United States (“US”) bank accounts are insured by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Insurance Corporation (“FDIC”) up to $250,000. At various times during the year, the Company may have exceeded amounts insured by the FDIC. At December 31, 2023, the Company had approximately $9.9 million in funds in the United States which were in excess of the insured amounts by the FDIC. For the Company’s foreign subsidiaries, no amounts are insured. At December 31, 2023, the Company held approximately $700 in cash maintained in a British bank.</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2023 Revenues and accounts receivable: </w:t>
      </w:r>
      <w:r>
        <w:rPr>
          <w:rFonts w:ascii="Times New Roman" w:cs="Times New Roman" w:eastAsia="Times New Roman" w:hAnsi="Times New Roman"/>
          <w:sz w:val="18"/>
          <w:szCs w:val="18"/>
          <w:color w:val="auto"/>
        </w:rPr>
        <w:t>For the year ended December 31, 2023, 10% of consolidated revenues were derived from International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two customers represented 58% of consolidated revenue. As of December 31, 2023, accounts receivable related to three customers amounted to 78% of the accounts receivable.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2022 Revenues and accounts receivable: </w:t>
      </w:r>
      <w:r>
        <w:rPr>
          <w:rFonts w:ascii="Times New Roman" w:cs="Times New Roman" w:eastAsia="Times New Roman" w:hAnsi="Times New Roman"/>
          <w:sz w:val="18"/>
          <w:szCs w:val="18"/>
          <w:color w:val="auto"/>
        </w:rPr>
        <w:t>For the year ended December 31, 2022, revenue for approximately 70% of the total revenues from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were derived from two legacy customers. As of December 31, 2022, accounts receivable related to one legacy customer amounted to 86% of the accounts receivable.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Financial Accounting Standards Board (“FASB”) Accounting Standards Codification (“ASC”) 740 “Income Taxes.” Under the asset and liability method of FASB ASC 740,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Under FASB ASC 740, the effect on deferred tax assets and liabilities of a change in tax rates is recognized in income in the period the enactment occurs. A valuation allowance is provided for certain deferred tax assets if it is more likely than not that the Company will not realize tax assets through future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the Company signed a new lease agreement for one year and moved its headquarters to Denver, Colorado. The office monthly lease cost was approximately $1,500 per month. The Company did not renew the lease agreement after July 2023 and has no remaining lease agreements as of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consists of furniture and fixtures and computer equipment and are stated at cost. Property and equipment are depreciated using the straight-line method over the estimated useful service lives of three to five years. Maintenance and repairs are expensed as incurred and improvements are capitalized. Gains or losses on the disposition of property and equipment are recorded upon disposal.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include when applicable, costs associated with software development of new product offerings and significant enhancements to existing applications. Research &amp; development costs are expensed as incurred. Development costs of computer software to be sold, leased or otherwise marketed are subject to capitalization beginning when a product’s technological feasibility has been established and ending when a product is available for general release to customers. As of December 31, 2023 and 2022, all assets are in service.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all intangible assets would be recovered and therefore did not record impairment expense. During the year ended December 31, 2022, the Company determined that certain intangibles assets are no longer recoverable and recognized impairment expense of approximately $1.1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recorded when the purchase price paid for an acquisition exceeds the fair market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market value of the reporting unit to it carrying value, including the goodwill related to the reporting unit utilizing qualitative considerations. To determine the fair market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Company’s assessment did not indicate that an impairment charge was required as its fair market value (as determined primarily by the Company's market capitalization) was in excess of carrying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accounted for stock-based compensation under the provisions of FASB ASC 718 – “Stock Compensation” which requires the use of the fair- value based method to determine compensation for all arrangements under which employees and others receive shares of stock or equity instruments (stock options and common stock purchase warrants). For all awards, the fair market value of each stock option award is estimated on the date of grant using the Black- Scholes or Monte-Carlo valuation models as appropriate that uses assumptions for expected volatility, expected dividends, expected term, and the risk-free interest rate. Expected volatilities are based on historical volatility of the Company’s stock and other factors estimated over the expected term of the stock options. For employee awards, the expected term of options granted is derived based on exercise history. We continually monitor exercise activity from the date of grant and consider our short history and certain stock price growth during various periods. The risk-free rate is based on the U.S. Treasury yield curve in effect at the time of grant for the period of the expected term. The Company accounts for forfeitures of employee awards as they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consist of expenditures for the research and development of new products and technology. These costs are primarily expenses incurred to perform research projects and develop technology for the Company’s products. Research and development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2023 and 2022 the Company incurred approximately $97,000 and $220,000, respectively, in digital marketing expenses to promote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years ended December 31, 2023 and 2022 because their effect was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325,188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598,267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153,683</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1,796,739</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1,291,595</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2,403,283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1,770,466</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liabilities and results of operations of certain of authID’s subsidiaries are measured using their functional currency which is the currency of the primary foreign economic environment in which they operate. Upon consolidating these subsidiaries, the applicable assets and liabilities are translated to US dollars at currency exchange rates as of the applicable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 OTHER CURRENT ASSETS AND OTHER ASSETS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December 31, 2023 and 2022:</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184,492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244,215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working capital facility fees - current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199,156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Third Party Services</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291,512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135,405</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150,566</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476,004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729,342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assets consisted of the following at December 31, 2023 and 2022:</w:t>
            </w: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working capital facility fees - non current</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248,945</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 2023 and 2022:</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54,016</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(139,599)</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totaled $0 and $25,021 for the years ended December 31,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INTANGIBLE ASSETS, NET (OTHER THAN 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intangible assets consist of intellectual property acquired from FIN in addition to internally developed software that have been placed into service. They are amortized over their estimated useful lives as indicated below. The following is a summary of activity related to intangible assets for the years ended December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Acquired and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Patents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Useful Lives</w:t>
            </w:r>
          </w:p>
        </w:tc>
        <w:tc>
          <w:tcPr>
            <w:tcW w:w="3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5 Years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6"/>
              </w:rPr>
              <w:t>10 Years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2021</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2,238,882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140,570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2,379,452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(1,107,867)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(1,107,867)</w:t>
            </w: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(695,420)</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(16,217)</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(711,637)</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2022</w:t>
            </w:r>
          </w:p>
        </w:tc>
        <w:tc>
          <w:tcPr>
            <w:tcW w:w="3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435,595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(239,397)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(16,461)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(255,858)</w:t>
            </w:r>
          </w:p>
        </w:tc>
        <w:tc>
          <w:tcPr>
            <w:tcW w:w="0" w:type="dxa"/>
            <w:vAlign w:val="bottom"/>
          </w:tcPr>
          <w:p>
            <w:pPr>
              <w:spacing w:after="0"/>
              <w:rPr>
                <w:sz w:val="1"/>
                <w:szCs w:val="1"/>
                <w:color w:val="auto"/>
              </w:rPr>
            </w:pPr>
          </w:p>
        </w:tc>
      </w:tr>
      <w:tr>
        <w:trPr>
          <w:trHeight w:val="27"/>
        </w:trPr>
        <w:tc>
          <w:tcPr>
            <w:tcW w:w="4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2023</w:t>
            </w:r>
          </w:p>
        </w:tc>
        <w:tc>
          <w:tcPr>
            <w:tcW w:w="3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vMerge w:val="continue"/>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327,001</w:t>
            </w:r>
          </w:p>
        </w:tc>
        <w:tc>
          <w:tcPr>
            <w:tcW w:w="0" w:type="dxa"/>
            <w:vAlign w:val="bottom"/>
          </w:tcPr>
          <w:p>
            <w:pPr>
              <w:spacing w:after="0"/>
              <w:rPr>
                <w:sz w:val="1"/>
                <w:szCs w:val="1"/>
                <w:color w:val="auto"/>
              </w:rPr>
            </w:pPr>
          </w:p>
        </w:tc>
      </w:tr>
      <w:tr>
        <w:trPr>
          <w:trHeight w:val="21"/>
        </w:trPr>
        <w:tc>
          <w:tcPr>
            <w:tcW w:w="41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F-14</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as of December 31, 2023:</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Acquired and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1,734,662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(1,521,864)</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(1,572,275)</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2023</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212,798</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327,001</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as of December 31, 2022: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Acquired and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4,476,271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4,640,885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(4,040,676)</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(4,074,626)</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December 31, 2023</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435,595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566,259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is the future amortization of intangible assets for the year ended December 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173,632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16,461</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31,888</w:t>
            </w:r>
          </w:p>
        </w:tc>
        <w:tc>
          <w:tcPr>
            <w:tcW w:w="0" w:type="dxa"/>
            <w:vAlign w:val="bottom"/>
          </w:tcPr>
          <w:p>
            <w:pPr>
              <w:spacing w:after="0"/>
              <w:rPr>
                <w:sz w:val="1"/>
                <w:szCs w:val="1"/>
                <w:color w:val="auto"/>
              </w:rPr>
            </w:pPr>
          </w:p>
        </w:tc>
      </w:tr>
      <w:tr>
        <w:trPr>
          <w:trHeight w:val="262"/>
        </w:trPr>
        <w:tc>
          <w:tcPr>
            <w:tcW w:w="7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 as of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623,130</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145,837</w:t>
            </w: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361,816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385,105</w:t>
            </w:r>
          </w:p>
        </w:tc>
      </w:tr>
      <w:tr>
        <w:trPr>
          <w:trHeight w:val="27"/>
        </w:trPr>
        <w:tc>
          <w:tcPr>
            <w:tcW w:w="408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080" w:type="dxa"/>
            <w:vAlign w:val="bottom"/>
          </w:tcPr>
          <w:p>
            <w:pPr>
              <w:spacing w:after="0"/>
              <w:rPr>
                <w:sz w:val="21"/>
                <w:szCs w:val="21"/>
                <w:color w:val="auto"/>
              </w:rPr>
            </w:pPr>
          </w:p>
        </w:tc>
        <w:tc>
          <w:tcPr>
            <w:tcW w:w="4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1,408,965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1,154,072</w:t>
            </w:r>
          </w:p>
        </w:tc>
      </w:tr>
      <w:tr>
        <w:trPr>
          <w:trHeight w:val="20"/>
        </w:trPr>
        <w:tc>
          <w:tcPr>
            <w:tcW w:w="40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NOTE 6 – WORKING CAPITAL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21, 2022, the Company entered into a Facility Agreement with a current shareholder and noteholder of the Company (“Garchik”), pursuant to which the shareholder agreed to provide to the Company a $10.0 million unsecured standby line of credit facility that will rank behind the Convertible Notes (see Note 7) and may be drawn down in several tranches, subject to certain conditions described in the Facility Agreement (the “Credit Facility”). Pursuant to the Credit Facility, the Company agreed to pay a facility commitment fee of 12,500 shares of our common stock upon the effective date of the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under the Credit Facility as of December 31, 2022.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8, 2023, the Company entered into an Amended and Restated Facility Agreement (“A&amp;R Facility Agreement”) with Garchik, pursuant to which the Company and Garchik amended and restated the Original Facility Agreement in its entirety, to replace the credit facility contemplated by the Original Facility Agreement with (i) an initial credit facility to the Company in an amount of $900,000 and (ii) the parties to use their reasonable best efforts after the Initial Funding to negotiate the terms of a subsequent credit facility in the aggregate amount of $2,700,000 (the “Subsequent Funding”).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9, 2023, pursuant to the A&amp;R Facility Agreement, the Company entered into a promissory note (the “Initial Promissory Note”) in favor of Garchik, pursuant to which Garchik loaned the amount of $900,000 (the “Principal Amount”) to the Company. In connection with the Company and Garchik entering into the Initial Promissory Note, each of the principal United States based subsidiaries of the Company agreed to, for the benefit and security of Garchik, guarantee the payment and performance all of the Company’s obligations under the Initial Promissory Note and the Guaranty. The Company and Garchik also entered into the Release Agreement, pursuant to which the Company and Garchik mutually agreed to release any and all rights to make a claim against the other and any existing claims against the other arising out of or relating to the Original Facility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wrote-off approximately $373,000 of the issuance costs related to the Original Credit Facility and capitalized $426,000 issuance costs related to the A&amp;R Facility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25, 2023, the Company and Garchik agreed to cancel the Initial Promissory Note, terminate the A&amp;R Facility Agreement and Guaranty and satisfy and offset the outstanding balance of the Initial Promissory Note, plus accrued and unpaid interest in the aggregate amount of $929,250 against the purchase price of certain shares of common stock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“Shareholders’ Equity”. All remaining unamortized debt issuance costs of approximately $381,000 related to the Initial Promissory Note and the A&amp;R Facility Agreement were recorded as a loss on debt extinguishment in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7 – CONVERTIBLE NOTES PAYABLE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The Convertible Notes were sold with an aggregate cash origination fee of approximately $200,000, and we issued a total of approximately 3,562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Between May 23 and June 7, 2023, the Company entered into an exchange agreement with certain holders (“Holders”) of the Convertible Notes of the Company, pursuant to which the Company agreed to issue 2,348,347 shares of common stock to the Holders in exchange for approximately $8.9 million (or approximately $7.9 million, net of debt issuance costs and discount) of the principal amount of Holders’ Convertible Notes at a price between $3.78 and $5.80 per share (or $4.12 if the Holder is a director, officer or insider of the Company). The Company also recognized an expense on conversion of convertible notes of approximately $7.5 million, representing the market value of the additional shares issued by the Company in exchange for the Convertible Notes, above the number of shares that the Holders would have received upon conversion at the original conversion price under the Convertible Notes.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the Company solicited the consent of the Convertible Notes Holders to eliminate substantially all of the restrictive covenants and a related event of default in the Convertible Notes. The Company received consent from Holders representing over the necessary 66.67% of the outstanding principal amount under the Convertible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a holder of a Convertible Note converted the full principal amount of $50,000 and accrued interest of $406 into 1,706 shares of our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and 2022, the Company issued 103,533 and 59,981 shares of common stock for approximately $358,000 and $696,000 of interest expense, respectively. The number of shares issued to each Note Investor was based on the VWAP of the common stock as of the relevant interest payment date, as defined in the Convertible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Convertible Notes during 2022, the Company issued 17,836 common stock warrants to a broker and its representatives with an estimated grant date fair market value of approximately $449,000 which was recorded as a reduction in the carrying value of the Convertible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had a note outstanding to the Stern Trust in the amount of $662,000 that earned interest at 10% per annum. Theodore Stern, the former Trustee of the Stern Trust was formerly a director of the Company. The maturity date of the Stern Note was previously February 29, 2022 and the Stern Trust and the Company mutually agreed to extend the due date to December 31, 2022. The Stern Note was paid in full prior to 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convertible notes outstanding as of December 31, 2023 and 2022:</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9.75% convertible notes due March 31, 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9,125,205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(203,593)</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expense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(17,320)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(1,080,112)</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920" w:type="dxa"/>
            <w:vAlign w:val="bottom"/>
            <w:gridSpan w:val="2"/>
          </w:tcPr>
          <w:p>
            <w:pPr>
              <w:ind w:left="8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224,424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7,841,500</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92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F-17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Payable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23, 2023, pursuant to an Exchange Agreement, Mr. Ken Jisser, who became a director of the Company on March 9, 2023, exchanged $100,000 of Convertible Notes payable and accrued interest of $1,463 for 24,628 shares of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23, 2023, pursuant to an Exchange Agreement, Mr. Stephen J. Garchik, who is a shareholder of the Company, exchanged $1,000,000 of Convertible Notes payable and $14,625 of accrued interest for 264,831 and 3,874 shares of common stock, respectively. As a result of such exchange, the issuance of shares in satisfaction of the Credit Facility referred to below and the purchase of additional shares of common stock in May 2023, (See Note 9 “Shareholders’ Equity”), Mr. Garchik is now a holder of more than 10% of the outstanding shares of the Company’s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Common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23, 2023, Messrs. Rhoniel Daguro, CEO, Ken Jisser, Michael Thompson, members of the Company’s Board of Directors and Joseph Trelin, the Chairman of the Board, each purchased 12,500 shares of Company’s common stock at a price of $50,000.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2023, Messrs. Rhoniel Daguro, CEO and Director, and Joseph Trelin, the Chairman of the Board, each purchased 8,333 shares of the Company’s common stock at a price of $50,000. Michael Thompson, also a Director purchased 16,667 shares of Company’s common stock at a price of $100,000. Stephen Garchik, a holder of more than 10% of the outstanding shares of the Company’s common stock, purchased 166,667 shares of Company’s common stock at a price of $1,000,000.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21, 2022 the Company entered into the Original Facility Agreement with Mr. Stephen Garchik, an accredited investor, who is both a current shareholder of the Company and a Note Investor, pursuant to which Mr. Garchik agreed to provide a $10.0 million unsecured standby line of credit facility that will rank behind the Convertible Notes. Pursuant to the Original Facility Agreement, the Company agreed to pay Mr. Garchik the Facility Commitment Fee of 12,500 shares of our common stock upon the effective date of the Original Facility Agreement. Upon request by Mr. Garchik and until the full amount due under the Original Agreement is repaid in full, the Company agreed to provide for the nomination of one designee specified in writing by Garchik for appointment to our board directors and for subsequent election to our board of directors and to recommend such nominee for election to our board of directors. On April 18, 2022, Joseph Trelin, as Garchik’s designee under the Original Facility Agreement, was appointed as a member of the Board of Directors of the Company. By virtue of such right of nomination Mr. Garchik considered himself a “director by deputization”.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6 “Working Capital Facility”, the Original Facility Agreement was amended and restated effective March 8, 2023 pursuant to which amendment the amount of the facility was reduced to $3.6 million, an initial advance of $900,000 was made and subsequent advances under the A&amp;R Facility Agreement are subject to various conditions including the granting of a security interest over substantially all the Company’s assets.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25, 2023, the Company and Mr. Garchik agreed to cancel the Initial Promissory Note, terminated the A&amp;R Facility Agreement and Guaranty and satisfied and offset the outstanding balance of the Note in the principal amount of $900,000 and $29,250 accrued and unpaid interest with the purchase price of 245,634 and 7,983 shares of common stock,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Mr. Thimot will also be eligible for certain health benefits. The exercise period with respect to Mr. Thimot’s stock option to acquire 32,812 shares of common stock at an exercise price of $62.40 per share was extended through March 23, 2027. All unvested grants or other equity awards lapsed and are no longer exercisable as of the separation date.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23, 2023, the Company and Rhoniel A. Daguro, a director of the Company, entered an Offer Letter pursuant to which Mr. Daguro agreed to serve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For subsequent years, Mr. Daguro and the Compensation Committee of the Board will mutually agree as to the performance targets to be achieved, to earn the annual bonus. On April 10, 2023, the Company provided Mr. Daguro with an initial grant of options to purchase 306,875 shares of common stock at the exercise price of $3.176 per share for a period of ten years vesting subject to achievement of performance and service conditions. On June 28, 2023, the Company made an additional grant of options to Mr. Daguro to acquire 183,125 shares of common stock at the exercise price of $5.48 for a period of ten years vesting subject to achievement of performance and service conditions.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of Mr. Daguro is at will and may be terminated at any time, with or without formal cause. 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2023, the Company entered an Offer Letter with Thomas R. Szoke, a director of the Company, pursuant to which Mr. Szoke agreed to serve as Chief Technology Officer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our company achieving increments of $1,000,000 in total contract value of all customer agreements less claw backs (“Bookings”) up to an aggregate of $5,000,000 in Bookings. For subsequent years, Mr. Szoke and the Compensation Committee of the Board will mutually agree as to the performance targets to be achieved, to earn the annual bonus. 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 Additionally, on December 21, 2023, the Company granted Mr. Szoke options to acquire 5,000 shares of common stock at an exercise price of $9.25 for ten years, vesting over twelve months.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of Mr. Szoke is at will and may be terminated at any time, with or without formal cause. 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11, 2023, the Company entered a Retention Agreement with Hang Pham, pursuant to which the Company agreed to provide specified retention bonus amounts subject to certain performance conditions in the aggregate amount of up to $240,625 and to accelerate the vesting on her equity awards upon termination. This Agreement replaces the previous Executive Retention Agreement dated April 25, 2022, which was terminated and a release granted in relation thereto. Ms. Pham resigned as Chief Financial Officer effective August 15,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2023, the Company and Edward Sellitto entered an Offer Letter pursuant to which Mr. Sellitto agreed to serve as Chief Financial Officer of the Company commencing August 15, 2023 in consideration of an annual salary of $250,000. As of January 1, 2024, Mr. Sellitto’s annual salary was increased to $275,000. Mr. Sellitto will be eligible for an annual target bonus of up to 60% of base salary based on achievement of performance milestones, as Mr. Sellitto and the Compensation Committee of the Board, will mutually agree for each year. The bonus shall be pro-rated for the year 2023. At the outset of employment, Mr. Sellitto was provided with a grant of options to purchase 50,000 shares of common stock vesting subject to achievement of performance and service conditions at an exercise price of $8.87, with an exercise period of 10 years. Additionally, on December 21, 2023, the Company granted Mr. Selitto options to acquire 7,000 shares of common stock at an exercise price of $9.25 for ten years, vesting over twelve months. The employment of Mr. Sellitto will be at will and may be terminated at any time, with or without formal cause.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Messrs. Thomas Thimot, Phillip L. Kumnick, Philip R. Broenniman, Michael A. Gorriz and Ms. Neepa Patel tendered their resignations from the Board of Directors of the Company on March 9, 2023. The Board of Directors appointed Joseph Trelin to the Company’s Compensation and Audit Committees. On March 9, 2023, the Board of Directors appointed Rhon Daguro, Ken Jisser, Michael Thompson and Thomas Szoke as additional directors of the Company and reduced the size of the Board of Directors from 8 directors to 7 directors. The Company granted Messrs. Jisser, Thompson and Szoke 12,500 options each at the exercise price of $2.64 per share.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16, 2023, the Company appointed Joseph Trelin as the Chairman of the Board, Michael Koehneman as Chairman of the Governance Committee and appointed Michael Thompson to the Company’s Compensation and Governance Committees.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28, 2023, the Company granted 15,625 options each at the exercise price of $5.48 per share to Messrs. Joseph Trelin, Michael Koehneman and Ms. Jacqueline White and 3,125 options each at the exercise price of $5.48 to Messrs. Jisser and Thompson, in accordance with the Company’s compensation policy for non-employee directors. Each such option vests over a period of twelve months. Mr. Trelin retired from the Board effective February 20, 2024 and the Board vested the unvested portion of these options, amounting to 6,511 shares. See Note 1 – “Subsequent Events”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Commercial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and December 19, 2023, the Company entered into amendments to the above services agreement, pursuant to which TPG will provide certain additional services to the Company. In consideration of the services, the Company will pay TPG $98,000 per month during the remainder of the initial one-year term. During the period from June 6, 2023 through December 31, 2023 the Company paid TPG a total of $398,000. As of December 31, 2023 the Company had a balance of $84,000 in Accounts Payable related to amounts owed to TPG under the payment terms of this agreement. The foregoing is only a summary of the material terms of the agreements entered with TPG and does not purport to be a complete description of the rights and obligations of the parties thereunder. The summary of the agreement entered with TPG is qualified in its entirety by reference to the forms of such agreements, which were filed as exhibits to the Company’s Current Report and are incorporated by reference herein (See “Exhibits”).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two Directors, an affiliate of one of such Directors and one Executive Officer invested in $1.2 million of the Convertible Notes issued. See Note 7. In connection with the payment of interest on the Convertible Notes, 2,596 shares were issued to two Directors and an affiliate of one of the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Directors and one Executive Officer invested $0.2 million in the common stock offering during the year ended December 31, 2022. See Note 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21, 2022 the Company entered into a Credit Facility with an accredited investor Mr. Stephen Garchik, who is both a current shareholder of the Company and a Note Investor, pursuant to which the accredited investor agreed to provide a $10.0 million unsecured standby line of credit facility that ranked behind the Convertible Notes. Pursuant to the Credit Facility, the Company agreed to pay the Lender the Facility Commitment Fee of 12,500 shares of our common stock upon the effective date of the Facility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2022, Stuart Stoller indicated his intention to resign as Chief Financial Officer of the Company in connection with his planned retirement. The resignation and retirement were effective date of June 17, 2022 at which time Annie Pham was appointed Chief Financial Officer in his place. In connection with his retirement, the Board of Directors approved the vesting of approximately 15,278 stock options which were unvested as of June 17, 2022. Additionally, the Board of Directors approved a consulting arrangement for Mr. Stoller to provide transitional services on an as needed basis.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25, 2022, Ms. Pham and the Company entered into an Offer Letter pursuant to which Ms. Pham agreed to serve as Chief Financial Officer commencing June 20, 2022. Ms. Pham receives an annual salary of $275,000. In addition, Ms. Pham received a signing bonus in the amount of $25,000, which is fully refundable to the Company if Ms. Pham leaves her employment voluntarily or is terminated for cause prior to the first anniversary of the commencement of employment. Upon commencing employment, Ms. Pham was granted an option to acquire 43,750 shares of common stock at an exercise price of $19.28 and an exercise period of ten years subject to certain performance vesting requirements. In December 2022, Ms. Pham was granted an option to acquire 7,500 shares of common stock at an exercise price of $6.32 which will vest on December 31, 2023 with an exercise period of ten years. On May 11, 2023, the Company and Ms. Annie Pham, the CFO of the Company, entered a Retention Agreement, pursuant to which the Company agreed to provide specified retention bonus amounts subject to certain performance conditions in the aggregate amount of up to $240,625 and to accelerate the vesting on her equity awards upon termination. Mr. Pham also received one-year of medical coverage for an aggregate cost $57,715. This Agreement replaces the previous Executive Retention Agreement dated April 25, 2022, which was terminated, and a release granted in relation thereto. Ms. Pham resigned on August 15,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the Company appointed Joe Trelin as an additional independent director. The Company granted Mr. Trelin options to acquire 12,612 shares of common stock or a total of $270,000 at an exercise price of $25.04 per share for a term of ten years that vest one third per year after each Annual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the Company granted additional options to acquire 4,371 shares of common stock each at an exercise price of $24.24 per share, to each of the non-employee Directors, by way of annual compensation under the Company’s compensation policy for non-employee directors, which vest monthly over a one-year-period.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250,000,000 shares of common stock. The Company had 9,450,220 and 3,179,789 shares of common stock issued and outstanding as of December 31, 2023 and 2022, respectively. In addition, the Company is authorized to issue 20,000,000 shares of preferred stock but no shares of preferred stock have been issued.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26, 2023, the Company filed a Certificate of Amendment to its Amended and Restated Certificate of Incorporation to effect a one-for-eight (1-for-8 reverse split (the “Reverse Split”) of the shares of the Company’s common stock. The Reverse Split became effective on July 7, 2023. As a result of the Reverse Split, every eight shares of the Company’s issued and outstanding common stock automatically converted into one share of common stock, without any change in the par value per share, and began trading on a post-split basis under the Company’s existing trading symbol, “AUID”, when the market opened on July 10, 2023. The Reverse Split affected all holders of common stock uniformly and did not affect any common stockholder’s percentage ownership interest in the Company, except for de minimis changes as a result of the elimination of fractional shares. A total of 62,816,330 shares of common stock were issued and outstanding immediately prior to the Reverse Split, and 7,874,962 shares of common stock were issued and outstanding immediately after the Reverse Split. No fractional shares will be outstanding following the Reverse Split. Any holder who would have received a fractional share of common stock received an additional fraction of a share of common stock to round up their holding to the next whole share. In addition, effective as of the Reverse Split, proportionate adjustments were made to all then-outstanding options and warrants with respect to the number of shares of common stock subject to such options or warrants and the exercise prices thereof, as well as to the conversion price under the remaining Convertible Notes. The impact of this change in capital structure has been retroactively applied to all periods presented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Common Stock Transactions</w:t>
      </w:r>
    </w:p>
    <w:p>
      <w:pPr>
        <w:spacing w:after="0" w:line="227"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2023, pursuant to Securities Purchase Agreements, the Company issued 1,574,990 shares of common stock for cash gross proceeds of approximately $9.4 million (or approximately $8.6 million, net of offering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pursuant to Securities Purchase Agreements, the Company issued 1,989,676 shares of common stock for cash gross proceeds of approximately $7.3 million (or approximately $6.4 million, net of offering costs).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pursuant to a Securities Purchase Agreement, Mr. Garchik capitalized the outstanding principal balance of $900,000 under the Initial Promissory Note, into 245,634 shares of common stock,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pursuant to an exchange agreement with Holders of Convertible Notes payable, the Company issued 2,348,347 shares of common stock in exchange for Convertible Notes in the gross principal amount of approximately $8.9 million (approximately $7.9 million, net of debt issuance costs and discount). In addition, the Company recorded approximately $7.5 million of expense on conversion of convertible notes.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111,516 shares of common stock for approximately $388,000 of interest accrued under the Convertible Notes and Credit Facility. See Note 7 “Convertible Notes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option holder exercised their stock options and were issued approximately 268 shares of our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2022 Common Stock Transactions</w:t>
      </w:r>
    </w:p>
    <w:p>
      <w:pPr>
        <w:spacing w:after="0" w:line="227" w:lineRule="exact"/>
        <w:rPr>
          <w:sz w:val="20"/>
          <w:szCs w:val="20"/>
          <w:color w:val="auto"/>
        </w:rPr>
      </w:pPr>
    </w:p>
    <w:p>
      <w:pPr>
        <w:jc w:val="both"/>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132,940 shares of our common stock at prices of $24.24 per share for an outside investor and $29.60 per share for the management investors (the “PIPE”). The aggregate gross proceeds from the PIPE are approximately $3.3 million.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 total of 3,562 shares of our common stock to the Note Investors as an additional origination fee.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2022, the Company entered into a Facility Agreement with a current shareholder and noteholder of the Company, pursuant to which the shareholder agreed to provide the Company a $10.0 million unsecured standby letter of credit facility. Pursuant to the Credit Facility, the Company paid a facility commitment fee of 12,500 shares of our common stock with a fair market value of $24.24 per share upon the effective date of the Credit Facility.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the Company issued 59,980 shares of common stock for approximately $696,000 of interest related to the Convertible Notes. See Note 9 for details.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 stock option and convertible note holders exercised their respective warrants and stock options and conversion right and were issued approximately 44,152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22, 2023, in connection with their placement agent services, the Company issued 110,249 common stock warrants to Madison Global Partners, LLC, with a term of 5 years and an exercise price of $6.000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2023, in connection with their placement agent services, the Company issued 156,712 common stock warrants to Madison Global Partners, LLC, with a term of 5 years and an exercise price of $3.664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2023, in connection with certain recruitment services, the Company issued 187,500 common stock warrants to Madison III, LLC with a term of 5 years and an exercise price of $3.164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2022, the Company issued 17,837 common stock warrants in connection with Subscription Agreements and Convertible Notes referenced above with a term of five years and exercise price of $29.60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Common Stock Transaction above for a further description of the warrant issuances.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warrant activity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0"/>
        </w:trPr>
        <w:tc>
          <w:tcPr>
            <w:tcW w:w="3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45"/>
        </w:trPr>
        <w:tc>
          <w:tcPr>
            <w:tcW w:w="39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34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17,837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 Years</w:t>
            </w: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Exercised/Cancelled</w:t>
            </w:r>
          </w:p>
        </w:tc>
        <w:tc>
          <w:tcPr>
            <w:tcW w:w="4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39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December 31, 2022</w:t>
            </w:r>
          </w:p>
        </w:tc>
        <w:tc>
          <w:tcPr>
            <w:tcW w:w="34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153,683</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36.96</w:t>
            </w:r>
          </w:p>
        </w:tc>
        <w:tc>
          <w:tcPr>
            <w:tcW w:w="122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4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454,461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 Years</w:t>
            </w:r>
          </w:p>
        </w:tc>
      </w:tr>
      <w:tr>
        <w:trPr>
          <w:trHeight w:val="23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Exercised/Cancelled</w:t>
            </w:r>
          </w:p>
        </w:tc>
        <w:tc>
          <w:tcPr>
            <w:tcW w:w="34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598,267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 Years</w:t>
            </w:r>
          </w:p>
        </w:tc>
      </w:tr>
      <w:tr>
        <w:trPr>
          <w:trHeight w:val="20"/>
        </w:trPr>
        <w:tc>
          <w:tcPr>
            <w:tcW w:w="3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F-23</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adopted the authID 2017 Incentive Stock Plan, and the 2021 Equity Incentive Plan. The Company has no other stockholder approved stock incentive plans in effect as of December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2017, the shareholders of the Company approved the 2017 Incentive Stock Plan (“2017 Incentive Plan”) and on December 29, 2021, the shareholders of the Company approved the 2021 Equity Incentive Plan. (“2021 Plan”). The following is a summary of principal features of the 2017 Incentive Plan, and the 2021 Plan. The summary, however, does not purport to be a complete description of all the provisions of each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Awards granted under the plans shall be contained in an agreement between the participant and the Company and such terms shall be determined by the Compensation Committee consistent with the provisions of the applicable plan. The terms of Awards may or not require a performance condition in order to vest the equity comprised in the relevant Award. The terms of each Option granted shall be contained in a stock option agreement between the optionee and the Company and such terms shall be determined by the Compensation Committee consistent with the provisions of the applicable plan.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granted equity awards that have not been approved by security holders. On December 21, 2023 the Compensation Committee of the Company adopted an Inducement Grant Plan (the “Inducement Plan”), and allocated up to 185,000 shares of common stock of the Company to be subject to option awards under the Inducement Plan. The Inducement Plan is intended for the grant of options as an inducement to new employees entering into employment with the Company in accordance with Nasdaq Listing Rule 5635(c)(4). No options were granted under the Inducement Plan during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Stock Option Issuances</w:t>
      </w:r>
    </w:p>
    <w:p>
      <w:pPr>
        <w:spacing w:after="0" w:line="227" w:lineRule="exact"/>
        <w:rPr>
          <w:sz w:val="20"/>
          <w:szCs w:val="20"/>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granted directors a total of 78,125 options at exercise prices ranging from $2.64 to $5.48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granted a total of 614,500 options to the Chief Executive Officer, Chief Technology Officer and Chief Financial Officer at exercise prices ranging from $2.64 to $9.25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also granted a total of 100,000 options to certain new employees at exercise prices ranging from $6.13 to $9.85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2023, the Company granted 84,625 options to certain existing employees at an exercise price of $9.25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agreed to accelerate the vesting of 45,190 options for Annie Pham under her Retention Agreement with exercise prices ranging from $6.32 to $19.28 per share. These accelerated options would not otherwise have vested prior to termination of employment according to their Market and Service conditions. Therefore, the Company recalculated the fair market value of these options as of her termination date of August 15, 2023 using the Black Scholes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Option Issuances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the Company appointed Joe Trelin as an additional independent director. The Company granted Mr. Trelin options to acquire 12,612 shares of common stock or a total of $270,000 at an exercise price of $25.04 per share for a term of ten years that vest one third per year after each Annual Meeting.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Company granted additional options to acquire 4,371 shares of common stock valued at $90,000 to each to six of the non-employee Directors, by way of annual compensation under the Company’s compensation policy for non-employee directors, which vest monthly over a one-year-period.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Company granted 209,331 options to acquire common stock to employees. The options for the majority will vest annually over a one year period, 21,875 options vest monthly over a four-year period, and 21,875 performance-based and market-based options vest upon the achievement of certain market capitalization thresholds or performance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market value of the options granted during the years ended December 31, 2023 and 2022 using the Black Scholes and Monte-Carlo Method as appropriate and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1.04–5 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3.52–4.92%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2.14–3.75%</w:t>
            </w: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414"/>
        </w:trPr>
        <w:tc>
          <w:tcPr>
            <w:tcW w:w="8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Activity related to stock options for the years ended December 31, 2023, and 2022 is summarized as follows: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9"/>
                <w:szCs w:val="19"/>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Life (Yrs.)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67,488,214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248,169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12.88</w:t>
            </w: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18.56</w:t>
            </w: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(20,764)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52.96</w:t>
            </w: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tcBorders>
              <w:top w:val="single" w:sz="8" w:color="CCEEFF"/>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877,250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5.38</w:t>
            </w:r>
          </w:p>
        </w:tc>
        <w:tc>
          <w:tcPr>
            <w:tcW w:w="1380" w:type="dxa"/>
            <w:vAlign w:val="bottom"/>
            <w:gridSpan w:val="4"/>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3,576,759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w:t>
            </w: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(371,166)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52.39</w:t>
            </w: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25.20</w:t>
            </w:r>
          </w:p>
        </w:tc>
        <w:tc>
          <w:tcPr>
            <w:tcW w:w="1380" w:type="dxa"/>
            <w:vAlign w:val="bottom"/>
            <w:tcBorders>
              <w:top w:val="single" w:sz="8" w:color="CCEEFF"/>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3,630,733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December 31, 2023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1,073,349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32.86</w:t>
            </w: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1,502,214</w:t>
            </w:r>
          </w:p>
        </w:tc>
        <w:tc>
          <w:tcPr>
            <w:tcW w:w="8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 information as of December 31, 2023: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1"/>
                <w:szCs w:val="21"/>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Life (Yrs.)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16"/>
        </w:trPr>
        <w:tc>
          <w:tcPr>
            <w:tcW w:w="6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$2.64 – $5.00</w:t>
            </w: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354,375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$5.01 – $10.00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561,189</w:t>
            </w:r>
          </w:p>
        </w:tc>
        <w:tc>
          <w:tcPr>
            <w:tcW w:w="1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154,603</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 – $15.00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43,703</w:t>
            </w: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43,703</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$15.01 – $20.00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252,084</w:t>
            </w:r>
          </w:p>
        </w:tc>
        <w:tc>
          <w:tcPr>
            <w:tcW w:w="12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252,084</w:t>
            </w:r>
          </w:p>
        </w:tc>
        <w:tc>
          <w:tcPr>
            <w:tcW w:w="80" w:type="dxa"/>
            <w:vAlign w:val="bottom"/>
          </w:tcPr>
          <w:p>
            <w:pPr>
              <w:spacing w:after="0"/>
              <w:rPr>
                <w:sz w:val="18"/>
                <w:szCs w:val="18"/>
                <w:color w:val="auto"/>
              </w:rPr>
            </w:pPr>
          </w:p>
        </w:tc>
      </w:tr>
      <w:tr>
        <w:trPr>
          <w:trHeight w:val="249"/>
        </w:trPr>
        <w:tc>
          <w:tcPr>
            <w:tcW w:w="6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 – $121.28</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585,392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1,796,743</w:t>
            </w:r>
          </w:p>
        </w:tc>
        <w:tc>
          <w:tcPr>
            <w:tcW w:w="120" w:type="dxa"/>
            <w:vAlign w:val="bottom"/>
          </w:tcPr>
          <w:p>
            <w:pPr>
              <w:spacing w:after="0"/>
              <w:rPr>
                <w:sz w:val="20"/>
                <w:szCs w:val="20"/>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1,073,349</w:t>
            </w:r>
          </w:p>
        </w:tc>
        <w:tc>
          <w:tcPr>
            <w:tcW w:w="8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approximately $2.7 million of unrecognized compensation costs related to employee stock options outstanding which will be recognized in 2024 through 2026. The company will recognize forfeitures as they occur. Stock compensation expense for the years ended December 31, 2023 and 2022 was approximately $0.5 million, and $8.9 million,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(GILTI) as a current period expense when incurred.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loss before income taxes from US and Foreign sources for the years ended December 31, 2023 and 2022,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(19,417,471)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(25,424,002)</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12,356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1,208,777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(19,405,115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(24,215,225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differences between the U.S. Federal statutory tax rate and the Company’s effective tax rate for financial statement purposes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federal income tax</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deferred adjustments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credit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-21.57%</w:t>
            </w:r>
          </w:p>
        </w:tc>
      </w:tr>
      <w:tr>
        <w:trPr>
          <w:trHeight w:val="216"/>
        </w:trPr>
        <w:tc>
          <w:tcPr>
            <w:tcW w:w="86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8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liabilities as of December 31, 2023 and 2022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5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5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17,231,979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14,997,873</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7,529,725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7,450,914</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5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676,539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336,475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Basis difference in intangible and fixed assets</w:t>
            </w:r>
          </w:p>
        </w:tc>
        <w:tc>
          <w:tcPr>
            <w:tcW w:w="5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1,273,449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963,784</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5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136,961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11,203</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Accounting reserves</w:t>
            </w:r>
          </w:p>
        </w:tc>
        <w:tc>
          <w:tcPr>
            <w:tcW w:w="5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33,599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loss</w:t>
            </w:r>
          </w:p>
        </w:tc>
        <w:tc>
          <w:tcPr>
            <w:tcW w:w="5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350,418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350,526</w:t>
            </w:r>
          </w:p>
        </w:tc>
      </w:tr>
      <w:tr>
        <w:trPr>
          <w:trHeight w:val="23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(27,232,670)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(24,110,775)</w:t>
            </w:r>
          </w:p>
        </w:tc>
      </w:tr>
      <w:tr>
        <w:trPr>
          <w:trHeight w:val="223"/>
        </w:trPr>
        <w:tc>
          <w:tcPr>
            <w:tcW w:w="4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4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F-26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has available federal net operating loss carry forward of $73.6 million and state net operating loss carry forwards of $33.4 million. Federal net operating loss carryforwards of approximately $14.4 million will expire through 2037 and the balance of $59.2 million have an indefinite life. Additionally, the Company has income tax net operating loss carryforwards related to our international operations which have an indefinite life.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recoverability of its net operating loss carry forwards and other deferred tax assets and records a valuation allowance to the extent recoverability does not satisfy the “more likely than not” recognition criteria. The Company continues to maintain the valuation allowance until sufficient positive evidence exists to support full or partial reversal. As of December 31, 2023 and 2022 the Company had a valuation allowance of approximately $27.0 million and $24.1 million against its deferred tax assets, net of deferred tax liabilities, due to insufficient positive evidence, primarily consisting of losses within the taxing jurisdictions that have tax attributes and deferred tax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DISCONTINUED OPERATIONS AND ASSETS HELD FOR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authID considers it in the best interests of the Company to focus its business activities on providing biometric authentication products and services by means of our proprietary Verified platform. Accordingly, on May 4, 2022, the Board approved a plan to exit from certain non-core activities comprising the MultiPay correspondent bank, payments services in Colombia and the Cards Plus cards manufacturing and printing business in South Africa.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Cards Plus business in South Africa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Cards Plus are classified as a discontinued operation and an asset held for sale, as all required classification criteria under appropriate accounting standards were met as of June 30,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2022, the Company completed the sale of Cards Plus for a price of $300,000 of which $150,000 was received and the remaining balance of $150,000 was recorded in other current asset, less $3,272 in costs to sell, and recognized a loss of $188,247 from the transaction. While the Company and Cards Plus continue to actively pursue payment of the remaining balance, which is subject to regulatory approval, management re-evaluated the likelihood of recovery and recorded an allowance for doubtful account in the year ended December 31, 2023 related to this receivable.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MultiPay business in Colombia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exited the MultiPay business in Colombia in an orderly fashion, honoring our obligations to employees, customers and under applicable laws and regulations. We maintain our customer support and operations team in Bogota, which performs essential functions to support the global operations of our Verified platform.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all impacted employees had left the Company. MultiPay finalized the sale of the Company’s proprietary software to its major customer on June 30, 2023 for approximately $96,000 of sale consideration. The Company recorded the receivable under the sale in Other current assets, released foreign currency translation gain of approximately $155,000 and recognized a gain of $216,000 from the transaction. This receivable was collected in September 2023.</w:t>
      </w:r>
    </w:p>
    <w:p>
      <w:pPr>
        <w:sectPr>
          <w:pgSz w:w="11900" w:h="16838" w:orient="portrait"/>
          <w:cols w:equalWidth="0" w:num="1">
            <w:col w:w="11240"/>
          </w:cols>
          <w:pgMar w:left="320" w:top="877"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assets and liabilities of the MultiPay sale and the consideration received: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Carrying value of net assets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write-off</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assets write-off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consideration on disposition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Value added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50" w:lineRule="exact"/>
        <w:rPr>
          <w:sz w:val="20"/>
          <w:szCs w:val="20"/>
          <w:color w:val="auto"/>
        </w:rPr>
      </w:pPr>
    </w:p>
    <w:p>
      <w:pPr>
        <w:ind w:left="620" w:hanging="615"/>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19,528</w:t>
      </w:r>
    </w:p>
    <w:p>
      <w:pPr>
        <w:spacing w:after="0" w:line="36"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19,528</w:t>
      </w:r>
    </w:p>
    <w:p>
      <w:pPr>
        <w:spacing w:after="0" w:line="200" w:lineRule="exact"/>
        <w:rPr>
          <w:sz w:val="20"/>
          <w:szCs w:val="20"/>
          <w:color w:val="auto"/>
        </w:rPr>
      </w:pPr>
    </w:p>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95,852</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(15,304)</w:t>
      </w:r>
    </w:p>
    <w:p>
      <w:pPr>
        <w:spacing w:after="0" w:line="23"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Consideration</w:t>
            </w:r>
          </w:p>
        </w:tc>
        <w:tc>
          <w:tcPr>
            <w:tcW w:w="56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44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56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155,049</w:t>
            </w:r>
          </w:p>
        </w:tc>
        <w:tc>
          <w:tcPr>
            <w:tcW w:w="100" w:type="dxa"/>
            <w:vAlign w:val="bottom"/>
            <w:tcBorders>
              <w:bottom w:val="single" w:sz="8" w:color="CCEEFF"/>
            </w:tcBorders>
          </w:tcPr>
          <w:p>
            <w:pPr>
              <w:spacing w:after="0"/>
              <w:rPr>
                <w:sz w:val="18"/>
                <w:szCs w:val="18"/>
                <w:color w:val="auto"/>
              </w:rPr>
            </w:pPr>
          </w:p>
        </w:tc>
      </w:tr>
      <w:tr>
        <w:trPr>
          <w:trHeight w:val="25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gain on sale of a discontinued operation</w:t>
            </w:r>
          </w:p>
        </w:tc>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2"/>
          </w:tcPr>
          <w:p>
            <w:pPr>
              <w:jc w:val="right"/>
              <w:ind w:right="4450"/>
              <w:spacing w:after="0"/>
              <w:rPr>
                <w:sz w:val="20"/>
                <w:szCs w:val="20"/>
                <w:color w:val="auto"/>
              </w:rPr>
            </w:pPr>
            <w:r>
              <w:rPr>
                <w:rFonts w:ascii="Times New Roman" w:cs="Times New Roman" w:eastAsia="Times New Roman" w:hAnsi="Times New Roman"/>
                <w:sz w:val="18"/>
                <w:szCs w:val="18"/>
                <w:color w:val="auto"/>
              </w:rPr>
              <w:t>F-27</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The operations of Cards Plus and MultiPay for the years ended December 31, 2023 and 2022 on a consolidated basis are below:</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 Total Revenues, net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Impairment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from sale of discontinued operations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Income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40" w:lineRule="exact"/>
        <w:rPr>
          <w:sz w:val="20"/>
          <w:szCs w:val="20"/>
          <w:color w:val="auto"/>
        </w:rPr>
      </w:pPr>
    </w:p>
    <w:p>
      <w:pPr>
        <w:spacing w:after="0"/>
        <w:tabs>
          <w:tab w:leader="none" w:pos="620" w:val="left"/>
          <w:tab w:leader="none" w:pos="13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29,354</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1,503,333</w:t>
      </w:r>
    </w:p>
    <w:p>
      <w:pPr>
        <w:spacing w:after="0" w:line="200" w:lineRule="exact"/>
        <w:rPr>
          <w:sz w:val="20"/>
          <w:szCs w:val="20"/>
          <w:color w:val="auto"/>
        </w:rPr>
      </w:pPr>
    </w:p>
    <w:p>
      <w:pPr>
        <w:spacing w:after="0" w:line="268" w:lineRule="exact"/>
        <w:rPr>
          <w:sz w:val="20"/>
          <w:szCs w:val="20"/>
          <w:color w:val="auto"/>
        </w:rPr>
      </w:pPr>
    </w:p>
    <w:p>
      <w:pPr>
        <w:ind w:left="1860" w:hanging="791"/>
        <w:spacing w:after="0"/>
        <w:tabs>
          <w:tab w:leader="none" w:pos="18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665,269</w:t>
      </w:r>
    </w:p>
    <w:p>
      <w:pPr>
        <w:spacing w:after="0" w:line="27"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color w:val="auto"/>
        </w:rPr>
        <w:t>12,267</w:t>
      </w:r>
      <w:r>
        <w:rPr>
          <w:sz w:val="20"/>
          <w:szCs w:val="20"/>
          <w:color w:val="auto"/>
        </w:rPr>
        <w:tab/>
      </w:r>
      <w:r>
        <w:rPr>
          <w:rFonts w:ascii="Times New Roman" w:cs="Times New Roman" w:eastAsia="Times New Roman" w:hAnsi="Times New Roman"/>
          <w:sz w:val="18"/>
          <w:szCs w:val="18"/>
          <w:color w:val="auto"/>
        </w:rPr>
        <w:t>1,021,649</w:t>
      </w:r>
    </w:p>
    <w:p>
      <w:pPr>
        <w:spacing w:after="0" w:line="9" w:lineRule="exact"/>
        <w:rPr>
          <w:sz w:val="20"/>
          <w:szCs w:val="20"/>
          <w:color w:val="auto"/>
        </w:rPr>
      </w:pPr>
    </w:p>
    <w:p>
      <w:pPr>
        <w:ind w:left="1860" w:hanging="791"/>
        <w:spacing w:after="0"/>
        <w:tabs>
          <w:tab w:leader="none" w:pos="1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143,698</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8,06741,850</w:t>
      </w:r>
    </w:p>
    <w:p>
      <w:pPr>
        <w:spacing w:after="0" w:line="31"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color w:val="auto"/>
        </w:rPr>
        <w:t>20,334</w:t>
      </w:r>
      <w:r>
        <w:rPr>
          <w:sz w:val="20"/>
          <w:szCs w:val="20"/>
          <w:color w:val="auto"/>
        </w:rPr>
        <w:tab/>
      </w:r>
      <w:r>
        <w:rPr>
          <w:rFonts w:ascii="Times New Roman" w:cs="Times New Roman" w:eastAsia="Times New Roman" w:hAnsi="Times New Roman"/>
          <w:sz w:val="18"/>
          <w:szCs w:val="18"/>
          <w:color w:val="auto"/>
        </w:rPr>
        <w:t>1,872,466</w:t>
      </w:r>
    </w:p>
    <w:p>
      <w:pPr>
        <w:spacing w:after="0" w:line="252" w:lineRule="exact"/>
        <w:rPr>
          <w:sz w:val="20"/>
          <w:szCs w:val="20"/>
          <w:color w:val="auto"/>
        </w:rPr>
      </w:pPr>
    </w:p>
    <w:p>
      <w:pPr>
        <w:jc w:val="both"/>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9,020</w:t>
      </w:r>
      <w:r>
        <w:rPr>
          <w:sz w:val="20"/>
          <w:szCs w:val="20"/>
          <w:color w:val="auto"/>
        </w:rPr>
        <w:tab/>
      </w:r>
      <w:r>
        <w:rPr>
          <w:rFonts w:ascii="Times New Roman" w:cs="Times New Roman" w:eastAsia="Times New Roman" w:hAnsi="Times New Roman"/>
          <w:sz w:val="18"/>
          <w:szCs w:val="18"/>
          <w:color w:val="auto"/>
        </w:rPr>
        <w:t>(369,133)</w:t>
      </w:r>
    </w:p>
    <w:p>
      <w:pPr>
        <w:spacing w:after="0" w:line="200" w:lineRule="exact"/>
        <w:rPr>
          <w:sz w:val="20"/>
          <w:szCs w:val="20"/>
          <w:color w:val="auto"/>
        </w:rPr>
      </w:pPr>
    </w:p>
    <w:p>
      <w:pPr>
        <w:spacing w:after="0" w:line="282" w:lineRule="exact"/>
        <w:rPr>
          <w:sz w:val="20"/>
          <w:szCs w:val="20"/>
          <w:color w:val="auto"/>
        </w:rPr>
      </w:pPr>
    </w:p>
    <w:p>
      <w:pPr>
        <w:ind w:left="1960" w:hanging="891"/>
        <w:spacing w:after="0"/>
        <w:tabs>
          <w:tab w:leader="none" w:pos="1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10,161</w:t>
      </w:r>
    </w:p>
    <w:p>
      <w:pPr>
        <w:spacing w:after="0" w:line="27" w:lineRule="exact"/>
        <w:rPr>
          <w:rFonts w:ascii="Times New Roman" w:cs="Times New Roman" w:eastAsia="Times New Roman" w:hAnsi="Times New Roman"/>
          <w:sz w:val="18"/>
          <w:szCs w:val="18"/>
          <w:color w:val="auto"/>
        </w:rPr>
      </w:pPr>
    </w:p>
    <w:p>
      <w:pPr>
        <w:ind w:left="2120" w:hanging="1051"/>
        <w:spacing w:after="0"/>
        <w:tabs>
          <w:tab w:leader="none" w:pos="2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(364)</w:t>
      </w:r>
    </w:p>
    <w:p>
      <w:pPr>
        <w:spacing w:after="0" w:line="31" w:lineRule="exact"/>
        <w:rPr>
          <w:rFonts w:ascii="Times New Roman" w:cs="Times New Roman" w:eastAsia="Times New Roman" w:hAnsi="Times New Roman"/>
          <w:sz w:val="18"/>
          <w:szCs w:val="18"/>
          <w:color w:val="auto"/>
        </w:rPr>
      </w:pPr>
    </w:p>
    <w:p>
      <w:pPr>
        <w:ind w:left="2040" w:hanging="971"/>
        <w:spacing w:after="0"/>
        <w:tabs>
          <w:tab w:leader="none" w:pos="2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9,797</w:t>
      </w:r>
    </w:p>
    <w:p>
      <w:pPr>
        <w:spacing w:after="0" w:line="252" w:lineRule="exact"/>
        <w:rPr>
          <w:sz w:val="20"/>
          <w:szCs w:val="20"/>
          <w:color w:val="auto"/>
        </w:rPr>
      </w:pPr>
    </w:p>
    <w:p>
      <w:pPr>
        <w:jc w:val="both"/>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9,020</w:t>
      </w:r>
      <w:r>
        <w:rPr>
          <w:sz w:val="20"/>
          <w:szCs w:val="20"/>
          <w:color w:val="auto"/>
        </w:rPr>
        <w:tab/>
      </w:r>
      <w:r>
        <w:rPr>
          <w:rFonts w:ascii="Times New Roman" w:cs="Times New Roman" w:eastAsia="Times New Roman" w:hAnsi="Times New Roman"/>
          <w:sz w:val="18"/>
          <w:szCs w:val="18"/>
          <w:color w:val="auto"/>
        </w:rPr>
        <w:t>(359,336)</w:t>
      </w:r>
    </w:p>
    <w:p>
      <w:pPr>
        <w:spacing w:after="0" w:line="225" w:lineRule="exact"/>
        <w:rPr>
          <w:sz w:val="20"/>
          <w:szCs w:val="20"/>
          <w:color w:val="auto"/>
        </w:rPr>
      </w:pPr>
    </w:p>
    <w:p>
      <w:pPr>
        <w:jc w:val="right"/>
        <w:ind w:right="40"/>
        <w:spacing w:after="0"/>
        <w:tabs>
          <w:tab w:leader="none" w:pos="520" w:val="left"/>
        </w:tabs>
        <w:rPr>
          <w:sz w:val="20"/>
          <w:szCs w:val="20"/>
          <w:color w:val="auto"/>
        </w:rPr>
      </w:pPr>
      <w:r>
        <w:rPr>
          <w:rFonts w:ascii="Times New Roman" w:cs="Times New Roman" w:eastAsia="Times New Roman" w:hAnsi="Times New Roman"/>
          <w:sz w:val="18"/>
          <w:szCs w:val="18"/>
          <w:color w:val="auto"/>
        </w:rPr>
        <w:t>(7,496)</w:t>
      </w:r>
      <w:r>
        <w:rPr>
          <w:sz w:val="20"/>
          <w:szCs w:val="20"/>
          <w:color w:val="auto"/>
        </w:rPr>
        <w:tab/>
      </w:r>
      <w:r>
        <w:rPr>
          <w:rFonts w:ascii="Times New Roman" w:cs="Times New Roman" w:eastAsia="Times New Roman" w:hAnsi="Times New Roman"/>
          <w:sz w:val="18"/>
          <w:szCs w:val="18"/>
          <w:color w:val="auto"/>
        </w:rPr>
        <w:t>(7,327)</w:t>
      </w:r>
    </w:p>
    <w:p>
      <w:pPr>
        <w:spacing w:after="0" w:line="266" w:lineRule="exact"/>
        <w:rPr>
          <w:sz w:val="20"/>
          <w:szCs w:val="20"/>
          <w:color w:val="auto"/>
        </w:rPr>
      </w:pPr>
    </w:p>
    <w:p>
      <w:pPr>
        <w:jc w:val="both"/>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1,524</w:t>
      </w:r>
      <w:r>
        <w:rPr>
          <w:sz w:val="20"/>
          <w:szCs w:val="20"/>
          <w:color w:val="auto"/>
        </w:rPr>
        <w:tab/>
      </w:r>
      <w:r>
        <w:rPr>
          <w:rFonts w:ascii="Times New Roman" w:cs="Times New Roman" w:eastAsia="Times New Roman" w:hAnsi="Times New Roman"/>
          <w:sz w:val="18"/>
          <w:szCs w:val="18"/>
          <w:color w:val="auto"/>
        </w:rPr>
        <w:t>(366,663)</w:t>
      </w:r>
    </w:p>
    <w:p>
      <w:pPr>
        <w:spacing w:after="0" w:line="27" w:lineRule="exact"/>
        <w:rPr>
          <w:sz w:val="20"/>
          <w:szCs w:val="20"/>
          <w:color w:val="auto"/>
        </w:rPr>
      </w:pPr>
    </w:p>
    <w:p>
      <w:pPr>
        <w:jc w:val="both"/>
        <w:ind w:left="540"/>
        <w:spacing w:after="0"/>
        <w:tabs>
          <w:tab w:leader="none" w:pos="1780" w:val="left"/>
        </w:tabs>
        <w:rPr>
          <w:sz w:val="20"/>
          <w:szCs w:val="20"/>
          <w:color w:val="auto"/>
        </w:rPr>
      </w:pPr>
      <w:r>
        <w:rPr>
          <w:rFonts w:ascii="Times New Roman" w:cs="Times New Roman" w:eastAsia="Times New Roman" w:hAnsi="Times New Roman"/>
          <w:sz w:val="18"/>
          <w:szCs w:val="18"/>
          <w:color w:val="auto"/>
        </w:rPr>
        <w:t>216,069</w:t>
      </w:r>
      <w:r>
        <w:rPr>
          <w:sz w:val="20"/>
          <w:szCs w:val="20"/>
          <w:color w:val="auto"/>
        </w:rPr>
        <w:tab/>
      </w:r>
      <w:r>
        <w:rPr>
          <w:rFonts w:ascii="Times New Roman" w:cs="Times New Roman" w:eastAsia="Times New Roman" w:hAnsi="Times New Roman"/>
          <w:sz w:val="18"/>
          <w:szCs w:val="18"/>
          <w:color w:val="auto"/>
        </w:rPr>
        <w:t>(188,247)</w:t>
      </w:r>
    </w:p>
    <w:p>
      <w:pPr>
        <w:spacing w:after="0" w:line="45" w:lineRule="exact"/>
        <w:rPr>
          <w:sz w:val="20"/>
          <w:szCs w:val="20"/>
          <w:color w:val="auto"/>
        </w:rPr>
      </w:pPr>
    </w:p>
    <w:p>
      <w:pPr>
        <w:spacing w:after="0"/>
        <w:tabs>
          <w:tab w:leader="none" w:pos="520" w:val="left"/>
          <w:tab w:leader="none" w:pos="1320" w:val="left"/>
          <w:tab w:leader="none" w:pos="1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217,593</w:t>
        <w:tab/>
        <w:t>$</w:t>
      </w:r>
      <w:r>
        <w:rPr>
          <w:sz w:val="20"/>
          <w:szCs w:val="20"/>
          <w:color w:val="auto"/>
        </w:rPr>
        <w:tab/>
      </w:r>
      <w:r>
        <w:rPr>
          <w:rFonts w:ascii="Times New Roman" w:cs="Times New Roman" w:eastAsia="Times New Roman" w:hAnsi="Times New Roman"/>
          <w:sz w:val="18"/>
          <w:szCs w:val="18"/>
          <w:color w:val="auto"/>
        </w:rPr>
        <w:t>(554,910)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156019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Cards Plus</w:t>
            </w:r>
          </w:p>
        </w:tc>
        <w:tc>
          <w:tcPr>
            <w:tcW w:w="4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5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1,263,672</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4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665,269</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412,243</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loss</w:t>
            </w:r>
          </w:p>
        </w:tc>
        <w:tc>
          <w:tcPr>
            <w:tcW w:w="4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143,698</w:t>
            </w:r>
          </w:p>
        </w:tc>
        <w:tc>
          <w:tcPr>
            <w:tcW w:w="0" w:type="dxa"/>
            <w:vAlign w:val="bottom"/>
          </w:tcPr>
          <w:p>
            <w:pPr>
              <w:spacing w:after="0"/>
              <w:rPr>
                <w:sz w:val="1"/>
                <w:szCs w:val="1"/>
                <w:color w:val="auto"/>
              </w:rPr>
            </w:pPr>
          </w:p>
        </w:tc>
      </w:tr>
      <w:tr>
        <w:trPr>
          <w:trHeight w:val="250"/>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24,451</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436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1,245,661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18,011</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36"/>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4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26,566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4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21,885</w:t>
            </w:r>
          </w:p>
        </w:tc>
        <w:tc>
          <w:tcPr>
            <w:tcW w:w="0" w:type="dxa"/>
            <w:vAlign w:val="bottom"/>
          </w:tcPr>
          <w:p>
            <w:pPr>
              <w:spacing w:after="0"/>
              <w:rPr>
                <w:sz w:val="1"/>
                <w:szCs w:val="1"/>
                <w:color w:val="auto"/>
              </w:rPr>
            </w:pPr>
          </w:p>
        </w:tc>
      </w:tr>
      <w:tr>
        <w:trPr>
          <w:trHeight w:val="229"/>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sale of discontinued operations</w:t>
            </w:r>
          </w:p>
        </w:tc>
        <w:tc>
          <w:tcPr>
            <w:tcW w:w="4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(188,247)</w:t>
            </w:r>
          </w:p>
        </w:tc>
        <w:tc>
          <w:tcPr>
            <w:tcW w:w="0" w:type="dxa"/>
            <w:vAlign w:val="bottom"/>
          </w:tcPr>
          <w:p>
            <w:pPr>
              <w:spacing w:after="0"/>
              <w:rPr>
                <w:sz w:val="1"/>
                <w:szCs w:val="1"/>
                <w:color w:val="auto"/>
              </w:rPr>
            </w:pPr>
          </w:p>
        </w:tc>
      </w:tr>
      <w:tr>
        <w:trPr>
          <w:trHeight w:val="27"/>
        </w:trPr>
        <w:tc>
          <w:tcPr>
            <w:tcW w:w="43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loss from discontinued operations</w:t>
            </w:r>
          </w:p>
        </w:tc>
        <w:tc>
          <w:tcPr>
            <w:tcW w:w="43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320" w:type="dxa"/>
            <w:vAlign w:val="bottom"/>
            <w:gridSpan w:val="2"/>
            <w:vMerge w:val="continue"/>
            <w:shd w:val="clear" w:color="auto" w:fill="CCEEFF"/>
          </w:tcPr>
          <w:p>
            <w:pPr>
              <w:spacing w:after="0"/>
              <w:rPr>
                <w:sz w:val="21"/>
                <w:szCs w:val="21"/>
                <w:color w:val="auto"/>
              </w:rPr>
            </w:pPr>
          </w:p>
        </w:tc>
        <w:tc>
          <w:tcPr>
            <w:tcW w:w="5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(166,362</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right"/>
              <w:ind w:right="3690"/>
              <w:spacing w:after="0"/>
              <w:rPr>
                <w:sz w:val="20"/>
                <w:szCs w:val="20"/>
                <w:color w:val="auto"/>
              </w:rPr>
            </w:pPr>
            <w:r>
              <w:rPr>
                <w:rFonts w:ascii="Times New Roman" w:cs="Times New Roman" w:eastAsia="Times New Roman" w:hAnsi="Times New Roman"/>
                <w:sz w:val="18"/>
                <w:szCs w:val="18"/>
                <w:color w:val="auto"/>
              </w:rPr>
              <w:t>F-28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95" w:name="page96"/>
    <w:bookmarkEnd w:id="95"/>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6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MultiPay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12,267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626,805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(387,144)</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(385,902)</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(388,548)</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sale of discontinued operations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216,069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Income (Loss) from discontinued operations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217,593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(388,548</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meeting the discontinued operations/assets held for sale criteria for Cards Plus and the MultiPay operations, the assets and liabilities have been reclassified as assets held for sale as of the respective balance sheet date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5480" w:type="dxa"/>
            <w:vAlign w:val="bottom"/>
            <w:gridSpan w:val="2"/>
          </w:tcPr>
          <w:p>
            <w:pPr>
              <w:ind w:left="48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 Current Assets:</w:t>
            </w:r>
          </w:p>
        </w:tc>
        <w:tc>
          <w:tcPr>
            <w:tcW w:w="44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480" w:type="dxa"/>
            <w:vAlign w:val="bottom"/>
            <w:gridSpan w:val="2"/>
            <w:shd w:val="clear" w:color="auto" w:fill="CCEEFF"/>
          </w:tcPr>
          <w:p>
            <w:pPr>
              <w:ind w:left="4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105,194</w:t>
            </w: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10,562</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assets held for sale</w:t>
            </w:r>
          </w:p>
        </w:tc>
        <w:tc>
          <w:tcPr>
            <w:tcW w:w="442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118,459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27,595</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Noncurrent assets held for sale</w:t>
            </w:r>
          </w:p>
        </w:tc>
        <w:tc>
          <w:tcPr>
            <w:tcW w:w="442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27,595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5480" w:type="dxa"/>
            <w:vAlign w:val="bottom"/>
            <w:gridSpan w:val="2"/>
          </w:tcPr>
          <w:p>
            <w:pPr>
              <w:ind w:left="4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146,054</w:t>
            </w:r>
          </w:p>
        </w:tc>
        <w:tc>
          <w:tcPr>
            <w:tcW w:w="0" w:type="dxa"/>
            <w:vAlign w:val="bottom"/>
          </w:tcPr>
          <w:p>
            <w:pPr>
              <w:spacing w:after="0"/>
              <w:rPr>
                <w:sz w:val="1"/>
                <w:szCs w:val="1"/>
                <w:color w:val="auto"/>
              </w:rPr>
            </w:pPr>
          </w:p>
        </w:tc>
      </w:tr>
      <w:tr>
        <w:trPr>
          <w:trHeight w:val="216"/>
        </w:trPr>
        <w:tc>
          <w:tcPr>
            <w:tcW w:w="426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480" w:type="dxa"/>
            <w:vAlign w:val="bottom"/>
            <w:gridSpan w:val="2"/>
            <w:shd w:val="clear" w:color="auto" w:fill="CCEEFF"/>
          </w:tcPr>
          <w:p>
            <w:pPr>
              <w:ind w:left="4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4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5480" w:type="dxa"/>
            <w:vAlign w:val="bottom"/>
            <w:gridSpan w:val="2"/>
          </w:tcPr>
          <w:p>
            <w:pPr>
              <w:ind w:left="4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F-29</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meeting the discontinued operations/assets held for sale criteria for Cards Plus and the MultiPay operations, the cash flow activity related to discontinued operations is presented separately on the statement of cash flows as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(366,663)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with cash flows from operations: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143,698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105,194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(50,598)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170,536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(78,806)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(13,759)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(102,486)</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(36,664)</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relating to discontinued operations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from discontinued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(279,133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 Discontinued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Cards Plus – The Company recognized revenue for the design and production of cards at the point in time when products are shipped, or services have been performed due to the short-term nature of the contracts. Additionally, the cards produced by the Company have no alternative use and the Company has an enforceable right to payment for work performed should the contract be cancelled.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MultiPay recognized revenue for variable fees generated for payment processing solutions that are earned on a usage fee over time based on monthly transaction volumes or on a monthly flat fee rate. Additionally, MultiPay also sold certain equipment from time to time for which revenue is recognized upon delivery to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2021, MultiPay entered into a one-year lease for approximately $2,900 per month in Bogota, Colombia. MultiPay terminated the lease as of September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Cards Plus leased space for its operations in South Africa. The facility was rented on a month-to-month basis with monthly rent of approximately $8,000 through August 29, 2022 as the Company completed the sale of Cards Plus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employment agreements with members of the management team providing base salary amounts and provisions for stock compensation, cash bonuses and other benefits to be granted at the discretion of the Board of Directors. Additionally, certain employment agreements include provisions for base salary, bonus amounts upon meeting certain performance milestones, severance benefits for involuntary termination from a change in control or other events as defined in their respective agreements. Additionally, the vesting of certain awards could be accelerated upon a change in control (as defined) or by action of the Board of Directors.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The Company has agreed to pay Mr. Thimot $325,000 which shall be deferred until the earlier of April 1, 2025 and a change of control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Starting in fiscal year 2022 the Company adopted the new 401(k) plan where employer matches 100% of the employees contribution up to 3% of their salaries and 50% of the employee’s contribution (including both executives and other employees) between 3% and 5% of their salaries.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rented office space in Long Beach, New York at a monthly cost of $2,500 in 2022 and 2021, respectively. The agreement was month to month and could be terminated on 30 days’ notice. The lease agreement was terminated in July 2022. The agreement was between the Company and Bridgeworks LLC, an entity principally owned by Mr. Beck, our former CEO and Director and his family.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the Company signed a new lease agreement for one year and moved its headquarters to Denver, Colorado. The office monthly lease cost is approximately $1,500 per month. The Company did not renew the lease agreement after July 2023 and has no remaining lease agreements as of December 31,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expense included in general and administrative on the Consolidated Statements of Operations for the years ended December 31, 2023 and 2022 was approximately $10,000 and $25,000, respectively. Rent expense included in loss from discontinued operations on the Consolidated Statements of Operations for the years ended December 31, 2023 and 2022 was approximately $2,000 and $90,000,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and which is evaluated regularly by the chief operating decision maker (“CODM”) in deciding how to allocate resources and in assessing performance. As a result of the decision to exit the Cards Plus and Multipay businesses in May 2022, the Company only has one segment which is the verified authentication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(333-260641; No. 333-264469) and Form S-8 (333-261042; 333-262454), of the report dated March 20, 2024 included in this Annual Report on Form 10-K of authID Inc. (formerly known as Ipsidy Inc.) and Subsidiaries (the “Company”), relating to the consolidated financial statements of the Company and its subsidiaries as of and for the year ended December 31, 2023 (collectively referred to as, “Audit Report on the 2023 Form 10-K”) and inclusion therein of the Audit Report on the 2023 Form 10-K filed March 20, 2024 with the Securities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2024</w:t>
      </w:r>
    </w:p>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Rhoniel A. Daguro,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authID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7"/>
          <w:szCs w:val="17"/>
          <w:color w:val="auto"/>
        </w:rPr>
        <w:t>/s/ 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Rhoniel A. Daguro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C. Sellitto,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authID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7"/>
          <w:szCs w:val="17"/>
          <w:color w:val="auto"/>
        </w:rPr>
        <w:t>/s/ Edward C.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C. Sellitto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authID Inc. (the “Company”) on Form 10-K for the period ending December 31, 2023 as filed with the Securities and Exchange Commission on the date hereof (the “Report”), I, Rhoniel A. Daguro, Chief Executive Officer of the Company, certify, pursuant to 18 U.S.C.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7"/>
          <w:szCs w:val="17"/>
          <w:color w:val="auto"/>
        </w:rPr>
        <w:t>/s/ 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Rhoniel A. Daguro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authID Inc. (the “Company”) on Form 10-K for the period ending December 31, 2023 as filed with the Securities and Exchange Commission on the date hereof (the “Report”), I, Edward C. Sellitto, Chief Financial Officer of the Company, certify, pursuant to 18 U.S.C.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7"/>
          <w:szCs w:val="17"/>
          <w:color w:val="auto"/>
        </w:rPr>
        <w:t>/s/ Edward C.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C. Sellitto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decimal"/>
      <w:start w:val="4"/>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2"/>
    </w:lvl>
  </w:abstractNum>
  <w:abstractNum w:abstractNumId="39">
    <w:nsid w:val="684A481A"/>
    <w:multiLevelType w:val="hybridMultilevel"/>
    <w:lvl w:ilvl="0">
      <w:lvlJc w:val="left"/>
      <w:lvlText w:val="%1"/>
      <w:numFmt w:val="decimal"/>
      <w:start w:val="104"/>
    </w:lvl>
  </w:abstractNum>
  <w:abstractNum w:abstractNumId="40">
    <w:nsid w:val="579478FE"/>
    <w:multiLevelType w:val="hybridMultilevel"/>
    <w:lvl w:ilvl="0">
      <w:lvlJc w:val="left"/>
      <w:lvlText w:val="**"/>
      <w:numFmt w:val="bullet"/>
      <w:start w:val="1"/>
    </w:lvl>
    <w:lvl w:ilvl="1">
      <w:lvlJc w:val="left"/>
      <w:lvlText w:val="(%2)"/>
      <w:numFmt w:val="lowerRoman"/>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25" Type="http://schemas.openxmlformats.org/officeDocument/2006/relationships/image" Target="media/image63.png"/><Relationship Id="rId126" Type="http://schemas.openxmlformats.org/officeDocument/2006/relationships/image" Target="media/image64.png"/><Relationship Id="rId127" Type="http://schemas.openxmlformats.org/officeDocument/2006/relationships/image" Target="media/image65.png"/><Relationship Id="rId128" Type="http://schemas.openxmlformats.org/officeDocument/2006/relationships/image" Target="media/image66.png"/><Relationship Id="rId129" Type="http://schemas.openxmlformats.org/officeDocument/2006/relationships/image" Target="media/image67.png"/><Relationship Id="rId130" Type="http://schemas.openxmlformats.org/officeDocument/2006/relationships/image" Target="media/image68.png"/><Relationship Id="rId131" Type="http://schemas.openxmlformats.org/officeDocument/2006/relationships/image" Target="media/image69.png"/><Relationship Id="rId132" Type="http://schemas.openxmlformats.org/officeDocument/2006/relationships/image" Target="media/image70.png"/><Relationship Id="rId133" Type="http://schemas.openxmlformats.org/officeDocument/2006/relationships/image" Target="media/image71.png"/><Relationship Id="rId134" Type="http://schemas.openxmlformats.org/officeDocument/2006/relationships/image" Target="media/image72.png"/><Relationship Id="rId135" Type="http://schemas.openxmlformats.org/officeDocument/2006/relationships/image" Target="media/image73.png"/><Relationship Id="rId136" Type="http://schemas.openxmlformats.org/officeDocument/2006/relationships/image" Target="media/image74.png"/><Relationship Id="rId137" Type="http://schemas.openxmlformats.org/officeDocument/2006/relationships/image" Target="media/image75.png"/><Relationship Id="rId138" Type="http://schemas.openxmlformats.org/officeDocument/2006/relationships/image" Target="media/image76.png"/><Relationship Id="rId139" Type="http://schemas.openxmlformats.org/officeDocument/2006/relationships/image" Target="media/image77.png"/><Relationship Id="rId140" Type="http://schemas.openxmlformats.org/officeDocument/2006/relationships/image" Target="media/image78.png"/><Relationship Id="rId141" Type="http://schemas.openxmlformats.org/officeDocument/2006/relationships/image" Target="media/image79.png"/><Relationship Id="rId142" Type="http://schemas.openxmlformats.org/officeDocument/2006/relationships/image" Target="media/image80.png"/><Relationship Id="rId143" Type="http://schemas.openxmlformats.org/officeDocument/2006/relationships/image" Target="media/image81.png"/><Relationship Id="rId144" Type="http://schemas.openxmlformats.org/officeDocument/2006/relationships/image" Target="media/image82.png"/><Relationship Id="rId145" Type="http://schemas.openxmlformats.org/officeDocument/2006/relationships/image" Target="media/image83.png"/><Relationship Id="rId146" Type="http://schemas.openxmlformats.org/officeDocument/2006/relationships/image" Target="media/image84.png"/><Relationship Id="rId147" Type="http://schemas.openxmlformats.org/officeDocument/2006/relationships/image" Target="media/image85.png"/><Relationship Id="rId148" Type="http://schemas.openxmlformats.org/officeDocument/2006/relationships/image" Target="media/image86.png"/><Relationship Id="rId149" Type="http://schemas.openxmlformats.org/officeDocument/2006/relationships/image" Target="media/image87.png"/><Relationship Id="rId150" Type="http://schemas.openxmlformats.org/officeDocument/2006/relationships/image" Target="media/image88.png"/><Relationship Id="rId151" Type="http://schemas.openxmlformats.org/officeDocument/2006/relationships/image" Target="media/image89.png"/><Relationship Id="rId152" Type="http://schemas.openxmlformats.org/officeDocument/2006/relationships/image" Target="media/image90.png"/><Relationship Id="rId153" Type="http://schemas.openxmlformats.org/officeDocument/2006/relationships/image" Target="media/image91.png"/><Relationship Id="rId154" Type="http://schemas.openxmlformats.org/officeDocument/2006/relationships/image" Target="media/image92.png"/><Relationship Id="rId155" Type="http://schemas.openxmlformats.org/officeDocument/2006/relationships/image" Target="media/image93.png"/><Relationship Id="rId156" Type="http://schemas.openxmlformats.org/officeDocument/2006/relationships/image" Target="media/image94.png"/><Relationship Id="rId157" Type="http://schemas.openxmlformats.org/officeDocument/2006/relationships/image" Target="media/image95.png"/><Relationship Id="rId158" Type="http://schemas.openxmlformats.org/officeDocument/2006/relationships/image" Target="media/image96.png"/><Relationship Id="rId159" Type="http://schemas.openxmlformats.org/officeDocument/2006/relationships/image" Target="media/image97.png"/><Relationship Id="rId160" Type="http://schemas.openxmlformats.org/officeDocument/2006/relationships/image" Target="media/image98.png"/><Relationship Id="rId161" Type="http://schemas.openxmlformats.org/officeDocument/2006/relationships/image" Target="media/image99.png"/><Relationship Id="rId162" Type="http://schemas.openxmlformats.org/officeDocument/2006/relationships/image" Target="media/image100.png"/><Relationship Id="rId163" Type="http://schemas.openxmlformats.org/officeDocument/2006/relationships/image" Target="media/image101.png"/><Relationship Id="rId164" Type="http://schemas.openxmlformats.org/officeDocument/2006/relationships/image" Target="media/image102.png"/><Relationship Id="rId165" Type="http://schemas.openxmlformats.org/officeDocument/2006/relationships/image" Target="media/image103.png"/><Relationship Id="rId166" Type="http://schemas.openxmlformats.org/officeDocument/2006/relationships/image" Target="media/image104.png"/><Relationship Id="rId167" Type="http://schemas.openxmlformats.org/officeDocument/2006/relationships/image" Target="media/image105.png"/><Relationship Id="rId168" Type="http://schemas.openxmlformats.org/officeDocument/2006/relationships/image" Target="media/image106.png"/><Relationship Id="rId169" Type="http://schemas.openxmlformats.org/officeDocument/2006/relationships/image" Target="media/image107.png"/><Relationship Id="rId170" Type="http://schemas.openxmlformats.org/officeDocument/2006/relationships/image" Target="media/image108.png"/><Relationship Id="rId171"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74" Type="http://schemas.openxmlformats.org/officeDocument/2006/relationships/image" Target="media/image112.png"/><Relationship Id="rId175"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188" Type="http://schemas.openxmlformats.org/officeDocument/2006/relationships/image" Target="media/image126.png"/><Relationship Id="rId189" Type="http://schemas.openxmlformats.org/officeDocument/2006/relationships/image" Target="media/image127.png"/><Relationship Id="rId70" Type="http://schemas.openxmlformats.org/officeDocument/2006/relationships/hyperlink" Target="http://www.sec.gov/Archives/edgar/data/1534154/000121390021017290/ea138222ex3-1_ipsidyinc.htm" TargetMode="External"/><Relationship Id="rId71" Type="http://schemas.openxmlformats.org/officeDocument/2006/relationships/hyperlink" Target="http://www.sec.gov/Archives/edgar/data/1534154/000121390022040296/ea162935ex3-2_authid.htm" TargetMode="External"/><Relationship Id="rId72" Type="http://schemas.openxmlformats.org/officeDocument/2006/relationships/hyperlink" Target="http://www.sec.gov/Archives/edgar/data/1534154/000121390021032569/ea142763ex3-1_ipsidyinc.htm" TargetMode="External"/><Relationship Id="rId73" Type="http://schemas.openxmlformats.org/officeDocument/2006/relationships/hyperlink" Target="http://www.sec.gov/Archives/edgar/data/1534154/000121390022040296/ea162935ex3-1_authid.htm" TargetMode="External"/><Relationship Id="rId74" Type="http://schemas.openxmlformats.org/officeDocument/2006/relationships/hyperlink" Target="http://www.sec.gov/Archives/edgar/data/1534154/000121390022057553/ea166087ex3-1_authid.htm" TargetMode="External"/><Relationship Id="rId75" Type="http://schemas.openxmlformats.org/officeDocument/2006/relationships/hyperlink" Target="http://www.sec.gov/Archives/edgar/data/1534154/000121390023052128/ea180976ex3-1_authidinc.htm" TargetMode="External"/><Relationship Id="rId76" Type="http://schemas.openxmlformats.org/officeDocument/2006/relationships/hyperlink" Target="http://www.sec.gov/Archives/edgar/data/1534154/000121390021032569/ea142763ex4-1_ipsidyinc.htm" TargetMode="External"/><Relationship Id="rId77" Type="http://schemas.openxmlformats.org/officeDocument/2006/relationships/hyperlink" Target="http://www.sec.gov/Archives/edgar/data/1534154/000121390019026249/f8k121019ex4-3_ipsidy.htm" TargetMode="External"/><Relationship Id="rId78" Type="http://schemas.openxmlformats.org/officeDocument/2006/relationships/hyperlink" Target="http://www.sec.gov/Archives/edgar/data/1534154/000121390020004127/f8k021420ex4-1_ipsidyinc.htm" TargetMode="External"/><Relationship Id="rId79" Type="http://schemas.openxmlformats.org/officeDocument/2006/relationships/hyperlink" Target="http://www.sec.gov/Archives/edgar/data/1534154/000121390020004127/f8k021420ex4-2_ipsidyinc.htm" TargetMode="External"/><Relationship Id="rId80" Type="http://schemas.openxmlformats.org/officeDocument/2006/relationships/hyperlink" Target="http://www.sec.gov/Archives/edgar/data/1534154/000121390020011887/ea121728ex4-1_ipsidyinc.htm" TargetMode="External"/><Relationship Id="rId81" Type="http://schemas.openxmlformats.org/officeDocument/2006/relationships/hyperlink" Target="http://www.sec.gov/Archives/edgar/data/1534154/000121390021024897/f10q0321ex4-15_ipsidyinc.htm" TargetMode="External"/><Relationship Id="rId82" Type="http://schemas.openxmlformats.org/officeDocument/2006/relationships/hyperlink" Target="http://www.sec.gov/Archives/edgar/data/1534154/000121390023024677/f10k2022ex4-7_authidinc.htm" TargetMode="External"/><Relationship Id="rId83" Type="http://schemas.openxmlformats.org/officeDocument/2006/relationships/hyperlink" Target="http://www.sec.gov/Archives/edgar/data/1534154/000121390021032569/ea142763ex10-6_ipsidyinc.htm" TargetMode="External"/><Relationship Id="rId84" Type="http://schemas.openxmlformats.org/officeDocument/2006/relationships/hyperlink" Target="http://www.sec.gov/Archives/edgar/data/1534154/000121390021032569/ea142763ex10-5_ipsidyinc.htm" TargetMode="External"/><Relationship Id="rId85" Type="http://schemas.openxmlformats.org/officeDocument/2006/relationships/hyperlink" Target="http://www.sec.gov/Archives/edgar/data/1534154/000161577418003344/s109839_ex10-27.htm" TargetMode="External"/><Relationship Id="rId86" Type="http://schemas.openxmlformats.org/officeDocument/2006/relationships/hyperlink" Target="http://www.sec.gov/Archives/edgar/data/1534154/000121390021032569/ea142763ex10-1_ipsidyinc.htm" TargetMode="External"/><Relationship Id="rId87" Type="http://schemas.openxmlformats.org/officeDocument/2006/relationships/hyperlink" Target="http://www.sec.gov/Archives/edgar/data/1534154/000121390021032569/ea142763ex10-2_ipsidyinc.htm" TargetMode="External"/><Relationship Id="rId88" Type="http://schemas.openxmlformats.org/officeDocument/2006/relationships/hyperlink" Target="http://www.sec.gov/Archives/edgar/data/1534154/000121390021032569/ea142763ex10-3_ipsidyinc.htm" TargetMode="External"/><Relationship Id="rId89" Type="http://schemas.openxmlformats.org/officeDocument/2006/relationships/hyperlink" Target="http://www.sec.gov/Archives/edgar/data/1534154/000121390021032569/ea142763ex10-4_ipsidyinc.htm" TargetMode="External"/><Relationship Id="rId90" Type="http://schemas.openxmlformats.org/officeDocument/2006/relationships/hyperlink" Target="http://www.sec.gov/Archives/edgar/data/1534154/000121390021057337/f10q0921ex10-11_ipsidyinc.htm" TargetMode="External"/><Relationship Id="rId91" Type="http://schemas.openxmlformats.org/officeDocument/2006/relationships/hyperlink" Target="http://www.sec.gov/Archives/edgar/data/1534154/000121390021057337/f10q0921ex10-12_ipsidyinc.htm" TargetMode="External"/><Relationship Id="rId92" Type="http://schemas.openxmlformats.org/officeDocument/2006/relationships/hyperlink" Target="http://www.sec.gov/Archives/edgar/data/1534154/000121390022004803/ea154748ex4-1_ipsidyinc.htm" TargetMode="External"/><Relationship Id="rId93" Type="http://schemas.openxmlformats.org/officeDocument/2006/relationships/hyperlink" Target="http://www.sec.gov/Archives/edgar/data/1534154/000121390022014214/f10k2021ex10-14_ipsidyinc.htm" TargetMode="External"/><Relationship Id="rId94" Type="http://schemas.openxmlformats.org/officeDocument/2006/relationships/hyperlink" Target="http://www.sec.gov/Archives/edgar/data/1534154/000121390022013739/ea157152ex10-1_ipsidyinc.htm" TargetMode="External"/><Relationship Id="rId95" Type="http://schemas.openxmlformats.org/officeDocument/2006/relationships/hyperlink" Target="http://www.sec.gov/Archives/edgar/data/1534154/000121390022013739/ea157152ex10-2_ipsidyinc.htm" TargetMode="External"/><Relationship Id="rId96" Type="http://schemas.openxmlformats.org/officeDocument/2006/relationships/hyperlink" Target="http://www.sec.gov/Archives/edgar/data/1534154/000121390022013739/ea157152ex10-3_ipsidyinc.htm" TargetMode="External"/><Relationship Id="rId97" Type="http://schemas.openxmlformats.org/officeDocument/2006/relationships/hyperlink" Target="http://www.sec.gov/Archives/edgar/data/1534154/000121390022013739/ea157152ex10-5_ipsidyinc.htm" TargetMode="External"/><Relationship Id="rId98" Type="http://schemas.openxmlformats.org/officeDocument/2006/relationships/hyperlink" Target="http://www.sec.gov/Archives/edgar/data/1534154/000121390022013739/ea157152ex10-6_ipsidyinc.htm" TargetMode="External"/><Relationship Id="rId99" Type="http://schemas.openxmlformats.org/officeDocument/2006/relationships/hyperlink" Target="http://www.sec.gov/Archives/edgar/data/1534154/000121390022013739/ea157152ex10-7_ipsidyinc.htm" TargetMode="External"/><Relationship Id="rId100" Type="http://schemas.openxmlformats.org/officeDocument/2006/relationships/hyperlink" Target="http://www.sec.gov/Archives/edgar/data/1534154/000121390022020476/ea158591ex10-1_ipsidyinc.htm" TargetMode="External"/><Relationship Id="rId101" Type="http://schemas.openxmlformats.org/officeDocument/2006/relationships/hyperlink" Target="http://www.sec.gov/Archives/edgar/data/1534154/000121390022021805/ea158885ex10-1_ipsidyinc.htm" TargetMode="External"/><Relationship Id="rId102" Type="http://schemas.openxmlformats.org/officeDocument/2006/relationships/hyperlink" Target="http://www.sec.gov/Archives/edgar/data/1534154/000121390023018987/ea174977ex10-1_authid.htm" TargetMode="External"/><Relationship Id="rId103" Type="http://schemas.openxmlformats.org/officeDocument/2006/relationships/hyperlink" Target="http://www.sec.gov/Archives/edgar/data/1534154/000121390023018987/ea174977ex10-2_authid.htm" TargetMode="External"/><Relationship Id="rId104" Type="http://schemas.openxmlformats.org/officeDocument/2006/relationships/hyperlink" Target="http://www.sec.gov/Archives/edgar/data/1534154/000121390023018987/ea174977ex10-3_authid.htm" TargetMode="External"/><Relationship Id="rId105" Type="http://schemas.openxmlformats.org/officeDocument/2006/relationships/hyperlink" Target="http://www.sec.gov/Archives/edgar/data/1534154/000121390023018987/ea174977ex10-4_authid.htm" TargetMode="External"/><Relationship Id="rId106" Type="http://schemas.openxmlformats.org/officeDocument/2006/relationships/hyperlink" Target="http://www.sec.gov/Archives/edgar/data/1534154/000121390023023408/ea175837ex10-1_authid.htm" TargetMode="External"/><Relationship Id="rId107" Type="http://schemas.openxmlformats.org/officeDocument/2006/relationships/hyperlink" Target="http://www.sec.gov/Archives/edgar/data/1534154/000121390023023408/ea175837ex10-2_authid.htm" TargetMode="External"/><Relationship Id="rId108" Type="http://schemas.openxmlformats.org/officeDocument/2006/relationships/hyperlink" Target="http://www.sec.gov/Archives/edgar/data/1534154/000121390023023408/ea175837ex10-3_authid.htm" TargetMode="External"/><Relationship Id="rId109" Type="http://schemas.openxmlformats.org/officeDocument/2006/relationships/hyperlink" Target="http://www.sec.gov/Archives/edgar/data/1534154/000121390023030640/ea177091ex10-1_authid.htm" TargetMode="External"/><Relationship Id="rId110" Type="http://schemas.openxmlformats.org/officeDocument/2006/relationships/hyperlink" Target="http://www.sec.gov/Archives/edgar/data/1534154/000121390023030640/ea177091ex10-2_authid.htm" TargetMode="External"/><Relationship Id="rId111" Type="http://schemas.openxmlformats.org/officeDocument/2006/relationships/hyperlink" Target="http://www.sec.gov/Archives/edgar/data/1534154/000121390023040545/ea178743ex10-1_authid.htm" TargetMode="External"/><Relationship Id="rId112" Type="http://schemas.openxmlformats.org/officeDocument/2006/relationships/hyperlink" Target="http://www.sec.gov/Archives/edgar/data/1534154/000121390023043563/ea179371ex10-1_authidinc.htm" TargetMode="External"/><Relationship Id="rId113" Type="http://schemas.openxmlformats.org/officeDocument/2006/relationships/hyperlink" Target="http://www.sec.gov/Archives/edgar/data/1534154/000121390023043563/ea179371ex10-2_authidinc.htm" TargetMode="External"/><Relationship Id="rId114" Type="http://schemas.openxmlformats.org/officeDocument/2006/relationships/hyperlink" Target="http://www.sec.gov/Archives/edgar/data/1534154/000121390023043563/ea179371ex10-3_authidinc.htm" TargetMode="External"/><Relationship Id="rId115" Type="http://schemas.openxmlformats.org/officeDocument/2006/relationships/hyperlink" Target="http://www.sec.gov/Archives/edgar/data/1534154/000121390023043563/ea179371ex10-4_authidinc.htm" TargetMode="External"/><Relationship Id="rId116" Type="http://schemas.openxmlformats.org/officeDocument/2006/relationships/hyperlink" Target="http://www.sec.gov/Archives/edgar/data/1534154/000121390023062781/ea182763ex10-1_authidinc.htm" TargetMode="External"/><Relationship Id="rId117" Type="http://schemas.openxmlformats.org/officeDocument/2006/relationships/hyperlink" Target="http://www.sec.gov/Archives/edgar/data/1534154/000121390023081375/ea187301ex10-1_authid.htm" TargetMode="External"/><Relationship Id="rId118" Type="http://schemas.openxmlformats.org/officeDocument/2006/relationships/hyperlink" Target="https://www.sec.gov/Archives/edgar/data/1534154/000121390023090267/ea189066ex10-1_authidinc.htm" TargetMode="External"/><Relationship Id="rId119" Type="http://schemas.openxmlformats.org/officeDocument/2006/relationships/hyperlink" Target="https://www.sec.gov/Archives/edgar/data/1534154/000121390023090267/ea189066ex10-2_authidinc.htm" TargetMode="External"/><Relationship Id="rId120" Type="http://schemas.openxmlformats.org/officeDocument/2006/relationships/hyperlink" Target="https://www.sec.gov/Archives/edgar/data/1534154/000121390023090267/ea189066ex10-3_authidinc.htm" TargetMode="External"/><Relationship Id="rId121" Type="http://schemas.openxmlformats.org/officeDocument/2006/relationships/hyperlink" Target="https://www.sec.gov/Archives/edgar/data/1534154/000121390023097744/ea190517ex10-1_authidinc.htm" TargetMode="External"/><Relationship Id="rId122" Type="http://schemas.openxmlformats.org/officeDocument/2006/relationships/hyperlink" Target="https://www.sec.gov/Archives/edgar/data/1534154/000121390023084806/f10q0923ex14-1_authidinc.htm" TargetMode="External"/><Relationship Id="rId123" Type="http://schemas.openxmlformats.org/officeDocument/2006/relationships/hyperlink" Target="http://www.sec.gov/Archives/edgar/data/1534154/000121390023038588/f10q0323ex21-1_authidinc.htm" TargetMode="External"/><Relationship Id="rId124" Type="http://schemas.openxmlformats.org/officeDocument/2006/relationships/hyperlink" Target="https://www.sec.gov/Archives/edgar/data/1534154/000121390023084806/f10q0923ex99-1_authid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2024-03-20T15:22:44Z</dcterms:created>
  <dcterms:modified xsi:type="dcterms:W3CDTF">2024-03-20T15:22:44Z</dcterms:modified>
</cp:coreProperties>
</file>