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jc w:val="center"/>
        <w:ind w:left="4000" w:right="1480" w:hanging="2511"/>
        <w:spacing w:after="0" w:line="493" w:lineRule="auto"/>
        <w:tabs>
          <w:tab w:leader="none" w:pos="1691"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UNDER SECTION 13 OR 15(d) OF THE SECURITIES EXCHANGE ACT OF 1934 For the quarterly period ended June 30, 2025</w:t>
      </w: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225" w:lineRule="exact"/>
        <w:rPr>
          <w:rFonts w:ascii="MS PGothic" w:cs="MS PGothic" w:eastAsia="MS PGothic" w:hAnsi="MS PGothic"/>
          <w:sz w:val="18"/>
          <w:szCs w:val="18"/>
          <w:color w:val="auto"/>
        </w:rPr>
      </w:pPr>
    </w:p>
    <w:p>
      <w:pPr>
        <w:ind w:left="1380" w:hanging="204"/>
        <w:spacing w:after="0"/>
        <w:tabs>
          <w:tab w:leader="none" w:pos="1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25" w:lineRule="exact"/>
        <w:rPr>
          <w:sz w:val="24"/>
          <w:szCs w:val="24"/>
          <w:color w:val="auto"/>
        </w:rPr>
      </w:pPr>
    </w:p>
    <w:p>
      <w:pPr>
        <w:ind w:left="3820"/>
        <w:spacing w:after="0"/>
        <w:tabs>
          <w:tab w:leader="none" w:pos="660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001-40747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154305</wp:posOffset>
            </wp:positionV>
            <wp:extent cx="2040255" cy="15855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40255" cy="1585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authID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7680" w:type="dxa"/>
            <w:vAlign w:val="bottom"/>
            <w:gridSpan w:val="3"/>
          </w:tcPr>
          <w:p>
            <w:pPr>
              <w:jc w:val="center"/>
              <w:ind w:right="2160"/>
              <w:spacing w:after="0"/>
              <w:rPr>
                <w:sz w:val="20"/>
                <w:szCs w:val="20"/>
                <w:color w:val="auto"/>
              </w:rPr>
            </w:pPr>
            <w:r>
              <w:rPr>
                <w:rFonts w:ascii="Times New Roman" w:cs="Times New Roman" w:eastAsia="Times New Roman" w:hAnsi="Times New Roman"/>
                <w:sz w:val="18"/>
                <w:szCs w:val="18"/>
                <w:color w:val="auto"/>
                <w:w w:val="98"/>
              </w:rPr>
              <w:t>Delaware</w:t>
            </w:r>
          </w:p>
        </w:tc>
        <w:tc>
          <w:tcPr>
            <w:tcW w:w="3560" w:type="dxa"/>
            <w:vAlign w:val="bottom"/>
          </w:tcPr>
          <w:p>
            <w:pPr>
              <w:jc w:val="right"/>
              <w:ind w:right="2230"/>
              <w:spacing w:after="0"/>
              <w:rPr>
                <w:sz w:val="20"/>
                <w:szCs w:val="20"/>
                <w:color w:val="auto"/>
              </w:rPr>
            </w:pPr>
            <w:r>
              <w:rPr>
                <w:rFonts w:ascii="Times New Roman" w:cs="Times New Roman" w:eastAsia="Times New Roman" w:hAnsi="Times New Roman"/>
                <w:sz w:val="18"/>
                <w:szCs w:val="18"/>
                <w:color w:val="auto"/>
              </w:rPr>
              <w:t>46-2069547</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tcPr>
          <w:p>
            <w:pPr>
              <w:ind w:left="18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680" w:type="dxa"/>
            <w:vAlign w:val="bottom"/>
            <w:gridSpan w:val="3"/>
          </w:tcPr>
          <w:p>
            <w:pPr>
              <w:jc w:val="center"/>
              <w:ind w:right="21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color w:val="auto"/>
                <w:w w:val="99"/>
              </w:rPr>
              <w:t>1580 North Logan Street, Suite 660, Unit 51767,</w:t>
            </w:r>
          </w:p>
        </w:tc>
        <w:tc>
          <w:tcPr>
            <w:tcW w:w="3560" w:type="dxa"/>
            <w:vAlign w:val="bottom"/>
          </w:tcPr>
          <w:p>
            <w:pPr>
              <w:spacing w:after="0"/>
              <w:rPr>
                <w:sz w:val="24"/>
                <w:szCs w:val="24"/>
                <w:color w:val="auto"/>
              </w:rPr>
            </w:pPr>
          </w:p>
        </w:tc>
      </w:tr>
      <w:tr>
        <w:trPr>
          <w:trHeight w:val="216"/>
        </w:trPr>
        <w:tc>
          <w:tcPr>
            <w:tcW w:w="7680" w:type="dxa"/>
            <w:vAlign w:val="bottom"/>
            <w:gridSpan w:val="3"/>
          </w:tcPr>
          <w:p>
            <w:pPr>
              <w:jc w:val="center"/>
              <w:ind w:left="3430"/>
              <w:spacing w:after="0"/>
              <w:rPr>
                <w:sz w:val="20"/>
                <w:szCs w:val="20"/>
                <w:color w:val="auto"/>
              </w:rPr>
            </w:pPr>
            <w:r>
              <w:rPr>
                <w:rFonts w:ascii="Times New Roman" w:cs="Times New Roman" w:eastAsia="Times New Roman" w:hAnsi="Times New Roman"/>
                <w:sz w:val="18"/>
                <w:szCs w:val="18"/>
                <w:color w:val="auto"/>
                <w:w w:val="99"/>
              </w:rPr>
              <w:t>Denver, CO 80203</w:t>
            </w:r>
          </w:p>
        </w:tc>
        <w:tc>
          <w:tcPr>
            <w:tcW w:w="3560" w:type="dxa"/>
            <w:vAlign w:val="bottom"/>
          </w:tcPr>
          <w:p>
            <w:pPr>
              <w:spacing w:after="0"/>
              <w:rPr>
                <w:sz w:val="18"/>
                <w:szCs w:val="18"/>
                <w:color w:val="auto"/>
              </w:rPr>
            </w:pPr>
          </w:p>
        </w:tc>
      </w:tr>
      <w:tr>
        <w:trPr>
          <w:trHeight w:val="234"/>
        </w:trPr>
        <w:tc>
          <w:tcPr>
            <w:tcW w:w="768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color w:val="auto"/>
                <w:w w:val="99"/>
              </w:rPr>
              <w:t>(Address of principal executive offices) (zip code)</w:t>
            </w:r>
          </w:p>
        </w:tc>
        <w:tc>
          <w:tcPr>
            <w:tcW w:w="3560" w:type="dxa"/>
            <w:vAlign w:val="bottom"/>
          </w:tcPr>
          <w:p>
            <w:pPr>
              <w:spacing w:after="0"/>
              <w:rPr>
                <w:sz w:val="20"/>
                <w:szCs w:val="20"/>
                <w:color w:val="auto"/>
              </w:rPr>
            </w:pPr>
          </w:p>
        </w:tc>
      </w:tr>
      <w:tr>
        <w:trPr>
          <w:trHeight w:val="414"/>
        </w:trPr>
        <w:tc>
          <w:tcPr>
            <w:tcW w:w="768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color w:val="auto"/>
                <w:w w:val="99"/>
              </w:rPr>
              <w:t>516-274-8700</w:t>
            </w:r>
          </w:p>
        </w:tc>
        <w:tc>
          <w:tcPr>
            <w:tcW w:w="3560" w:type="dxa"/>
            <w:vAlign w:val="bottom"/>
          </w:tcPr>
          <w:p>
            <w:pPr>
              <w:spacing w:after="0"/>
              <w:rPr>
                <w:sz w:val="24"/>
                <w:szCs w:val="24"/>
                <w:color w:val="auto"/>
              </w:rPr>
            </w:pPr>
          </w:p>
        </w:tc>
      </w:tr>
      <w:tr>
        <w:trPr>
          <w:trHeight w:val="234"/>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6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6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04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center"/>
              <w:ind w:right="670"/>
              <w:spacing w:after="0"/>
              <w:rPr>
                <w:sz w:val="20"/>
                <w:szCs w:val="20"/>
                <w:color w:val="auto"/>
              </w:rPr>
            </w:pPr>
            <w:r>
              <w:rPr>
                <w:rFonts w:ascii="Times New Roman" w:cs="Times New Roman" w:eastAsia="Times New Roman" w:hAnsi="Times New Roman"/>
                <w:sz w:val="18"/>
                <w:szCs w:val="18"/>
                <w:color w:val="auto"/>
                <w:w w:val="97"/>
              </w:rPr>
              <w:t>AUID</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4"/>
          <w:szCs w:val="24"/>
          <w:color w:val="auto"/>
        </w:rPr>
      </w:pPr>
    </w:p>
    <w:p>
      <w:pPr>
        <w:ind w:left="5360" w:hanging="203"/>
        <w:spacing w:after="0" w:line="207" w:lineRule="exact"/>
        <w:tabs>
          <w:tab w:leader="none" w:pos="5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1" w:lineRule="exact"/>
        <w:rPr>
          <w:sz w:val="24"/>
          <w:szCs w:val="24"/>
          <w:color w:val="auto"/>
        </w:rPr>
      </w:pPr>
    </w:p>
    <w:p>
      <w:pPr>
        <w:ind w:left="5360" w:hanging="203"/>
        <w:spacing w:after="0" w:line="207" w:lineRule="exact"/>
        <w:tabs>
          <w:tab w:leader="none" w:pos="5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13" w:right="339" w:bottom="0"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00" w:space="720"/>
            <w:col w:w="5620"/>
          </w:cols>
          <w:pgMar w:left="320" w:top="513" w:right="339" w:bottom="0"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513"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84"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Class</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Outstanding at August 12, 2025</w:t>
            </w:r>
          </w:p>
        </w:tc>
      </w:tr>
      <w:tr>
        <w:trPr>
          <w:trHeight w:val="216"/>
        </w:trPr>
        <w:tc>
          <w:tcPr>
            <w:tcW w:w="5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13,443,740 shares</w:t>
            </w:r>
          </w:p>
        </w:tc>
      </w:tr>
      <w:tr>
        <w:trPr>
          <w:trHeight w:val="216"/>
        </w:trPr>
        <w:tc>
          <w:tcPr>
            <w:tcW w:w="55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500" w:type="dxa"/>
            <w:vAlign w:val="bottom"/>
            <w:tcBorders>
              <w:bottom w:val="single" w:sz="8" w:color="auto"/>
            </w:tcBorders>
          </w:tcPr>
          <w:p>
            <w:pPr>
              <w:spacing w:after="0"/>
              <w:rPr>
                <w:sz w:val="18"/>
                <w:szCs w:val="18"/>
                <w:color w:val="auto"/>
              </w:rPr>
            </w:pPr>
          </w:p>
        </w:tc>
      </w:tr>
      <w:tr>
        <w:trPr>
          <w:trHeight w:val="28"/>
        </w:trPr>
        <w:tc>
          <w:tcPr>
            <w:tcW w:w="5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655"/>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0" w:type="dxa"/>
            <w:vAlign w:val="bottom"/>
            <w:gridSpan w:val="10"/>
          </w:tcPr>
          <w:p>
            <w:pPr>
              <w:ind w:left="1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439"/>
        </w:trPr>
        <w:tc>
          <w:tcPr>
            <w:tcW w:w="11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8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216"/>
        </w:trPr>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0" w:type="dxa"/>
            <w:vAlign w:val="bottom"/>
            <w:gridSpan w:val="10"/>
            <w:shd w:val="clear" w:color="auto" w:fill="CCEEFF"/>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90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6"/>
        </w:trPr>
        <w:tc>
          <w:tcPr>
            <w:tcW w:w="103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 Financial Statements (unaudited)</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1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June 30, 2025 and December 31, 2024</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1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and Six Months Ended June 30, 2025 and 2024</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16"/>
        </w:trPr>
        <w:tc>
          <w:tcPr>
            <w:tcW w:w="1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Comprehensive Loss for the Three and Six Months Ended June 30, 2025 and 2024</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1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for the Three and Six Months Ended June 30, 2025 and 2024</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6"/>
        </w:trPr>
        <w:tc>
          <w:tcPr>
            <w:tcW w:w="1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Six Months Ended June 30, 2025 and 2024</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6"/>
        </w:trPr>
        <w:tc>
          <w:tcPr>
            <w:tcW w:w="1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16"/>
        </w:trPr>
        <w:tc>
          <w:tcPr>
            <w:tcW w:w="1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16"/>
        </w:trPr>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0" w:type="dxa"/>
            <w:vAlign w:val="bottom"/>
            <w:gridSpan w:val="10"/>
            <w:shd w:val="clear" w:color="auto" w:fill="CCEEFF"/>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w w:val="98"/>
              </w:rPr>
              <w:t>PART II – OTHER INFORMATION</w:t>
            </w:r>
          </w:p>
        </w:tc>
        <w:tc>
          <w:tcPr>
            <w:tcW w:w="90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6"/>
        </w:trPr>
        <w:tc>
          <w:tcPr>
            <w:tcW w:w="103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 Legal Proceedings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 Risk Factors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Defaults Upon Senior Securities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 Other Information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103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 Exhibits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0"/>
        </w:trPr>
        <w:tc>
          <w:tcPr>
            <w:tcW w:w="1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report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“plan,” “targets,” “likely,” “aim,” “will,” “would,” “could,” and similar expressions or phrases identify forward-looking statements. We have based these forward-looking statements largely on our current expectations and future events and financial trends that we believe may affect our financial condition, results of operation, business strategy and financial needs.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read thoroughly this report and the documents that we refer to herein with the understanding that our actual future results may be materially different from and/or worse than what we expect. We qualify all of our forward-looking statements by these cautionary statements including those made in this report, in Part I. Item 1A. Risk Factors also appear in our Annual Report on Form 10-K for the year ended December 31, 2024 and our other filings with the Securities and Exchange Commission. Some examples of risk factors which may affect our business are as follows:</w:t>
      </w:r>
    </w:p>
    <w:p>
      <w:pPr>
        <w:spacing w:after="0" w:line="180"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significant revenues, positive cash flow and history of losses,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 and competition;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customers for existing and new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maintain and update our technology and product and service portfolio;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party software and developers;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of network or IT security and presentation attacks;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 and additional talent;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under acceptable terms;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listing of our common stock on the Nasdaq Capital Market;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protect our intellectual property, or the loss of some of our intellectual property rights through costly litigation or administrative proceedings;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in non-US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wars in Ukraine and the Middle East;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and market volatility and the risk of securities litigation;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and government regulation;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inflation and access to capital.</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sections of this report include additional factors which could adversely impact our business and financial performance.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Except for our ongoing obligations to disclose material information under the Federal securities laws, we undertake no obligation to release publicly any revisions to any forward-looking statements, to report events or to report the occurrence of unanticipated events. These forward-looking statements speak only as of the date of this report, and you should not rely on these statements without also considering the risks and uncertainties associated with these statements and our business.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PERTINENT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specifically set forth to the contrary, when used in this report the terms “authID” the “Company,” “we,” “our,” “us,” and similar terms refer to authID Inc., a Delaware corporation and its subsidiaries.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which appears on our website www.authID.ai is not part of this report.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authID INC. AND SUBSIDIARIES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ind w:left="396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8,300,280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8,471,561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1,079,776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97,897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564,070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426,859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contract costs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697,304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617,918</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 net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833,875</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460,192</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11,475,305</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10,074,427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154,977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213,718</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4,183,232</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4,183,232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15,813,514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14,471,377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1,357,194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1,715,410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Commission liability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308,194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459,657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Severance liability</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debt,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240,884</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1,154,402</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215,237</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2,819,790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2,956,188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2,819,790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2,956,188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150,000,000 shares authorized as of June 30, 2025 and December 31, 2024;</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13,443,740 and 10,920,909 shares issued and outstanding as of June 30, 2025 and December 31, 2024</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1,344</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195,515,123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185,312,508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(182,532,775)</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(173,808,529)</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comprehensive income</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10,032</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10,118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12,993,724</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11,515,189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15,813,514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14,471,377</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authID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5"/>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9"/>
                <w:szCs w:val="19"/>
                <w:color w:val="auto"/>
              </w:rPr>
            </w:pPr>
          </w:p>
        </w:tc>
        <w:tc>
          <w:tcPr>
            <w:tcW w:w="234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59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1,444,599</w:t>
            </w: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280,438</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1,740,855</w:t>
            </w:r>
          </w:p>
        </w:tc>
        <w:tc>
          <w:tcPr>
            <w:tcW w:w="2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437,816</w:t>
            </w:r>
          </w:p>
        </w:tc>
        <w:tc>
          <w:tcPr>
            <w:tcW w:w="80" w:type="dxa"/>
            <w:vAlign w:val="bottom"/>
            <w:shd w:val="clear" w:color="auto" w:fill="CCEEFF"/>
          </w:tcPr>
          <w:p>
            <w:pPr>
              <w:spacing w:after="0"/>
              <w:rPr>
                <w:sz w:val="20"/>
                <w:szCs w:val="20"/>
                <w:color w:val="auto"/>
              </w:rPr>
            </w:pP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3,906,933</w:t>
            </w:r>
          </w:p>
        </w:tc>
        <w:tc>
          <w:tcPr>
            <w:tcW w:w="26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2,169,160</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6,552,633</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4,231,521</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1,978,871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1,392,103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3,977,534</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2,597,071</w:t>
            </w:r>
          </w:p>
        </w:tc>
        <w:tc>
          <w:tcPr>
            <w:tcW w:w="80" w:type="dxa"/>
            <w:vAlign w:val="bottom"/>
            <w:shd w:val="clear" w:color="auto" w:fill="CCEEFF"/>
          </w:tcPr>
          <w:p>
            <w:pPr>
              <w:spacing w:after="0"/>
              <w:rPr>
                <w:sz w:val="18"/>
                <w:szCs w:val="18"/>
                <w:color w:val="auto"/>
              </w:rPr>
            </w:pP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30,249</w:t>
            </w:r>
          </w:p>
        </w:tc>
        <w:tc>
          <w:tcPr>
            <w:tcW w:w="26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44,004</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60,441</w:t>
            </w:r>
          </w:p>
        </w:tc>
        <w:tc>
          <w:tcPr>
            <w:tcW w:w="280" w:type="dxa"/>
            <w:vAlign w:val="bottom"/>
          </w:tcPr>
          <w:p>
            <w:pPr>
              <w:spacing w:after="0"/>
              <w:rPr>
                <w:sz w:val="20"/>
                <w:szCs w:val="20"/>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87,412</w:t>
            </w:r>
          </w:p>
        </w:tc>
      </w:tr>
      <w:tr>
        <w:trPr>
          <w:trHeight w:val="223"/>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5,916,053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3,605,267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10,590,608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6,916,004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(4,471,454)</w:t>
            </w: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(3,324,829)</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(8,849,753)</w:t>
            </w:r>
          </w:p>
        </w:tc>
        <w:tc>
          <w:tcPr>
            <w:tcW w:w="2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(6,478,188)</w:t>
            </w: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(171)</w:t>
            </w:r>
          </w:p>
        </w:tc>
        <w:tc>
          <w:tcPr>
            <w:tcW w:w="26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(10,369)</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(12,883)</w:t>
            </w:r>
          </w:p>
        </w:tc>
        <w:tc>
          <w:tcPr>
            <w:tcW w:w="2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(23,507)</w:t>
            </w:r>
          </w:p>
        </w:tc>
      </w:tr>
      <w:tr>
        <w:trPr>
          <w:trHeight w:val="24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86,846</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73,957</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138,390</w:t>
            </w:r>
          </w:p>
        </w:tc>
        <w:tc>
          <w:tcPr>
            <w:tcW w:w="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182,877</w:t>
            </w:r>
          </w:p>
        </w:tc>
        <w:tc>
          <w:tcPr>
            <w:tcW w:w="80" w:type="dxa"/>
            <w:vAlign w:val="bottom"/>
            <w:shd w:val="clear" w:color="auto" w:fill="CCEEFF"/>
          </w:tcPr>
          <w:p>
            <w:pPr>
              <w:spacing w:after="0"/>
              <w:rPr>
                <w:sz w:val="21"/>
                <w:szCs w:val="21"/>
                <w:color w:val="auto"/>
              </w:rPr>
            </w:pPr>
          </w:p>
        </w:tc>
      </w:tr>
      <w:tr>
        <w:trPr>
          <w:trHeight w:val="210"/>
        </w:trPr>
        <w:tc>
          <w:tcPr>
            <w:tcW w:w="59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86,675</w:t>
            </w:r>
          </w:p>
        </w:tc>
        <w:tc>
          <w:tcPr>
            <w:tcW w:w="26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63,588</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125,507</w:t>
            </w:r>
          </w:p>
        </w:tc>
        <w:tc>
          <w:tcPr>
            <w:tcW w:w="2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159,370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2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(4,384,779)</w:t>
            </w:r>
          </w:p>
        </w:tc>
        <w:tc>
          <w:tcPr>
            <w:tcW w:w="26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(3,261,241)</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(8,724,246)</w:t>
            </w:r>
          </w:p>
        </w:tc>
        <w:tc>
          <w:tcPr>
            <w:tcW w:w="2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(6,318,818)</w:t>
            </w:r>
          </w:p>
        </w:tc>
      </w:tr>
      <w:tr>
        <w:trPr>
          <w:trHeight w:val="25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50"/>
        </w:trPr>
        <w:tc>
          <w:tcPr>
            <w:tcW w:w="5980" w:type="dxa"/>
            <w:vAlign w:val="bottom"/>
            <w:tcBorders>
              <w:top w:val="single" w:sz="8" w:color="CCEEFF"/>
              <w:bottom w:val="single" w:sz="8" w:color="CCEEFF"/>
            </w:tcBorders>
          </w:tcPr>
          <w:p>
            <w:pPr>
              <w:ind w:left="660"/>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(4,384,779</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(3,261,241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(8,724,246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(6,318,818</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7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(0.33)</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(0.34)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(0.72)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(0.67)</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13,222,454</w:t>
            </w:r>
          </w:p>
        </w:tc>
        <w:tc>
          <w:tcPr>
            <w:tcW w:w="26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9,501,691</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12,078,039</w:t>
            </w:r>
          </w:p>
        </w:tc>
        <w:tc>
          <w:tcPr>
            <w:tcW w:w="2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9,475,956</w:t>
            </w:r>
          </w:p>
        </w:tc>
        <w:tc>
          <w:tcPr>
            <w:tcW w:w="80" w:type="dxa"/>
            <w:vAlign w:val="bottom"/>
          </w:tcPr>
          <w:p>
            <w:pPr>
              <w:spacing w:after="0"/>
              <w:rPr>
                <w:sz w:val="20"/>
                <w:szCs w:val="20"/>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authID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gridSpan w:val="5"/>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9"/>
                <w:szCs w:val="19"/>
                <w:color w:val="auto"/>
              </w:rPr>
            </w:pPr>
          </w:p>
        </w:tc>
        <w:tc>
          <w:tcPr>
            <w:tcW w:w="2320" w:type="dxa"/>
            <w:vAlign w:val="bottom"/>
            <w:gridSpan w:val="5"/>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59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(4,384,779)</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(3,261,241)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(8,724,246)</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(6,318,818)</w:t>
            </w:r>
          </w:p>
        </w:tc>
      </w:tr>
      <w:tr>
        <w:trPr>
          <w:trHeight w:val="27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220" w:type="dxa"/>
            <w:vAlign w:val="bottom"/>
          </w:tcPr>
          <w:p>
            <w:pPr>
              <w:spacing w:after="0"/>
              <w:rPr>
                <w:sz w:val="24"/>
                <w:szCs w:val="24"/>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tcPr>
          <w:p>
            <w:pPr>
              <w:spacing w:after="0"/>
              <w:rPr>
                <w:sz w:val="24"/>
                <w:szCs w:val="24"/>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(10,594)</w:t>
            </w:r>
          </w:p>
        </w:tc>
        <w:tc>
          <w:tcPr>
            <w:tcW w:w="220" w:type="dxa"/>
            <w:vAlign w:val="bottom"/>
          </w:tcPr>
          <w:p>
            <w:pPr>
              <w:spacing w:after="0"/>
              <w:rPr>
                <w:sz w:val="24"/>
                <w:szCs w:val="24"/>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(6,516)</w:t>
            </w:r>
          </w:p>
        </w:tc>
      </w:tr>
      <w:tr>
        <w:trPr>
          <w:trHeight w:val="223"/>
        </w:trPr>
        <w:tc>
          <w:tcPr>
            <w:tcW w:w="5980" w:type="dxa"/>
            <w:vAlign w:val="bottom"/>
            <w:tcBorders>
              <w:top w:val="single" w:sz="8" w:color="CCEEFF"/>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Comprehensive loss</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(4,384,657</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(3,271,835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(8,724,332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(6,325,334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authID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700" w:type="dxa"/>
            <w:vAlign w:val="bottom"/>
            <w:gridSpan w:val="5"/>
            <w:vMerge w:val="restart"/>
          </w:tcPr>
          <w:p>
            <w:pPr>
              <w:ind w:left="6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280" w:type="dxa"/>
            <w:vAlign w:val="bottom"/>
          </w:tcPr>
          <w:p>
            <w:pPr>
              <w:spacing w:after="0"/>
              <w:rPr>
                <w:sz w:val="20"/>
                <w:szCs w:val="20"/>
                <w:color w:val="auto"/>
              </w:rPr>
            </w:pPr>
          </w:p>
        </w:tc>
        <w:tc>
          <w:tcPr>
            <w:tcW w:w="270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38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32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0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March 31, 2025</w:t>
            </w:r>
          </w:p>
        </w:tc>
        <w:tc>
          <w:tcPr>
            <w:tcW w:w="11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10,920,909</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185,766,847</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(178,147,996)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7,629,853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546,868</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546,868</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 for cash, net of</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offering costs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2,184,180</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8,464,109</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8,464,327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for severance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27,838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205,997</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206,000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Award Issuance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Award Vesting</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531,313</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531,313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Cashless warrants exercise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110,813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(4,384,779)</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(4,384,799)</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Balances, June 30, 2025</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280" w:type="dxa"/>
            <w:vAlign w:val="bottom"/>
            <w:vMerge w:val="continue"/>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13,443,740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195,515,123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(182,532,775</w:t>
            </w:r>
          </w:p>
        </w:tc>
        <w:tc>
          <w:tcPr>
            <w:tcW w:w="220" w:type="dxa"/>
            <w:vAlign w:val="bottom"/>
            <w:vMerge w:val="continue"/>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10,032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12,993,724</w:t>
            </w: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Balances, March 31, 2024</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9,450,220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173,437,683</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w w:val="98"/>
              </w:rPr>
              <w:t>$ (162,588,112)</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16,702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10,867,218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725,704</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725,704</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 for cash, net of</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offering costs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1,464,965</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10,001,252</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10,001,398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Cashless stock options exercise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5,666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(3,261,241)</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(3,261,241)</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(10,594)</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(10,594)</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Balances, June 30, 2024</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280" w:type="dxa"/>
            <w:vAlign w:val="bottom"/>
            <w:vMerge w:val="continue"/>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10,920,851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184,164,638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(165,849,353</w:t>
            </w:r>
          </w:p>
        </w:tc>
        <w:tc>
          <w:tcPr>
            <w:tcW w:w="220" w:type="dxa"/>
            <w:vAlign w:val="bottom"/>
            <w:vMerge w:val="continue"/>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6,108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18,322,485</w:t>
            </w: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Balances, December 31, 2024</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10,920,909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185,312,508</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w w:val="98"/>
              </w:rPr>
              <w:t>$ (173,808,529)</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10,118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11,515,189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1,001,207</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1,001,207</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 for cash, net of</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offering costs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2,184,180</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8,464,109</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8,464,327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for severance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27,838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205,997</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206,000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Award Issuance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Award Vesting</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531,313</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531,313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Cashless warrants exercise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110,813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(8,724,246)</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(8,724,246)</w:t>
            </w:r>
          </w:p>
        </w:tc>
        <w:tc>
          <w:tcPr>
            <w:tcW w:w="0" w:type="dxa"/>
            <w:vAlign w:val="bottom"/>
          </w:tcPr>
          <w:p>
            <w:pPr>
              <w:spacing w:after="0"/>
              <w:rPr>
                <w:sz w:val="1"/>
                <w:szCs w:val="1"/>
                <w:color w:val="auto"/>
              </w:rPr>
            </w:pP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7"/>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June 30, 2025</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13,443,740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195,515,123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(182,532,775</w:t>
            </w:r>
          </w:p>
        </w:tc>
        <w:tc>
          <w:tcPr>
            <w:tcW w:w="2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10,032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12,993,724</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2023</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9,450,220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172,714,712</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w w:val="98"/>
              </w:rPr>
              <w:t>$ (159,530,535)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12,624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13,194,746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1,448,675</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1,448,675</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 for cash, net of</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offering costs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1,464,965</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10,001,252</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10,001,398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Cashless stock options exercise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5,666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(6,318,818)</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(6,318,818)</w:t>
            </w:r>
          </w:p>
        </w:tc>
        <w:tc>
          <w:tcPr>
            <w:tcW w:w="0" w:type="dxa"/>
            <w:vAlign w:val="bottom"/>
          </w:tcPr>
          <w:p>
            <w:pPr>
              <w:spacing w:after="0"/>
              <w:rPr>
                <w:sz w:val="1"/>
                <w:szCs w:val="1"/>
                <w:color w:val="auto"/>
              </w:rPr>
            </w:pP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(6,516)</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(6,516)</w:t>
            </w:r>
          </w:p>
        </w:tc>
        <w:tc>
          <w:tcPr>
            <w:tcW w:w="0" w:type="dxa"/>
            <w:vAlign w:val="bottom"/>
          </w:tcPr>
          <w:p>
            <w:pPr>
              <w:spacing w:after="0"/>
              <w:rPr>
                <w:sz w:val="1"/>
                <w:szCs w:val="1"/>
                <w:color w:val="auto"/>
              </w:rPr>
            </w:pPr>
          </w:p>
        </w:tc>
      </w:tr>
      <w:tr>
        <w:trPr>
          <w:trHeight w:val="27"/>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June 30, 2024</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10,920,851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184,164,638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(165,849,353</w:t>
            </w:r>
          </w:p>
        </w:tc>
        <w:tc>
          <w:tcPr>
            <w:tcW w:w="2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6,108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18,322,485</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authID INC. AND SUBSIDIARIES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8680" w:type="dxa"/>
            <w:vAlign w:val="bottom"/>
          </w:tcPr>
          <w:p>
            <w:pPr>
              <w:spacing w:after="0"/>
              <w:rPr>
                <w:sz w:val="24"/>
                <w:szCs w:val="24"/>
                <w:color w:val="auto"/>
              </w:rPr>
            </w:pPr>
          </w:p>
        </w:tc>
        <w:tc>
          <w:tcPr>
            <w:tcW w:w="2560" w:type="dxa"/>
            <w:vAlign w:val="bottom"/>
            <w:gridSpan w:val="5"/>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5"/>
        </w:trPr>
        <w:tc>
          <w:tcPr>
            <w:tcW w:w="8680" w:type="dxa"/>
            <w:vAlign w:val="bottom"/>
          </w:tcPr>
          <w:p>
            <w:pPr>
              <w:spacing w:after="0"/>
              <w:rPr>
                <w:sz w:val="21"/>
                <w:szCs w:val="21"/>
                <w:color w:val="auto"/>
              </w:rPr>
            </w:pPr>
          </w:p>
        </w:tc>
        <w:tc>
          <w:tcPr>
            <w:tcW w:w="160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(8,724,246)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(6,318,818)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with cash flows from operations: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1,532,540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1,448,675</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severance expense</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206,000</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60,441</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87,412</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576,038</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debt discounts and issuance costs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4,116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8,230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(1,557,917)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(101,390)</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 assets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(137,211)</w:t>
            </w: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(201,610)</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contract costs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(79,386)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(76,973)</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(373,683)</w:t>
            </w: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(295,769)</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(683,216)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(411,552)</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Commissions liability</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(151,463)</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939,165</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112,144</w:t>
            </w: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Net cash flows from operating activities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(8,388,822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(5,749,651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Purchase of intangible assets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Proceeds from sale of common stock, net of offering costs</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Repayment of convertible notes</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of Foreign 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right"/>
        <w:ind w:right="40"/>
        <w:spacing w:after="0"/>
        <w:tabs>
          <w:tab w:leader="none" w:pos="600" w:val="left"/>
        </w:tabs>
        <w:rPr>
          <w:sz w:val="20"/>
          <w:szCs w:val="20"/>
          <w:color w:val="auto"/>
        </w:rPr>
      </w:pPr>
      <w:r>
        <w:rPr>
          <w:rFonts w:ascii="Times New Roman" w:cs="Times New Roman" w:eastAsia="Times New Roman" w:hAnsi="Times New Roman"/>
          <w:sz w:val="18"/>
          <w:szCs w:val="18"/>
          <w:color w:val="auto"/>
        </w:rPr>
        <w:t>(1,700)</w:t>
      </w:r>
      <w:r>
        <w:rPr>
          <w:sz w:val="20"/>
          <w:szCs w:val="20"/>
          <w:color w:val="auto"/>
        </w:rPr>
        <w:tab/>
      </w:r>
      <w:r>
        <w:rPr>
          <w:rFonts w:ascii="Times New Roman" w:cs="Times New Roman" w:eastAsia="Times New Roman" w:hAnsi="Times New Roman"/>
          <w:sz w:val="18"/>
          <w:szCs w:val="18"/>
          <w:color w:val="auto"/>
        </w:rPr>
        <w:t>(15,582)</w:t>
      </w:r>
    </w:p>
    <w:p>
      <w:pPr>
        <w:spacing w:after="0" w:line="41" w:lineRule="exact"/>
        <w:rPr>
          <w:sz w:val="20"/>
          <w:szCs w:val="20"/>
          <w:color w:val="auto"/>
        </w:rPr>
      </w:pPr>
    </w:p>
    <w:p>
      <w:pPr>
        <w:jc w:val="right"/>
        <w:ind w:right="40"/>
        <w:spacing w:after="0"/>
        <w:tabs>
          <w:tab w:leader="none" w:pos="600" w:val="left"/>
        </w:tabs>
        <w:rPr>
          <w:sz w:val="20"/>
          <w:szCs w:val="20"/>
          <w:color w:val="auto"/>
        </w:rPr>
      </w:pPr>
      <w:r>
        <w:rPr>
          <w:rFonts w:ascii="Times New Roman" w:cs="Times New Roman" w:eastAsia="Times New Roman" w:hAnsi="Times New Roman"/>
          <w:sz w:val="18"/>
          <w:szCs w:val="18"/>
          <w:color w:val="auto"/>
        </w:rPr>
        <w:t>(1,700)</w:t>
      </w:r>
      <w:r>
        <w:rPr>
          <w:sz w:val="20"/>
          <w:szCs w:val="20"/>
          <w:color w:val="auto"/>
        </w:rPr>
        <w:tab/>
      </w:r>
      <w:r>
        <w:rPr>
          <w:rFonts w:ascii="Times New Roman" w:cs="Times New Roman" w:eastAsia="Times New Roman" w:hAnsi="Times New Roman"/>
          <w:sz w:val="18"/>
          <w:szCs w:val="18"/>
          <w:color w:val="auto"/>
        </w:rPr>
        <w:t>(15,582)</w:t>
      </w:r>
    </w:p>
    <w:p>
      <w:pPr>
        <w:spacing w:after="0" w:line="200" w:lineRule="exact"/>
        <w:rPr>
          <w:sz w:val="20"/>
          <w:szCs w:val="20"/>
          <w:color w:val="auto"/>
        </w:rPr>
      </w:pPr>
    </w:p>
    <w:p>
      <w:pPr>
        <w:spacing w:after="0" w:line="27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color w:val="auto"/>
        </w:rPr>
        <w:t>8,464,327</w:t>
      </w:r>
      <w:r>
        <w:rPr>
          <w:sz w:val="20"/>
          <w:szCs w:val="20"/>
          <w:color w:val="auto"/>
        </w:rPr>
        <w:tab/>
      </w:r>
      <w:r>
        <w:rPr>
          <w:rFonts w:ascii="Times New Roman" w:cs="Times New Roman" w:eastAsia="Times New Roman" w:hAnsi="Times New Roman"/>
          <w:sz w:val="18"/>
          <w:szCs w:val="18"/>
          <w:color w:val="auto"/>
        </w:rPr>
        <w:t>10,001,398</w:t>
      </w:r>
    </w:p>
    <w:p>
      <w:pPr>
        <w:spacing w:after="0" w:line="27" w:lineRule="exact"/>
        <w:rPr>
          <w:sz w:val="20"/>
          <w:szCs w:val="20"/>
          <w:color w:val="auto"/>
        </w:rPr>
      </w:pPr>
    </w:p>
    <w:p>
      <w:pPr>
        <w:ind w:left="80"/>
        <w:spacing w:after="0"/>
        <w:tabs>
          <w:tab w:leader="none" w:pos="1980" w:val="left"/>
        </w:tabs>
        <w:rPr>
          <w:sz w:val="20"/>
          <w:szCs w:val="20"/>
          <w:color w:val="auto"/>
        </w:rPr>
      </w:pPr>
      <w:r>
        <w:rPr>
          <w:rFonts w:ascii="Times New Roman" w:cs="Times New Roman" w:eastAsia="Times New Roman" w:hAnsi="Times New Roman"/>
          <w:sz w:val="18"/>
          <w:szCs w:val="18"/>
          <w:color w:val="auto"/>
        </w:rPr>
        <w:t>(245,000)</w:t>
      </w:r>
      <w:r>
        <w:rPr>
          <w:sz w:val="20"/>
          <w:szCs w:val="20"/>
          <w:color w:val="auto"/>
        </w:rPr>
        <w:tab/>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color w:val="auto"/>
        </w:rPr>
        <w:t>8,219,327</w:t>
      </w:r>
      <w:r>
        <w:rPr>
          <w:sz w:val="20"/>
          <w:szCs w:val="20"/>
          <w:color w:val="auto"/>
        </w:rPr>
        <w:tab/>
      </w:r>
      <w:r>
        <w:rPr>
          <w:rFonts w:ascii="Times New Roman" w:cs="Times New Roman" w:eastAsia="Times New Roman" w:hAnsi="Times New Roman"/>
          <w:sz w:val="18"/>
          <w:szCs w:val="18"/>
          <w:color w:val="auto"/>
        </w:rPr>
        <w:t>10,001,398</w:t>
      </w:r>
    </w:p>
    <w:p>
      <w:pPr>
        <w:spacing w:after="0" w:line="252" w:lineRule="exact"/>
        <w:rPr>
          <w:sz w:val="20"/>
          <w:szCs w:val="20"/>
          <w:color w:val="auto"/>
        </w:rPr>
      </w:pPr>
    </w:p>
    <w:p>
      <w:pPr>
        <w:jc w:val="right"/>
        <w:ind w:right="40"/>
        <w:spacing w:after="0"/>
        <w:tabs>
          <w:tab w:leader="none" w:pos="52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8"/>
          <w:szCs w:val="18"/>
          <w:color w:val="auto"/>
        </w:rPr>
        <w:t>(5,871)</w:t>
      </w:r>
    </w:p>
    <w:p>
      <w:pPr>
        <w:spacing w:after="0" w:line="200" w:lineRule="exact"/>
        <w:rPr>
          <w:sz w:val="20"/>
          <w:szCs w:val="20"/>
          <w:color w:val="auto"/>
        </w:rPr>
      </w:pPr>
    </w:p>
    <w:p>
      <w:pPr>
        <w:sectPr>
          <w:pgSz w:w="11900" w:h="16838" w:orient="portrait"/>
          <w:cols w:equalWidth="0" w:num="2">
            <w:col w:w="8360" w:space="720"/>
            <w:col w:w="2160"/>
          </w:cols>
          <w:pgMar w:left="320" w:top="873" w:right="339" w:bottom="1440" w:gutter="0" w:footer="0" w:header="0"/>
          <w:type w:val="continuous"/>
        </w:sectPr>
      </w:pP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(171,281)</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4,230,294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the Period</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8,471,561</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10,177,099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End of the Period</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8,300,280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14,407,393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10,370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Warrants issued as offering costs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Cashless option and warrant exercises</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438,000</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authID INC. AND SUBSIDIARIES</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opinion of Management, the accompanying condensed consolidated financial statements are prepared in accordance with instructions for Form 10-Q, include all adjustments (consisting only of normal recurring accruals) which we considered as necessary for a fair presentation of the results for the periods presented. Certain information and footnote disclosures normally included in the consolidated financial statements prepared in accordance with accounting principles generally accepted in the United States of America have been condensed or omitted. It is suggested that these condensed consolidated financial statements be read in conjunction with the Company’s Annual Report on Form 10-K for the year ended December 31, 2024. The results of operations for the six months ended June 30, 2025 are not necessarily indicative of the results to be expected for future periods or the full year.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authID Inc. and its wholly-owned subsidiaries MultiPay S.A.S. (dissolved as of August 2, 2024), ID Solutions, Inc., FIN Holdings Inc., Ipsidy Enterprises Limited, and authID Gaming Inc. (collectively the “Company”). All significant intercompany balances and transactions have been eliminated in consolidation.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the Company had an accumulated deficit of approximately $182.5 million. For the six months ended June 30, 2025, the Company earned revenue of approximately $1.7 million, used approximately $8.4 million to fund its operations, and incurred a net loss of approximately $8.7 million.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continuation of the Company as a going concern is dependent upon financial support from the Company’s stockholders, the ability of the Company to obtain additional debt or equity financing to continue operations, the Company’s ability to generate sufficient cash flows from operations, successfully locating and negotiating with other business entities for potential acquisition and acquiring new clients to generate revenues and cash flows. In April and May 2025, the Company raised a total of approximately $8.5 million after expenses from existing and new stockholders through the sale of Common Stock pursuant to registered direct offerings. Going forward, the Company plans to raise additional funds to support its operations and investments as it seeks to create a sustainable organization. Our growth-oriented business plan to offer products to our customers will require continued capital investment and there is no guarantee that such financing will be available, or available on acceptable terms.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no assurance that the Company will ever be profitable. These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As there can be no assurance that the Company will be able to achieve positive cash flows (become cash flow positive) and raise sufficient capital to maintain operations, there is substantial doubt about the Company’s ability to continue as a going concern.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per Common Share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computes net loss per share in accordance with FASB ASC 260, “Earnings per Share”. ASC 260 requires presentation of both basic and diluted earnings per share (“EPS”) on the face of the statement of operations. Basic EPS is computed by dividing net loss available to common shareholders by the weighted average number of common shares outstanding during the period. Diluted EPS gives effect to all dilutive potential common shares outstanding during the period including stock options, using the treasury stock method, and convertible notes and stock warrants, using the if-converted method. In computing diluted EPS, the average stock price for the period is used in determining the number of shares assumed to be purchased from the exercise of stock options, warrants and conversion of convertible notes. Diluted EPS excludes all potential dilutive common shares if their effect is anti-dilutive. The following potentially dilutive securities were excluded from the calculation of diluted loss per share for the three and six months ended June 30, 2025 and 2024 because their effect was antidilutive: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60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40" w:type="dxa"/>
            <w:vAlign w:val="bottom"/>
            <w:tcBorders>
              <w:top w:val="single" w:sz="8" w:color="auto"/>
            </w:tcBorders>
          </w:tcPr>
          <w:p>
            <w:pPr>
              <w:spacing w:after="0"/>
              <w:rPr>
                <w:sz w:val="18"/>
                <w:szCs w:val="18"/>
                <w:color w:val="auto"/>
              </w:rPr>
            </w:pPr>
          </w:p>
        </w:tc>
        <w:tc>
          <w:tcPr>
            <w:tcW w:w="4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payable</w:t>
            </w:r>
          </w:p>
        </w:tc>
        <w:tc>
          <w:tcPr>
            <w:tcW w:w="62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8,277</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62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719,965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697,446</w:t>
            </w:r>
          </w:p>
        </w:tc>
        <w:tc>
          <w:tcPr>
            <w:tcW w:w="0" w:type="dxa"/>
            <w:vAlign w:val="bottom"/>
          </w:tcPr>
          <w:p>
            <w:pPr>
              <w:spacing w:after="0"/>
              <w:rPr>
                <w:sz w:val="1"/>
                <w:szCs w:val="1"/>
                <w:color w:val="auto"/>
              </w:rPr>
            </w:pPr>
          </w:p>
        </w:tc>
      </w:tr>
      <w:tr>
        <w:trPr>
          <w:trHeight w:val="25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62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2,249,454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1,852,819</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tcPr>
          <w:p>
            <w:pPr>
              <w:spacing w:after="0"/>
              <w:rPr>
                <w:sz w:val="18"/>
                <w:szCs w:val="18"/>
                <w:color w:val="auto"/>
              </w:rPr>
            </w:pPr>
          </w:p>
        </w:tc>
        <w:tc>
          <w:tcPr>
            <w:tcW w:w="4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2,969,419</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2,558,542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4820" w:type="dxa"/>
            <w:vAlign w:val="bottom"/>
            <w:vMerge w:val="restart"/>
          </w:tcPr>
          <w:p>
            <w:pPr>
              <w:jc w:val="right"/>
              <w:ind w:right="281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74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net is defined as gross revenues, less discounts and sales concessions.</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Software License </w:t>
      </w:r>
      <w:r>
        <w:rPr>
          <w:rFonts w:ascii="Times New Roman" w:cs="Times New Roman" w:eastAsia="Times New Roman" w:hAnsi="Times New Roman"/>
          <w:sz w:val="18"/>
          <w:szCs w:val="18"/>
          <w:color w:val="auto"/>
        </w:rPr>
        <w:t>– The Company recognizes revenue based on the identified performance obligations over the performance period for fixed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 or variable fees generated. Variable fees are typically earned over time based on monthly users, transaction volumes or a monthly flat fee rate. We allocate the selling price in a contract which has multiple performance obligations based on the contract selling price that we believe represents a fair market price for the service rendered based on estimated standalone selling price. Transaction fees are billed monthly and are constrained to transactions incurred within the month.</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contracts with minimum annual fees, the Company generally recognizes the amount of revenue ratably over the contract year and records contract assets for the amount in excess of monthly contract billings relating to variable contract consideration. For certain contracts, the Company enters into an agreement which stipulates a minimum annual fee which is generally due at the end of the contract year, in excess of the amount of monthly billings. The Company may also require milestone payments of the minimum annual fee. The amount of any billed fees in excess of revenue recognized is recorded as deferred revenue. The company accounts for any price concessions granted to a customer as reductions to consideration under each respective contract and subsequently recognizes revenue up to the amount of the revised consideration after the concession is provided.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usage-based fees in excess of the minimum contract amount are charged to the customer and allocated to the annual period in which they are earned under the contract. At the beginning of each annual period in the contract, the Company estimates the variable amounts for the annual period subject to the constrained variable consideration (usage-based fees) and recognizes that amount on a time-elapsed basis over the annual period. At each reporting date within an annual period, the Company reassesses its estimate of the excess variable amounts for the annual period and updates the amount recognized on a time-elapsed basis over the remainder of the annual period.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deferred revenue contract liabilities of approximately $1.15 million and $0.22 million as of June 30, 2025 and December 31, 2024, respectively, for certain revenue that will be earned in future periods. All deferred revenue contract liabilities as of June 30, 2025 are expected to be earned over the next twelve months.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30, 2025, the Company’s Remaining Performance Obligation (RPO) was $13.77 million, of which $1.15 million is held as deferred revenue and $12.62 million is related to other non-cancellable contracted amounts. The Company expects approximately 39% of the RPO to be recognized as revenue over the next twelve months ending June 30, 2026 based on contractual commitments and expected usage patterns. However, the amount and timing of revenue recognition are generally dependent upon customers’ future consumption, which is inherently variable at customers’ discretion. Furthermore, the Company does not have sufficient historical information to estimate the recognition of revenue due to its current operations and has approximated such amount based on discussions with the contracted parties.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Contract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customers are granted credit on a short-term basis. Accounts receivable, net is stated net of the allowance for credit losses.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maintains an allowance for its doubtful accounts receivable for estimated credit losses. This allowance is based upon historical loss patterns, the number of days that billings are past due, and evaluation of the potential risk of loss associated with delinquent accounts, current market conditions and reasonable and supportable forecasts of future billable product usage compared with contracted minimums. The Company records the allowance against bad debt expense through the condensed consolidated statement of operations, included in general and administrative expense, up to the amount of revenue recognized to date. Any incremental allowance is recorded as an offset to unearned revenue on the condensed consolidated balance sheet. Receivables are written off and charged against recorded allowance when the Company has exhausted collection efforts without success.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its accounts receivable and contract assets balances using the Current Expected Credit Loss (“CECL”) model in accordance with ASC 326. The Company routinely reviews its accounts receivables and uses a risk-based probability-weighted approach to record provisions. However, those provisions are estimates and actual results could differ from those estimates, and those differences may be material.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Changes in the allowance for credit losses are as follows:</w:t>
      </w:r>
    </w:p>
    <w:p>
      <w:pPr>
        <w:spacing w:after="0" w:line="221"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7"/>
          <w:szCs w:val="17"/>
          <w:b w:val="1"/>
          <w:bCs w:val="1"/>
          <w:color w:val="auto"/>
        </w:rPr>
        <w:t>June 30,</w:t>
      </w:r>
    </w:p>
    <w:p>
      <w:pPr>
        <w:spacing w:after="0" w:line="43"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14605</wp:posOffset>
            </wp:positionV>
            <wp:extent cx="70294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expected credit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Write-offs, net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June 30, 2025</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Risks</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520" w:hanging="515"/>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149,720</w:t>
      </w:r>
    </w:p>
    <w:p>
      <w:pPr>
        <w:spacing w:after="0" w:line="2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769,214</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(193,176)</w:t>
      </w:r>
    </w:p>
    <w:p>
      <w:pPr>
        <w:spacing w:after="0" w:line="31" w:lineRule="exact"/>
        <w:rPr>
          <w:sz w:val="20"/>
          <w:szCs w:val="20"/>
          <w:color w:val="auto"/>
        </w:rPr>
      </w:pPr>
    </w:p>
    <w:p>
      <w:pPr>
        <w:ind w:left="520" w:hanging="515"/>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725,758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697" w:lineRule="exact"/>
        <w:rPr>
          <w:sz w:val="20"/>
          <w:szCs w:val="20"/>
          <w:color w:val="auto"/>
        </w:rPr>
      </w:pPr>
    </w:p>
    <w:p>
      <w:pPr>
        <w:sectPr>
          <w:pgSz w:w="11900" w:h="16838" w:orient="portrait"/>
          <w:cols w:equalWidth="0" w:num="2">
            <w:col w:w="9300" w:space="720"/>
            <w:col w:w="1220"/>
          </w:cols>
          <w:pgMar w:left="320" w:top="877" w:right="339" w:bottom="1440" w:gutter="0" w:footer="0" w:header="0"/>
          <w:type w:val="continuous"/>
        </w:sectPr>
      </w:pPr>
    </w:p>
    <w:p>
      <w:pPr>
        <w:spacing w:after="0" w:line="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that are exposed to concentration of credit risks consist primarily of cash and accounts receivable. The Company’s cash at times may exceed the Federal Depository Insurance coverage of $250,000.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one customer accounted for 92% of the Company’s gross accounts receivable. As of December 31, 2024, two customers accounted for 39% of the Company’s accounts receivable.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2025, two customers represented 73%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June 30, 2025, one customer represented 76%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2024, two customers represented 59%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June 30, 2024, three customers represented 76%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two customers accounted for 78% of the Company’s Remaining Performance Obligation.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one customer accounted for 67% of the Company’s Remaining Performance Obligation.</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Deferred Contract Costs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defer the portion of sales commission that is considered a cost of obtaining a new contract with a customer and amortize these deferred costs over the period of benefit. We expense the remaining sales commissions as incurred. Reversals recorded in the six months ended June 30, 2025 reflect commission claw-backs for certain bookings that were adjusted in the quarter, per our corporate policy. The following table summarizes deferred contract cost activity for the six months ended June 30,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Deferred</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1"/>
                <w:szCs w:val="21"/>
                <w:color w:val="auto"/>
              </w:rPr>
            </w:pPr>
          </w:p>
        </w:tc>
        <w:tc>
          <w:tcPr>
            <w:tcW w:w="5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 at December 31, 2024</w:t>
            </w:r>
          </w:p>
        </w:tc>
        <w:tc>
          <w:tcPr>
            <w:tcW w:w="6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617,918</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117,000</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w:t>
            </w:r>
          </w:p>
        </w:tc>
        <w:tc>
          <w:tcPr>
            <w:tcW w:w="5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(4,191)</w:t>
            </w: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5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(33,423)</w:t>
            </w: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 at June 30, 2025</w:t>
            </w:r>
          </w:p>
        </w:tc>
        <w:tc>
          <w:tcPr>
            <w:tcW w:w="58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697,304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5860" w:type="dxa"/>
            <w:vAlign w:val="bottom"/>
            <w:vMerge w:val="restart"/>
          </w:tcPr>
          <w:p>
            <w:pPr>
              <w:jc w:val="right"/>
              <w:ind w:right="427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1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type w:val="continuous"/>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 – OTHER CURRENT ASSETS</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 consisted of the following at June 30, 2025 and December 31, 2024:</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3"/>
        </w:trPr>
        <w:tc>
          <w:tcPr>
            <w:tcW w:w="7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7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third-party and related party services</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337,873</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141,002</w:t>
            </w:r>
          </w:p>
        </w:tc>
        <w:tc>
          <w:tcPr>
            <w:tcW w:w="8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433,502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319,190</w:t>
            </w:r>
          </w:p>
        </w:tc>
        <w:tc>
          <w:tcPr>
            <w:tcW w:w="80" w:type="dxa"/>
            <w:vAlign w:val="bottom"/>
          </w:tcPr>
          <w:p>
            <w:pPr>
              <w:spacing w:after="0"/>
              <w:rPr>
                <w:sz w:val="18"/>
                <w:szCs w:val="18"/>
                <w:color w:val="auto"/>
              </w:rPr>
            </w:pPr>
          </w:p>
        </w:tc>
      </w:tr>
      <w:tr>
        <w:trPr>
          <w:trHeight w:val="249"/>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Commissions advances</w:t>
            </w:r>
          </w:p>
        </w:tc>
        <w:tc>
          <w:tcPr>
            <w:tcW w:w="10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0"/>
        </w:trPr>
        <w:tc>
          <w:tcPr>
            <w:tcW w:w="74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833,875</w:t>
            </w: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460,192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34"/>
        </w:trPr>
        <w:tc>
          <w:tcPr>
            <w:tcW w:w="7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INTANGIBLE ASSETS, NET (OTHER THAN GOODWILL)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intangible assets primarily consist of acquired and developed software that is being amortized over their estimated useful lives as indicated below. The following is a summary of activity related to intangible assets for the six months ended June 30,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Acquired and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Developed</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80" w:type="dxa"/>
            <w:vAlign w:val="bottom"/>
          </w:tcPr>
          <w:p>
            <w:pPr>
              <w:spacing w:after="0"/>
              <w:rPr>
                <w:sz w:val="21"/>
                <w:szCs w:val="21"/>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Patents</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Useful Lives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 Years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 Years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 at December 31,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99,819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113,899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213,718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(51,275)</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(9,166)</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(60,441)</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Carrying Value at June 30, 2025</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48,544</w:t>
            </w: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center"/>
              <w:ind w:left="250"/>
              <w:spacing w:after="0" w:line="203" w:lineRule="exact"/>
              <w:rPr>
                <w:sz w:val="20"/>
                <w:szCs w:val="20"/>
                <w:color w:val="auto"/>
              </w:rPr>
            </w:pPr>
            <w:r>
              <w:rPr>
                <w:rFonts w:ascii="Times New Roman" w:cs="Times New Roman" w:eastAsia="Times New Roman" w:hAnsi="Times New Roman"/>
                <w:sz w:val="18"/>
                <w:szCs w:val="18"/>
                <w:color w:val="auto"/>
                <w:w w:val="99"/>
              </w:rPr>
              <w:t>106,433</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154,977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is a summary of intangible assets as of June 30, 2025:</w:t>
            </w: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320" w:type="dxa"/>
            <w:vAlign w:val="bottom"/>
          </w:tcPr>
          <w:p>
            <w:pPr>
              <w:spacing w:after="0"/>
              <w:rPr>
                <w:sz w:val="24"/>
                <w:szCs w:val="24"/>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Acquired and</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Developed</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80" w:type="dxa"/>
            <w:vAlign w:val="bottom"/>
          </w:tcPr>
          <w:p>
            <w:pPr>
              <w:spacing w:after="0"/>
              <w:rPr>
                <w:sz w:val="21"/>
                <w:szCs w:val="21"/>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Patents</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1,782,872</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185,596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1,968,468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(1,734,328)</w:t>
            </w:r>
          </w:p>
        </w:tc>
        <w:tc>
          <w:tcPr>
            <w:tcW w:w="1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(79,163)</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(1,813,491)</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 at June 30,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106,433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totaled approximately $60,000 and $87,000 for the six months ended June 30, 2025, and 2024,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Future expected amortization of intangible assets is as follows: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(Remainder of the Year)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26,860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37,226</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30,442</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18,389</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18,389</w:t>
            </w: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23,671</w:t>
            </w:r>
          </w:p>
        </w:tc>
      </w:tr>
      <w:tr>
        <w:trPr>
          <w:trHeight w:val="223"/>
        </w:trPr>
        <w:tc>
          <w:tcPr>
            <w:tcW w:w="100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10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impairment indicators noted with respect to Company’s long-lived assets, including intangible assets, as of June 30,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ACCOUNTS PAYABLE AND ACCRUED EXPENSES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 consisted of the following as of June 30, 2025 and December 31, 2024:</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564,892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317,030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related obligations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447,237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984,536</w:t>
            </w:r>
          </w:p>
        </w:tc>
        <w:tc>
          <w:tcPr>
            <w:tcW w:w="100" w:type="dxa"/>
            <w:vAlign w:val="bottom"/>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345,065</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413,844</w:t>
            </w:r>
          </w:p>
        </w:tc>
        <w:tc>
          <w:tcPr>
            <w:tcW w:w="100" w:type="dxa"/>
            <w:vAlign w:val="bottom"/>
            <w:shd w:val="clear" w:color="auto" w:fill="CCEEFF"/>
          </w:tcPr>
          <w:p>
            <w:pPr>
              <w:spacing w:after="0"/>
              <w:rPr>
                <w:sz w:val="19"/>
                <w:szCs w:val="19"/>
                <w:color w:val="auto"/>
              </w:rPr>
            </w:pPr>
          </w:p>
        </w:tc>
      </w:tr>
      <w:tr>
        <w:trPr>
          <w:trHeight w:val="27"/>
        </w:trPr>
        <w:tc>
          <w:tcPr>
            <w:tcW w:w="8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1,357,194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1,715,410</w:t>
            </w:r>
          </w:p>
        </w:tc>
        <w:tc>
          <w:tcPr>
            <w:tcW w:w="100" w:type="dxa"/>
            <w:vAlign w:val="bottom"/>
          </w:tcPr>
          <w:p>
            <w:pPr>
              <w:spacing w:after="0"/>
              <w:rPr>
                <w:sz w:val="21"/>
                <w:szCs w:val="21"/>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CONVERTIBLE NOTES PAYABLE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21, 2022, the Company entered into a Securities Purchase Agreement (“SPA”) with certain accredited investors, which included certain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directors or their affiliates (the “Note Investors”). Under the SPA, the Company issued Senior Secured Convertible Notes (the “Convertible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the Note Investors, with a total initial principal amount of approximately $9.2 million and a conversion price of $3.70 per share.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Convertible Notes carried an aggregate cash origination fee of approximately $200,000, and the Company also issued approximately 3,562 shares of common stock to the Note Investors as an additional origination fee. These Convertible Notes matured on March 31, 2025 and accrued interest at an annual rate of 9.75%, was payable on a quarterly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convertible notes outstanding as of June 30, 2025 and December 31, 2024:</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10020" w:type="dxa"/>
            <w:vAlign w:val="bottom"/>
          </w:tcPr>
          <w:p>
            <w:pPr>
              <w:spacing w:after="0"/>
              <w:rPr>
                <w:sz w:val="24"/>
                <w:szCs w:val="24"/>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00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10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9.75% convertible notes due March 31, 2025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245,000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discount expense</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(652)</w:t>
            </w: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issuance expense</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(3,464)</w:t>
            </w:r>
          </w:p>
        </w:tc>
      </w:tr>
      <w:tr>
        <w:trPr>
          <w:trHeight w:val="250"/>
        </w:trPr>
        <w:tc>
          <w:tcPr>
            <w:tcW w:w="100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
        </w:trPr>
        <w:tc>
          <w:tcPr>
            <w:tcW w:w="10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the outstanding Convertible Notes and accrued interest in full on March 31,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6 – 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Agreements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6, 2023, the Company entered into a services agreement with The Pipeline Group, Inc. (“TPG”). Ken Jisser, a director of the Company, is the founder and CEO of TPG, a technology-enabled services company that aims to deliver business results for companies looking to build a predictable and profitable pipeline. The agreement provides that TPG will assist in providing outsourced sales including business development resources for outbound calling, provide support for automated dialing technology, classify customer data and other sales related services for an initial term of one year. On October 25, 2023, on December 19, 2023 and on August 26, 2024, the Company entered into amendments to the above services agreement, pursuant to which TPG will provide certain additional services to the Company. In consideration of the services, the Company will pay TPG $70,000 per month during the current term ending in June 2026. As of June 30, 2025, the Company held a balance of approximately $70,000 in prepaid expenses related to this service agreement. In June 2024, the agreement with TPG was renewed for an additional year at a reduced fee rate of $70,000 per month. Total expense incurred under this contract during the three and six months ended June 30, 2025 was approximately $210,000 and $420,000, respectively. Total expense incurred under this contract during the three and six months ended June 30, 2024 was approximately $285,000 and $542,000,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Agreement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June 2023, the Company has employed Dale Daguro, the brother of our CEO, Rhon Daguro as a VP Sales. Dale Daguro’s employment is at will and may be terminated at any time, with or without cause. Dale’s compensation is commensurate with other executives employed by the Company at a similar level of seniority and experience. During the three and six months ended June 30, 2025, Dale Daguro earned approximately $97,000 and $151,000 in base salary and sales commission.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2025, shares of common stock were issued to recipients at par value as a result of the following transactions:</w:t>
      </w:r>
    </w:p>
    <w:p>
      <w:pPr>
        <w:spacing w:after="0" w:line="225"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 2025, pursuant to Securities Purchase Agreements in a registered direct offering, the Company issued 1,811,120 shares of common stock and pre-funded warrants for cash gross proceeds of approximately $8.2 million (or approximately $6.8 million, net of offering costs).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16, 2025, the Company issued 200,000 shares of common stock under restricted stock awards (“RSAs”) to non-employee advisors pursuant to advisory agreements.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7, 2025, pursuant to Securities Purchase Agreements in a registered direct offering, the Company issued 373,060 shares of common stock and pre-funded warrants for cash gross proceeds of approximately $2.1 million (or approximately $1.6 million, net of offering costs).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27,838 shares in lieu of a cash severance payment.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110,813 shares of common stock, upon the cashless exercise of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2024, shares of common stock were issued as a result of the following transactions:</w:t>
      </w:r>
    </w:p>
    <w:p>
      <w:pPr>
        <w:spacing w:after="0" w:line="225"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27, 2024, pursuant to Securities Purchase Agreements in a registered direct offering, the Company issued 1,464,965 shares of common stock for cash gross proceeds of approximately $11.0 million (or approximately $10.0 million, net of offering costs).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5,666 shares of common stock, upon the cashless exercise of a stock option.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2025, warrants were issued as a result of the following transactions:</w:t>
      </w:r>
    </w:p>
    <w:p>
      <w:pPr>
        <w:spacing w:after="0" w:line="225"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 2025, in connection with their placement agent services, the Company issued 91,556 common stock warrants to Dominari Securities, LLC, with a term of 5 years and an exercise price of $4.50 per share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 2025, in connection with their placement agent services, the Company issued 80,999 common stock warrants to Madison Global Partners, LLC, with a term of 5 years and an exercise price of $4.50 per share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7, 2025, in connection with their placement agent services, the Company issued 22,702 common stock warrants to Dominari Securities, LLC, with a term of 5 years and an exercise price of $5.60 per share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7, 2025, in connection with their placement agent services, the Company issued 14,762 common stock warrants to Madison Global Partners, LLC, with a term of 5 years and an exercise price of $5.60 per share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April 22, 2025, Madison III, LLC exercised 187,500 warrants in a cashless exercise. The warrants were previously expensed at their fair value of $438,000.</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27, 2024, in connection with their placement agent services, the Company issued 102,547 common stock warrants to Madison Global Partners, LLC, with a term of 5 years and an exercise price of $7.50 per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warrant activity for the six months ended June 30,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0"/>
        </w:trPr>
        <w:tc>
          <w:tcPr>
            <w:tcW w:w="7320" w:type="dxa"/>
            <w:vAlign w:val="bottom"/>
          </w:tcPr>
          <w:p>
            <w:pPr>
              <w:spacing w:after="0"/>
              <w:rPr>
                <w:sz w:val="19"/>
                <w:szCs w:val="19"/>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9"/>
                <w:szCs w:val="19"/>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0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45"/>
        </w:trPr>
        <w:tc>
          <w:tcPr>
            <w:tcW w:w="7320" w:type="dxa"/>
            <w:vAlign w:val="bottom"/>
          </w:tcPr>
          <w:p>
            <w:pPr>
              <w:spacing w:after="0"/>
              <w:rPr>
                <w:sz w:val="21"/>
                <w:szCs w:val="21"/>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40" w:type="dxa"/>
            <w:vAlign w:val="bottom"/>
          </w:tcPr>
          <w:p>
            <w:pPr>
              <w:spacing w:after="0"/>
              <w:rPr>
                <w:sz w:val="21"/>
                <w:szCs w:val="21"/>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0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Life</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697,446</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Years</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210,019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4.70</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 Years</w:t>
            </w: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Exercised/Cancelled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(187,500)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3.16</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Outstanding, June 30, 2025</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719,965</w:t>
            </w: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11.40</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3.2 Years</w:t>
            </w: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22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On April 16, 2025, the Company granted 200,000 restricted stock awards (RSAs) at par value to non-employee advisors under advisory agreements. The awards were issued on the grant date and vest in four equal tranches of 50,000 shares each: (i) immediately upon execution, (ii) six months later,</w:t>
      </w:r>
    </w:p>
    <w:p>
      <w:pPr>
        <w:jc w:val="both"/>
        <w:ind w:left="340" w:hanging="8"/>
        <w:spacing w:after="0" w:line="253" w:lineRule="auto"/>
        <w:tabs>
          <w:tab w:leader="none" w:pos="65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 months later, and (iv) eighteen months later. The Company has the option to repurchase all or a portion of unvested shares in the event that the advisors voluntarily cease to serve as an advisor of the Company. The fair value per share on the grant date was $7.97, resulting in a total grant-date fair value of $1,594,000. As of June 30, 2025, $531,333 of fair value was recognized as expense, with $1,062,667 remaining in deferred compensation to be recognized through October 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RSA activity for the six months ended June 30,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245"/>
        </w:trPr>
        <w:tc>
          <w:tcPr>
            <w:tcW w:w="396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Value Price</w:t>
            </w:r>
          </w:p>
        </w:tc>
        <w:tc>
          <w:tcPr>
            <w:tcW w:w="0" w:type="dxa"/>
            <w:vAlign w:val="bottom"/>
          </w:tcPr>
          <w:p>
            <w:pPr>
              <w:spacing w:after="0"/>
              <w:rPr>
                <w:sz w:val="1"/>
                <w:szCs w:val="1"/>
                <w:color w:val="auto"/>
              </w:rPr>
            </w:pPr>
          </w:p>
        </w:tc>
      </w:tr>
      <w:tr>
        <w:trPr>
          <w:trHeight w:val="216"/>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47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6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4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6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Outstanding, June 30, 2025</w:t>
            </w:r>
          </w:p>
        </w:tc>
        <w:tc>
          <w:tcPr>
            <w:tcW w:w="47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150,000</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472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12</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96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the Company granted a total of 416,600 options to certain new and existing employees at exercise prices ranging from $5.35 to $5.89 per share.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the Company granted a former employee 5,205 options at an exercise price of $7.40 in lieu of cash severance payment.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determined the grant date fair value of options granted for the six months ended June 30, 2025, using the Black Scholes Method, as applicable, with the following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110 – 123%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2.5 – 5 years</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3.75% - 4.59%</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Activity related to stock options for the six months ended June 30, 2025, is summarized as follows: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38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21"/>
                <w:szCs w:val="21"/>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Term (Yrs.)</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2,147,402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1,146,540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421,805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5.41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Forfeited/cancelled</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(319,753)</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30.19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June 30,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2,249,454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596,584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as of June 30, 2025</w:t>
            </w:r>
          </w:p>
        </w:tc>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1,300,080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2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496,725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stock option information as of June 30, 2025:</w:t>
            </w: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9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Term (Yrs.)</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0" w:type="dxa"/>
            <w:vAlign w:val="bottom"/>
          </w:tcPr>
          <w:p>
            <w:pPr>
              <w:spacing w:after="0"/>
              <w:rPr>
                <w:sz w:val="1"/>
                <w:szCs w:val="1"/>
                <w:color w:val="auto"/>
              </w:rPr>
            </w:pPr>
          </w:p>
        </w:tc>
      </w:tr>
      <w:tr>
        <w:trPr>
          <w:trHeight w:val="216"/>
        </w:trPr>
        <w:tc>
          <w:tcPr>
            <w:tcW w:w="59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$2.64 – $5.00</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344,375</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290,616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$5.01 – $10.00</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1,362,373</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550,924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$10.01 – $15.00</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42,578</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42,578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$15.01 – $20.00</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43,749</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43,750</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$20.01 – $121.28</w:t>
            </w: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456,379</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372,212</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2,249,454</w:t>
            </w: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gridSpan w:val="2"/>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1,300,080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13</w:t>
            </w: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98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5" w:right="339" w:bottom="1440" w:gutter="0" w:footer="0" w:header="0"/>
        </w:sectPr>
      </w:pPr>
    </w:p>
    <w:bookmarkStart w:id="17" w:name="page18"/>
    <w:bookmarkEnd w:id="1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2025, there was approximately $3.3 million of unrecognized compensation costs related to stock options outstanding that will be expensed through 2027.</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24, 2024, the Board of Directors adopted the 2024 Equity Incentive Plan (the “2024 Plan”). On June 26, 2024, the stockholders approved and ratified the 2024 Plan and the allocation of 395,000 shares of Common Stock to the 2024 Plan, in addition to the remaining shares not allocated to awards under the 2021 Equity Incentive Plan and any shares, which become available as a result of the forfeiture, or cancellation of any previous awards. On June 26, 2025, the stockholders approved and ratified an increase of 295,000 shares allocated to the 2024 Incentive Plan. As of June 30, 2025, there were 322,872 shares allocated to and available for issuance of awards under the 2024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a party to various legal or administrative proceedings arising in the ordinary course of our business. While any litigation contains an element of uncertainty, we have no reason to believe that the outcome of such proceedings will have a material adverse effect on the financial condition or results of operations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SEGMENT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financial information is available and which is evaluated regularly by the chief operating decision maker (“CODM”) in deciding how to allocate resources and in assessing performance. The Company’s chief operating decision maker (“CODM”) is the Chief Executive Officer. The CODM is the highest level of management responsible for assessing the Company’s overall performance, and making operational decisions such as resource allocations related to operations, product prioritization and delegations of authority. The CODM has determined that the Company operates in a single operating and reportable segment and manages segment profit (loss) based upon consolidated net income (loss). The measure of segment assets is reported on the consolidated balance sheet as total consolidated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financial statements, which we have prepared in accordance with accounting principles generally accepted in the United States of America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On an ongoing basis, we evaluate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used in this “Management’s Discussion and Analysis of Financial Condition and Results of Operation,” except where the context otherwise requires, the term “we,” “us,” “our,” “authID” or “the Company,” refers to the business of authID Inc. and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3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authID ensures enterprises “Know Who’s Behind the Device”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for every customer or employee login and transaction, through its easy-to-integrate, patented, biometric identity platform. authID powers biometric identity proofing in 700ms, biometric authentication in 25ms, and account recovery with a fast, accurate, user-friendly experience. With our PrivacyKey™ solution, authID provides a 1-to-1-billion false match rate, while storing no biometric data. authID stops fraud at onboarding, blocks deepfakes, prevents account takeover, and eliminates password risks and costs, through the faster, frictionless, and most accurate user identity experience demanded by today’s digital ecosystem.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cloud-based platform was developed with internally developed software as well as acquired and licensed technology and provides the following core services:</w:t>
      </w:r>
    </w:p>
    <w:p>
      <w:pPr>
        <w:spacing w:after="0" w:line="16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Biometric Identity Verification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Biometric Identity Authentication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 Access Recovery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Biometric Identity Verification - Proof</w:t>
      </w:r>
      <w:r>
        <w:rPr>
          <w:rFonts w:ascii="Times New Roman" w:cs="Times New Roman" w:eastAsia="Times New Roman" w:hAnsi="Times New Roman"/>
          <w:sz w:val="29"/>
          <w:szCs w:val="29"/>
          <w:i w:val="1"/>
          <w:iCs w:val="1"/>
          <w:color w:val="auto"/>
          <w:vertAlign w:val="superscript"/>
        </w:rPr>
        <w:t>TM</w:t>
      </w:r>
    </w:p>
    <w:p>
      <w:pPr>
        <w:spacing w:after="0" w:line="13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Biometric identity verification establishes the trusted identity of a user based on a variety of ground truth sources, including government-issued identity documents such as national IDs, driver’s licenses and passports or electronic machine-readable travel documents (or eMRTDs). Our Verified</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platform detects presentation attack and spoofing threats, evaluates the authenticity of security features present on a government-issued identity document, and biometrically matches the reference picture of the document with a live user’s selfie (a photograph that the user has taken of themselves). Usually occurring at account opening or onboarding, identity verification ensures that the enterprise knows that the person interacting with the enterprise is who they say they</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are, in real time. authID’s Proof</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identity verification product eliminates the need for costly and less accurate face-to-face, in-person ID checks and instead provides a verified identity in seconds. In a digital, online world of increasing fraud and security threats, Proof speeds up onboarding and offers our customers confidence in the identities of consumers, employees or third-party vendors.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Biometric Identity Authentication - Verified</w:t>
      </w:r>
      <w:r>
        <w:rPr>
          <w:rFonts w:ascii="Times New Roman" w:cs="Times New Roman" w:eastAsia="Times New Roman" w:hAnsi="Times New Roman"/>
          <w:sz w:val="29"/>
          <w:szCs w:val="29"/>
          <w:i w:val="1"/>
          <w:iCs w:val="1"/>
          <w:color w:val="auto"/>
          <w:vertAlign w:val="superscript"/>
        </w:rPr>
        <w:t>TM</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Biometric identity authentication provides any organization with a secure, convenient solution to validate that an individual is the verified account owner for various purposes including passwordless login and performing specific transactions, or functions. The authID Verified product allows users to confirm their identity with their facial biometric by simply taking a selfie on a mobile phone or device of their choosing (as opposed to dedicated hardware). The solution includes a patented audit trail created for each transaction, containing the digitally signed transaction details, with proof of identity authentication and consent.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PrivacyKey Privacy Preserving Biometrics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authID’s PrivacyKey solution provides biometric authentication without the requirement to store any biometric or derivative of biometric data. The technology transforms biometric verification into Public/Private Key cryptography whereby the facial image of the person is converted into an elliptical public/private key pair where only the public key is stored and the private key only exists during authentication and is deleted immediately after. The solution is compliant to the ISO30136 Privacy Biometric standard and provides a False Match Rate accuracy of 1:1 Billion at a False Rejection Rate of 0.3%, as confirmed by independent tests conducted by The Commonwealth Scientific and Industrial Research Organization (“CSRIO”).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 Access and Recovery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authID’s Verified biometric identity authentication solution allows users to recover, via a facial biometric, account access that is lost or blocked due to expired credentials, lockouts, lost or stolen devices, or compromised accounts. Because the account owner’s root of trust is established in the cloud, recovery is independent of any device or hardware. In this way, account recovery is instant, portable, and does not require the presence of or access to a previously provisioned device in order to secure access from a different device.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Customer Benefits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solution allows our enterprise customers to:</w:t>
      </w:r>
    </w:p>
    <w:p>
      <w:pPr>
        <w:spacing w:after="0" w:line="223" w:lineRule="exact"/>
        <w:rPr>
          <w:sz w:val="20"/>
          <w:szCs w:val="20"/>
          <w:color w:val="auto"/>
        </w:rPr>
      </w:pPr>
    </w:p>
    <w:p>
      <w:pPr>
        <w:ind w:left="660" w:hanging="328"/>
        <w:spacing w:after="0" w:line="284"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Verify and Authenticate users. </w:t>
      </w:r>
      <w:r>
        <w:rPr>
          <w:rFonts w:ascii="Times New Roman" w:cs="Times New Roman" w:eastAsia="Times New Roman" w:hAnsi="Times New Roman"/>
          <w:sz w:val="18"/>
          <w:szCs w:val="18"/>
          <w:color w:val="auto"/>
        </w:rPr>
        <w:t>Customers can use the authID platform not only to verify the identity of new users, but also to authenticate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users seamlessly on an ongoing basis to enable quick, secure logins and transaction authentications.</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Benefit from high-speed processing</w:t>
      </w:r>
      <w:r>
        <w:rPr>
          <w:rFonts w:ascii="Times New Roman" w:cs="Times New Roman" w:eastAsia="Times New Roman" w:hAnsi="Times New Roman"/>
          <w:sz w:val="18"/>
          <w:szCs w:val="18"/>
          <w:color w:val="auto"/>
        </w:rPr>
        <w:t>. Our solution returns a very low-latency response, key to enabling high-volume use cases (such as logins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high-value transactions) and providing a frictionless user experience.</w:t>
      </w:r>
    </w:p>
    <w:p>
      <w:pPr>
        <w:spacing w:after="0" w:line="158"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Precisely and accurately identify their consumers and employees, giving the enterprise complete confidence in who is accessing their digital assets</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 a seamless user experience in terms of speed and self-guided flow, so that even users who are not tech-savvy are easily able to complete the identity verification and authentication processes</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Support a wide variety of devices</w:t>
      </w:r>
      <w:r>
        <w:rPr>
          <w:rFonts w:ascii="Times New Roman" w:cs="Times New Roman" w:eastAsia="Times New Roman" w:hAnsi="Times New Roman"/>
          <w:sz w:val="18"/>
          <w:szCs w:val="18"/>
          <w:color w:val="auto"/>
        </w:rPr>
        <w:t>. Our cloud-based service is device agnostic and may be used to verify or authenticate users on any device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camera, including shared devices, digital kiosks, etc.</w:t>
      </w:r>
    </w:p>
    <w:p>
      <w:pPr>
        <w:spacing w:after="0" w:line="158"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Integrate quickly and easily. </w:t>
      </w:r>
      <w:r>
        <w:rPr>
          <w:rFonts w:ascii="Times New Roman" w:cs="Times New Roman" w:eastAsia="Times New Roman" w:hAnsi="Times New Roman"/>
          <w:sz w:val="18"/>
          <w:szCs w:val="18"/>
          <w:color w:val="auto"/>
        </w:rPr>
        <w:t>We offer pre-integrated OIDC connections as well as integrations with several leading Identity and Access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solutions.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Offer broad identity document coverage. </w:t>
      </w:r>
      <w:r>
        <w:rPr>
          <w:rFonts w:ascii="Times New Roman" w:cs="Times New Roman" w:eastAsia="Times New Roman" w:hAnsi="Times New Roman"/>
          <w:sz w:val="18"/>
          <w:szCs w:val="18"/>
          <w:color w:val="auto"/>
        </w:rPr>
        <w:t>We can verify identities using a wide spectrum of government-issued documents from around the world.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 secure biometric verification &amp; authentication without the need to store biometric data. </w:t>
      </w:r>
      <w:r>
        <w:rPr>
          <w:rFonts w:ascii="Times New Roman" w:cs="Times New Roman" w:eastAsia="Times New Roman" w:hAnsi="Times New Roman"/>
          <w:sz w:val="18"/>
          <w:szCs w:val="18"/>
          <w:color w:val="auto"/>
        </w:rPr>
        <w:t>Our PrivacyKey technology removes the need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store any biometric data in order to perform verification or authentication transactions. PrivacyKey verification and authentication is seamlessly delivered thru either a web or mobile applications with a response time of less than 700ms.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Key Trends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that our financial results will be impacted by several market trends in the identity verification and authentication markets, as well as expanding digital transformation efforts across a wide range of market segments. These trends include:</w:t>
      </w:r>
    </w:p>
    <w:p>
      <w:pPr>
        <w:spacing w:after="0" w:line="162" w:lineRule="exact"/>
        <w:rPr>
          <w:sz w:val="20"/>
          <w:szCs w:val="20"/>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concerns over identity theft, fraud and account takeover, resulting from the acceleration of digital transformation, for example online shopping and remote working and the growth in AI assisted fraud;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in the sharing economy;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electronic payments and alternative money transfer solutions provided by both bank and non-bank entities. The key drivers for these alternative payment methods are consumer demands for safe, convenient payment transactions, with less friction.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results are also impacted by the changes in levels of spending on identity verification, management and security methods, and thus, negative trends in the global economy and other factors which negatively impact such spending may negatively impact the growth in our revenue from those products. The global economy has been undergoing a period of political and economic uncertainty and stock markets are experiencing high levels of volatility, and it is difficult to predict how long this uncertainty and volatility will continue.</w:t>
      </w:r>
    </w:p>
    <w:p>
      <w:pPr>
        <w:spacing w:after="0" w:line="180"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We plan to grow our business by increasing the use of our services by our existing customers, by adding new customers through our direct salesforce, channel partners and by expanding into new markets and innovation. If we are successful in these efforts, we would expect our revenue to continue to grow.</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was incorporated in the State of Delaware on September 21, 2011, and changed our name from Ipsidy Inc. to authID Inc. on July 18, 2022. Our corporate headquarters is located at 1580 North Logan Street, Suite 660, Unit 51767, Denver, CO 80203 and our main phone number is (516) 274-8700. Our website address is www.authid.ai. The information contained on, or that can be accessed through, our website is not incorporated by reference into this Form 10-Q and you should not consider information on our website to be part of this Form 10-Q.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condensed consolidated financial statements included in this Quarterly Report have been prepared in accordance with United States GAAP assuming the Company will continue on a going concern basis, which implies the Company will continue to meet its obligations and continue its operations for the next year following the issuance date of these financial statements.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the Company had an accumulated deficit of approximately $182.5 million. For the six months ended June 30, 2025, the Company earned revenue of approximately $1.7 million, used approximately $8.4 million to fund its operations, and incurred a net loss of approximately $8.7 million.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continuation of the Company as a going concern is dependent upon financial support from the Company’s stockholders, the ability of the Company to obtain additional debt or equity financing to continue operations, the Company’s ability to generate sufficient cash flows from operations, successfully locating and negotiating with other business entities for potential acquisition and acquiring new clients to generate revenues and cash flows. In April and May 2025, the Company raised a total of approximately $8.5 million after expenses from existing and new stockholders through the sale of Common Stock pursuant to registered direct offerings. Going forward, the Company plans to raise additional funds to support its operations and investments as it seeks to create a sustainable organization. Our growth-oriented business plan to offer products to our customers will require continued capital investment and there is no guarantee that such financing will be available, or available on acceptable terms.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no assurance that the Company will ever be profitable. These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As there can be no assurance that the Company will be able to achieve positive cash flows (become cash flow positive) and raise sufficient capital to maintain operations, there is substantial doubt about the Company’s ability to continue as a going concern.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discussion includes information about Adjusted EBITDA that is not prepared in accordance with GAAP. Adjusted EBITDA is not based on any standardized methodology prescribed by GAAP and is not necessarily comparable to similar measures presented by other companies. A reconciliation of this non-GAAP measure is included below. Adjusted EBITDA is a non-GAAP financial measure that represents GAAP net income (loss) adjusted to exclude (1) interest expense and debt discount and debt issuance costs amortization expense, (2) interest income, (3) provision for income taxes, (4) depreciation and amortization, (5) stock-based compensation expense and certain other items management believes affect the comparability of operating results. Management believes that Adjusted EBITDA, when viewed with our results under GAAP and the accompanying reconciliations, provides useful information about our period-over-period results. Adjusted EBITDA is presented because management believes it provides additional information with respect to the performance of our fundamental business activities and is also frequently used by securities analysts, investors and other interested parties in the evaluation of comparable companies. We also rely on Adjusted EBITDA as a primary measure to review and assess the operating performance of our company and our management, and it will be a focus as we invest in and grow the business. Adjusted EBITDA has limitations as an analytical tool, and you should not consider it in isolation from, or as a substitute for, analysis of our results as reported under GAAP. Some of these limitations are:</w:t>
      </w:r>
    </w:p>
    <w:p>
      <w:pPr>
        <w:spacing w:after="0" w:line="19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include the impact of certain charges or gains resulting from matters we consider not to be indicative of our ongoing operations.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these limitations, Adjusted EBITDA should not be considered as a measure of discretionary cash available to us to invest in the growth of our business. We compensate for these limitations by relying primarily on our GAAP results and using Adjusted EBITDA only as a supplement to our GAAP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Loss from Continuing Operations to Adjusted EBITDA Continuing Operations: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20" w:type="dxa"/>
            <w:vAlign w:val="bottom"/>
          </w:tcPr>
          <w:p>
            <w:pPr>
              <w:spacing w:after="0"/>
              <w:rPr>
                <w:sz w:val="18"/>
                <w:szCs w:val="18"/>
                <w:color w:val="auto"/>
              </w:rPr>
            </w:pPr>
          </w:p>
        </w:tc>
        <w:tc>
          <w:tcPr>
            <w:tcW w:w="2320" w:type="dxa"/>
            <w:vAlign w:val="bottom"/>
            <w:gridSpan w:val="5"/>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45"/>
        </w:trPr>
        <w:tc>
          <w:tcPr>
            <w:tcW w:w="4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(4,384,779)</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(3,261,241)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(8,724,246)</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(6,318,818)</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Addback:</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10,369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12,883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23,507</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(86,846)</w:t>
            </w:r>
          </w:p>
        </w:tc>
        <w:tc>
          <w:tcPr>
            <w:tcW w:w="26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(73,957)</w:t>
            </w:r>
          </w:p>
        </w:tc>
        <w:tc>
          <w:tcPr>
            <w:tcW w:w="22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(138,390)</w:t>
            </w: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(182,877)</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cost</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8,638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14,251</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30,249</w:t>
            </w:r>
          </w:p>
        </w:tc>
        <w:tc>
          <w:tcPr>
            <w:tcW w:w="26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44,004</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60,441</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87,412</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1,078,201</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725,704</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1,532,540</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1,448,675</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Adjusted EBITDA continuing operations (Non-GAAP)</w:t>
            </w:r>
          </w:p>
        </w:tc>
        <w:tc>
          <w:tcPr>
            <w:tcW w:w="1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4760" w:type="dxa"/>
            <w:vAlign w:val="bottom"/>
            <w:vMerge w:val="continue"/>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(3,363,004</w:t>
            </w:r>
          </w:p>
        </w:tc>
        <w:tc>
          <w:tcPr>
            <w:tcW w:w="2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(2,546,483</w:t>
            </w:r>
          </w:p>
        </w:tc>
        <w:tc>
          <w:tcPr>
            <w:tcW w:w="2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(7,256,772</w:t>
            </w:r>
          </w:p>
        </w:tc>
        <w:tc>
          <w:tcPr>
            <w:tcW w:w="2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(4,927,850</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12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7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2025 and June 30, 2024 – Continuing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Company’s revenues were approximately $1.4 million and $1.7 million, respectively, compared to approximately $0.3 million and $0.4 million, respectively, in the three and six months ended June 30, 2024, principally due to the recognition of revenue from new customer contracts.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2025 compared to the three and six months ended June 30, 2024, general and administrative expense increased by approximately $1.6 million and $2.2 million, respectively. The increase was driven by increases in employee related expenses, shares issued to management advisors, as well as approximately $0.8 million in provision for estimated credit loss expense related to certain customer contracts.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2025 compared to the three and six months ended June 30, 2024, research and development expenses increased by approximately $0.6 million and $1.4 million, respectively. The increase was due to continued investment in employees and contractors to deliver required product capabilities and performance for existing customers and sales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expenses remained flat during the three and six months ended June 30, 2025 compared to June 30,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includes interest expense, debt issuance and discount amortization expense. Interest expense remained flat during the three and six months ended June 30, 2025 compared to June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approximately $8.3 million of cash on hand and approximately $8.7 million of working capital as of June 30,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in operating activities was approximately $8.4 million and $5.7 million in the six months ended June 30, 2025 and 2024, respectively.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six months ended June 30, 2025 was approximately $2,000, compared with $16,000 for six months ended June 30, 2024, for the payment of patent costs.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in the six months ended June 30, 2025 consisted of approximately $8.2 million in proceeds from the sale of common stock, net of offering costs.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in the six months ended June 30, 2024 consisted of approximately $10.0 million in proceeds from the sale of common stock, net of offering costs.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2025, the Company will need to raise additional funds to support its operations and investments as it seeks to create a sustainable organization. Our growth-oriented business plan to offer products to our customers will require continued capital investment and there is no guarantee that such financing will be available, or available on acceptable terms.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guarantee that our current business plan will not change, and as a result of such change, we will need additional capital to implement such business plan. Further, assuming we achieve our expected growth plan, of which there is no guarantee, we will need additional capital to implement growth beyond our current business plan.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Macro-Economic Conditions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global economy has been undergoing a period of political and economic uncertainty and stock markets are experiencing high levels of volatility, and it is difficult to predict how long this uncertainty and volatility will continue. The current increase in international tariffs and uncertainty over international trading conditions, continuing wars in Ukraine and the Middle East, inflationary pressures, rising energy prices and increases in interest rates have impacted the United States and other major economies and have created uncertainty regarding a possible recession. As a result, many businesses, especially in the technology sector, have made significant cut-backs in expenditure, including reductions in force and investment freezes. Our sales and results are also impacted by the changes in levels of spending on identity verification, management and security methods, and thus, negative trends in the global economy and other factors which negatively impact such spending may negatively impact the growth of our revenue from those products. All or any of these risks separately, or in combination could have a material adverse effect on our business, financial condition, results of operations, and 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 off-balance sheet arrangements that are reasonably likely to have a current or future effect on our financial condition, changes in financial condition, revenues or expenses, results of operations, liquidity, capital expenditures or capital resources that is deemed by our management to be material to investors.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Policies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recent material accounting policies that may be the most critical to understanding of the financial results and conditions are discussed in Note 1 of the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include disclosure under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our Chief Executive Officer and Chief Financial Officer performed an evaluation of the effectiveness of our disclosure controls and procedures as defined in Rules 13a-15(e) and 15d-15(e) of the Exchange Act. Based on the evaluation, the Chief Executive Officer and Chief Financial Officer concluded that, as of June 30, 2025, the Company’s disclosure controls and procedures are effective to ensure that the information required to be disclosed by the Company in the report that it files or submits under the Exchange Act is recorded, processed, summarized, and reported within the time periods specified in SEC rules and forms.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that term is defined in Rules 13a-15(f) and 15d-15(f) under the Exchange Act) that occurred during the six months ended June 30, 2025 that have materially affected, or are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a party to various legal or administrative proceedings arising in the ordinary course of business. While any litigation contains an element of uncertainty, we have no reason to believe the outcome of such proceedings will have a material adverse effect on the financial condition or results of operations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Risk factors describing the major risks to our business can be found under Item 1A, “Risk Factors”, in our Annual Report on Form 10-K for the year ended December 31, 2024. There has been no material change in our risk factors from those previously discussed in the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2025, the Company granted 30,000 options to a new employee at an exercise price of $5.89 per share.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issuance of the above securities is exempt from the registration requirements under Rule 4(a)(2) of the Securities Act of 1933, as amended, and/or Rule 506 as promulgated under Regulation 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to our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no director or officer of the Company adopted or terminated a “Rule 10b5-1 trading arrangement” or “non-Rule 10b5-1 trading arrangement,” as each term is defined in Item 408(a) of Regulation S-K.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45"/>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3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26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760" w:type="dxa"/>
            <w:vAlign w:val="bottom"/>
            <w:tcBorders>
              <w:top w:val="single" w:sz="8" w:color="auto"/>
              <w:bottom w:val="single" w:sz="8" w:color="CCEEFF"/>
            </w:tcBorders>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580" w:type="dxa"/>
            <w:vAlign w:val="bottom"/>
            <w:tcBorders>
              <w:top w:val="single" w:sz="8" w:color="auto"/>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Amended &amp; Restated Certificate of Incorporation</w:t>
              </w:r>
            </w:hyperlink>
          </w:p>
        </w:tc>
        <w:tc>
          <w:tcPr>
            <w:tcW w:w="6520" w:type="dxa"/>
            <w:vAlign w:val="bottom"/>
            <w:tcBorders>
              <w:top w:val="single" w:sz="8" w:color="auto"/>
              <w:bottom w:val="single" w:sz="8" w:color="CCEEFF"/>
            </w:tcBorders>
            <w:gridSpan w:val="24"/>
            <w:shd w:val="clear" w:color="auto" w:fill="CCEEFF"/>
          </w:tcPr>
          <w:p>
            <w:pPr>
              <w:spacing w:after="0"/>
              <w:rPr>
                <w:sz w:val="17"/>
                <w:szCs w:val="17"/>
                <w:color w:val="auto"/>
              </w:rPr>
            </w:pPr>
          </w:p>
        </w:tc>
      </w:tr>
      <w:tr>
        <w:trPr>
          <w:trHeight w:val="176"/>
        </w:trPr>
        <w:tc>
          <w:tcPr>
            <w:tcW w:w="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7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5"/>
                <w:szCs w:val="15"/>
                <w:color w:val="auto"/>
              </w:rPr>
            </w:pPr>
          </w:p>
        </w:tc>
        <w:tc>
          <w:tcPr>
            <w:tcW w:w="10100" w:type="dxa"/>
            <w:vAlign w:val="bottom"/>
            <w:gridSpan w:val="34"/>
          </w:tcPr>
          <w:p>
            <w:pPr>
              <w:spacing w:after="0" w:line="17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Amended &amp; Restated Bylaws as of July 18, 2022</w:t>
              </w:r>
            </w:hyperlink>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2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760" w:type="dxa"/>
            <w:vAlign w:val="bottom"/>
            <w:tcBorders>
              <w:bottom w:val="single" w:sz="8" w:color="CCEEFF"/>
            </w:tcBorders>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3380" w:type="dxa"/>
            <w:vAlign w:val="bottom"/>
            <w:tcBorders>
              <w:bottom w:val="single" w:sz="8" w:color="0000EE"/>
            </w:tcBorders>
            <w:gridSpan w:val="8"/>
            <w:shd w:val="clear" w:color="auto" w:fill="CCEEFF"/>
          </w:tcPr>
          <w:p>
            <w:pPr>
              <w:spacing w:after="0" w:line="17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Certificate of Amendment dated June 14, 2021</w:t>
              </w:r>
            </w:hyperlink>
          </w:p>
        </w:tc>
        <w:tc>
          <w:tcPr>
            <w:tcW w:w="6720" w:type="dxa"/>
            <w:vAlign w:val="bottom"/>
            <w:tcBorders>
              <w:bottom w:val="single" w:sz="8" w:color="CCEEFF"/>
            </w:tcBorders>
            <w:gridSpan w:val="26"/>
            <w:shd w:val="clear" w:color="auto" w:fill="CCEEFF"/>
          </w:tcPr>
          <w:p>
            <w:pPr>
              <w:spacing w:after="0"/>
              <w:rPr>
                <w:sz w:val="17"/>
                <w:szCs w:val="17"/>
                <w:color w:val="auto"/>
              </w:rPr>
            </w:pPr>
          </w:p>
        </w:tc>
      </w:tr>
      <w:tr>
        <w:trPr>
          <w:trHeight w:val="175"/>
        </w:trPr>
        <w:tc>
          <w:tcPr>
            <w:tcW w:w="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7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5"/>
                <w:szCs w:val="15"/>
                <w:color w:val="auto"/>
              </w:rPr>
            </w:pPr>
          </w:p>
        </w:tc>
        <w:tc>
          <w:tcPr>
            <w:tcW w:w="10100" w:type="dxa"/>
            <w:vAlign w:val="bottom"/>
            <w:gridSpan w:val="34"/>
          </w:tcPr>
          <w:p>
            <w:pPr>
              <w:spacing w:after="0" w:line="17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Certificate of Amendment to Amended and Restated Certificate of Incorporation as of July 18, 2022</w:t>
              </w:r>
            </w:hyperlink>
          </w:p>
        </w:tc>
      </w:tr>
      <w:tr>
        <w:trPr>
          <w:trHeight w:val="21"/>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2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760" w:type="dxa"/>
            <w:vAlign w:val="bottom"/>
            <w:tcBorders>
              <w:bottom w:val="single" w:sz="8" w:color="CCEEFF"/>
            </w:tcBorders>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17"/>
                <w:szCs w:val="17"/>
                <w:color w:val="auto"/>
              </w:rPr>
            </w:pPr>
          </w:p>
        </w:tc>
        <w:tc>
          <w:tcPr>
            <w:tcW w:w="7700" w:type="dxa"/>
            <w:vAlign w:val="bottom"/>
            <w:tcBorders>
              <w:bottom w:val="single" w:sz="8" w:color="0000EE"/>
            </w:tcBorders>
            <w:gridSpan w:val="27"/>
            <w:shd w:val="clear" w:color="auto" w:fill="CCEEFF"/>
          </w:tcPr>
          <w:p>
            <w:pPr>
              <w:spacing w:after="0" w:line="17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Certificate of Amendment to Amended and Restated Certificate of Incorporation as of September 20, 2022</w:t>
              </w:r>
            </w:hyperlink>
          </w:p>
        </w:tc>
        <w:tc>
          <w:tcPr>
            <w:tcW w:w="2400" w:type="dxa"/>
            <w:vAlign w:val="bottom"/>
            <w:tcBorders>
              <w:bottom w:val="single" w:sz="8" w:color="CCEEFF"/>
            </w:tcBorders>
            <w:gridSpan w:val="7"/>
            <w:shd w:val="clear" w:color="auto" w:fill="CCEEFF"/>
          </w:tcPr>
          <w:p>
            <w:pPr>
              <w:spacing w:after="0"/>
              <w:rPr>
                <w:sz w:val="17"/>
                <w:szCs w:val="17"/>
                <w:color w:val="auto"/>
              </w:rPr>
            </w:pPr>
          </w:p>
        </w:tc>
      </w:tr>
      <w:tr>
        <w:trPr>
          <w:trHeight w:val="176"/>
        </w:trPr>
        <w:tc>
          <w:tcPr>
            <w:tcW w:w="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7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5"/>
                <w:szCs w:val="15"/>
                <w:color w:val="auto"/>
              </w:rPr>
            </w:pPr>
          </w:p>
        </w:tc>
        <w:tc>
          <w:tcPr>
            <w:tcW w:w="10100" w:type="dxa"/>
            <w:vAlign w:val="bottom"/>
            <w:gridSpan w:val="34"/>
          </w:tcPr>
          <w:p>
            <w:pPr>
              <w:spacing w:after="0" w:line="17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Certificate of Amendment to the Amended and Restated Certificate of Incorporation dated June 26, 2023</w:t>
              </w:r>
            </w:hyperlink>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2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7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7"/>
                <w:szCs w:val="17"/>
                <w:color w:val="auto"/>
              </w:rPr>
            </w:pPr>
          </w:p>
        </w:tc>
        <w:tc>
          <w:tcPr>
            <w:tcW w:w="10100" w:type="dxa"/>
            <w:vAlign w:val="bottom"/>
            <w:gridSpan w:val="34"/>
            <w:shd w:val="clear" w:color="auto" w:fill="CCEEFF"/>
          </w:tcPr>
          <w:p>
            <w:pPr>
              <w:spacing w:after="0" w:line="17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Certificate of Amendment to the Certificate of Incorporation</w:t>
              </w:r>
            </w:hyperlink>
          </w:p>
        </w:tc>
      </w:tr>
      <w:tr>
        <w:trPr>
          <w:trHeight w:val="176"/>
        </w:trPr>
        <w:tc>
          <w:tcPr>
            <w:tcW w:w="26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760" w:type="dxa"/>
            <w:vAlign w:val="bottom"/>
            <w:tcBorders>
              <w:top w:val="single" w:sz="8" w:color="CCEEFF"/>
            </w:tcBorders>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tcPr>
          <w:p>
            <w:pPr>
              <w:spacing w:after="0"/>
              <w:rPr>
                <w:sz w:val="15"/>
                <w:szCs w:val="15"/>
                <w:color w:val="auto"/>
              </w:rPr>
            </w:pPr>
          </w:p>
        </w:tc>
        <w:tc>
          <w:tcPr>
            <w:tcW w:w="4360" w:type="dxa"/>
            <w:vAlign w:val="bottom"/>
            <w:tcBorders>
              <w:top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Form of Stock Option</w:t>
              </w:r>
            </w:hyperlink>
          </w:p>
        </w:tc>
        <w:tc>
          <w:tcPr>
            <w:tcW w:w="5740" w:type="dxa"/>
            <w:vAlign w:val="bottom"/>
            <w:tcBorders>
              <w:top w:val="single" w:sz="8" w:color="CCEEFF"/>
            </w:tcBorders>
            <w:gridSpan w:val="23"/>
          </w:tcPr>
          <w:p>
            <w:pPr>
              <w:spacing w:after="0"/>
              <w:rPr>
                <w:sz w:val="15"/>
                <w:szCs w:val="15"/>
                <w:color w:val="auto"/>
              </w:rPr>
            </w:pPr>
          </w:p>
        </w:tc>
      </w:tr>
      <w:tr>
        <w:trPr>
          <w:trHeight w:val="21"/>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2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7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7"/>
                <w:szCs w:val="17"/>
                <w:color w:val="auto"/>
              </w:rPr>
            </w:pPr>
          </w:p>
        </w:tc>
        <w:tc>
          <w:tcPr>
            <w:tcW w:w="10100" w:type="dxa"/>
            <w:vAlign w:val="bottom"/>
            <w:gridSpan w:val="34"/>
            <w:shd w:val="clear" w:color="auto" w:fill="CCEEFF"/>
          </w:tcPr>
          <w:p>
            <w:pPr>
              <w:spacing w:after="0" w:line="17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Description of the Registrant’s Securities</w:t>
              </w:r>
            </w:hyperlink>
          </w:p>
        </w:tc>
      </w:tr>
      <w:tr>
        <w:trPr>
          <w:trHeight w:val="175"/>
        </w:trPr>
        <w:tc>
          <w:tcPr>
            <w:tcW w:w="1020" w:type="dxa"/>
            <w:vAlign w:val="bottom"/>
            <w:tcBorders>
              <w:top w:val="single" w:sz="8" w:color="CCEEFF"/>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10.1 (2)</w:t>
            </w:r>
          </w:p>
        </w:tc>
        <w:tc>
          <w:tcPr>
            <w:tcW w:w="120" w:type="dxa"/>
            <w:vAlign w:val="bottom"/>
            <w:tcBorders>
              <w:top w:val="single" w:sz="8" w:color="CCEEFF"/>
            </w:tcBorders>
          </w:tcPr>
          <w:p>
            <w:pPr>
              <w:spacing w:after="0"/>
              <w:rPr>
                <w:sz w:val="15"/>
                <w:szCs w:val="15"/>
                <w:color w:val="auto"/>
              </w:rPr>
            </w:pPr>
          </w:p>
        </w:tc>
        <w:tc>
          <w:tcPr>
            <w:tcW w:w="2960" w:type="dxa"/>
            <w:vAlign w:val="bottom"/>
            <w:tcBorders>
              <w:top w:val="single" w:sz="8" w:color="0000EE"/>
            </w:tcBorders>
            <w:gridSpan w:val="7"/>
          </w:tcPr>
          <w:p>
            <w:pPr>
              <w:spacing w:after="0" w:line="17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Form of Director Agreement</w:t>
              </w:r>
            </w:hyperlink>
          </w:p>
        </w:tc>
        <w:tc>
          <w:tcPr>
            <w:tcW w:w="7140" w:type="dxa"/>
            <w:vAlign w:val="bottom"/>
            <w:tcBorders>
              <w:top w:val="single" w:sz="8" w:color="CCEEFF"/>
            </w:tcBorders>
            <w:gridSpan w:val="27"/>
          </w:tcPr>
          <w:p>
            <w:pPr>
              <w:spacing w:after="0"/>
              <w:rPr>
                <w:sz w:val="15"/>
                <w:szCs w:val="15"/>
                <w:color w:val="auto"/>
              </w:rPr>
            </w:pPr>
          </w:p>
        </w:tc>
      </w:tr>
      <w:tr>
        <w:trPr>
          <w:trHeight w:val="21"/>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0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 (2)</w:t>
            </w:r>
          </w:p>
        </w:tc>
        <w:tc>
          <w:tcPr>
            <w:tcW w:w="120" w:type="dxa"/>
            <w:vAlign w:val="bottom"/>
            <w:shd w:val="clear" w:color="auto" w:fill="CCEEFF"/>
          </w:tcPr>
          <w:p>
            <w:pPr>
              <w:spacing w:after="0"/>
              <w:rPr>
                <w:sz w:val="17"/>
                <w:szCs w:val="17"/>
                <w:color w:val="auto"/>
              </w:rPr>
            </w:pPr>
          </w:p>
        </w:tc>
        <w:tc>
          <w:tcPr>
            <w:tcW w:w="10100" w:type="dxa"/>
            <w:vAlign w:val="bottom"/>
            <w:gridSpan w:val="34"/>
            <w:shd w:val="clear" w:color="auto" w:fill="CCEEFF"/>
          </w:tcPr>
          <w:p>
            <w:pPr>
              <w:spacing w:after="0" w:line="17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Form of Indemnification Agreement</w:t>
              </w:r>
            </w:hyperlink>
          </w:p>
        </w:tc>
      </w:tr>
      <w:tr>
        <w:trPr>
          <w:trHeight w:val="176"/>
        </w:trPr>
        <w:tc>
          <w:tcPr>
            <w:tcW w:w="1020" w:type="dxa"/>
            <w:vAlign w:val="bottom"/>
            <w:tcBorders>
              <w:top w:val="single" w:sz="8" w:color="CCEEFF"/>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10.3 (3)</w:t>
            </w:r>
          </w:p>
        </w:tc>
        <w:tc>
          <w:tcPr>
            <w:tcW w:w="120" w:type="dxa"/>
            <w:vAlign w:val="bottom"/>
            <w:tcBorders>
              <w:top w:val="single" w:sz="8" w:color="CCEEFF"/>
            </w:tcBorders>
          </w:tcPr>
          <w:p>
            <w:pPr>
              <w:spacing w:after="0"/>
              <w:rPr>
                <w:sz w:val="15"/>
                <w:szCs w:val="15"/>
                <w:color w:val="auto"/>
              </w:rPr>
            </w:pPr>
          </w:p>
        </w:tc>
        <w:tc>
          <w:tcPr>
            <w:tcW w:w="2620" w:type="dxa"/>
            <w:vAlign w:val="bottom"/>
            <w:tcBorders>
              <w:top w:val="single" w:sz="8" w:color="0000EE"/>
            </w:tcBorders>
            <w:gridSpan w:val="5"/>
          </w:tcPr>
          <w:p>
            <w:pPr>
              <w:spacing w:after="0" w:line="17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2017 Incentive Stock Plan</w:t>
              </w:r>
            </w:hyperlink>
          </w:p>
        </w:tc>
        <w:tc>
          <w:tcPr>
            <w:tcW w:w="7480" w:type="dxa"/>
            <w:vAlign w:val="bottom"/>
            <w:tcBorders>
              <w:top w:val="single" w:sz="8" w:color="CCEEFF"/>
            </w:tcBorders>
            <w:gridSpan w:val="29"/>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0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 (2)</w:t>
            </w:r>
          </w:p>
        </w:tc>
        <w:tc>
          <w:tcPr>
            <w:tcW w:w="120" w:type="dxa"/>
            <w:vAlign w:val="bottom"/>
            <w:shd w:val="clear" w:color="auto" w:fill="CCEEFF"/>
          </w:tcPr>
          <w:p>
            <w:pPr>
              <w:spacing w:after="0"/>
              <w:rPr>
                <w:sz w:val="17"/>
                <w:szCs w:val="17"/>
                <w:color w:val="auto"/>
              </w:rPr>
            </w:pPr>
          </w:p>
        </w:tc>
        <w:tc>
          <w:tcPr>
            <w:tcW w:w="10100" w:type="dxa"/>
            <w:vAlign w:val="bottom"/>
            <w:gridSpan w:val="34"/>
            <w:shd w:val="clear" w:color="auto" w:fill="CCEEFF"/>
          </w:tcPr>
          <w:p>
            <w:pPr>
              <w:spacing w:after="0" w:line="17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Executive Retention Agreement entered between the Company and Thomas L. Thimot dated June 14, 2021</w:t>
              </w:r>
            </w:hyperlink>
          </w:p>
        </w:tc>
      </w:tr>
      <w:tr>
        <w:trPr>
          <w:trHeight w:val="176"/>
        </w:trPr>
        <w:tc>
          <w:tcPr>
            <w:tcW w:w="1020" w:type="dxa"/>
            <w:vAlign w:val="bottom"/>
            <w:tcBorders>
              <w:top w:val="single" w:sz="8" w:color="CCEEFF"/>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10.5 (2)</w:t>
            </w:r>
          </w:p>
        </w:tc>
        <w:tc>
          <w:tcPr>
            <w:tcW w:w="120" w:type="dxa"/>
            <w:vAlign w:val="bottom"/>
            <w:tcBorders>
              <w:top w:val="single" w:sz="8" w:color="CCEEFF"/>
            </w:tcBorders>
          </w:tcPr>
          <w:p>
            <w:pPr>
              <w:spacing w:after="0"/>
              <w:rPr>
                <w:sz w:val="15"/>
                <w:szCs w:val="15"/>
                <w:color w:val="auto"/>
              </w:rPr>
            </w:pPr>
          </w:p>
        </w:tc>
        <w:tc>
          <w:tcPr>
            <w:tcW w:w="7720" w:type="dxa"/>
            <w:vAlign w:val="bottom"/>
            <w:tcBorders>
              <w:top w:val="single" w:sz="8" w:color="0000EE"/>
            </w:tcBorders>
            <w:gridSpan w:val="28"/>
          </w:tcPr>
          <w:p>
            <w:pPr>
              <w:spacing w:after="0" w:line="17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Executive Retention Agreement entered between the Company and Cecil N. Smith III dated June 14, 2021</w:t>
              </w:r>
            </w:hyperlink>
          </w:p>
        </w:tc>
        <w:tc>
          <w:tcPr>
            <w:tcW w:w="2380" w:type="dxa"/>
            <w:vAlign w:val="bottom"/>
            <w:tcBorders>
              <w:top w:val="single" w:sz="8" w:color="CCEEFF"/>
            </w:tcBorders>
            <w:gridSpan w:val="6"/>
          </w:tcPr>
          <w:p>
            <w:pPr>
              <w:spacing w:after="0"/>
              <w:rPr>
                <w:sz w:val="15"/>
                <w:szCs w:val="15"/>
                <w:color w:val="auto"/>
              </w:rPr>
            </w:pPr>
          </w:p>
        </w:tc>
      </w:tr>
      <w:tr>
        <w:trPr>
          <w:trHeight w:val="21"/>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5"/>
        </w:trPr>
        <w:tc>
          <w:tcPr>
            <w:tcW w:w="10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 (4)</w:t>
            </w:r>
          </w:p>
        </w:tc>
        <w:tc>
          <w:tcPr>
            <w:tcW w:w="120" w:type="dxa"/>
            <w:vAlign w:val="bottom"/>
            <w:shd w:val="clear" w:color="auto" w:fill="CCEEFF"/>
          </w:tcPr>
          <w:p>
            <w:pPr>
              <w:spacing w:after="0"/>
              <w:rPr>
                <w:sz w:val="15"/>
                <w:szCs w:val="15"/>
                <w:color w:val="auto"/>
              </w:rPr>
            </w:pPr>
          </w:p>
        </w:tc>
        <w:tc>
          <w:tcPr>
            <w:tcW w:w="10100" w:type="dxa"/>
            <w:vAlign w:val="bottom"/>
            <w:gridSpan w:val="34"/>
            <w:shd w:val="clear" w:color="auto" w:fill="CCEEFF"/>
          </w:tcPr>
          <w:p>
            <w:pPr>
              <w:spacing w:after="0" w:line="17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AuthID Inc. 2021 Equity Incentive Plan</w:t>
              </w:r>
            </w:hyperlink>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10.7 (5)</w:t>
            </w:r>
          </w:p>
        </w:tc>
        <w:tc>
          <w:tcPr>
            <w:tcW w:w="120" w:type="dxa"/>
            <w:vAlign w:val="bottom"/>
          </w:tcPr>
          <w:p>
            <w:pPr>
              <w:spacing w:after="0"/>
              <w:rPr>
                <w:sz w:val="15"/>
                <w:szCs w:val="15"/>
                <w:color w:val="auto"/>
              </w:rPr>
            </w:pPr>
          </w:p>
        </w:tc>
        <w:tc>
          <w:tcPr>
            <w:tcW w:w="10100" w:type="dxa"/>
            <w:vAlign w:val="bottom"/>
            <w:gridSpan w:val="34"/>
          </w:tcPr>
          <w:p>
            <w:pPr>
              <w:spacing w:after="0" w:line="17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Letter Agreement between Annie Pham and AuthID Inc. dated April 25, 2022</w:t>
              </w:r>
            </w:hyperlink>
          </w:p>
        </w:tc>
      </w:tr>
      <w:tr>
        <w:trPr>
          <w:trHeight w:val="21"/>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0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 (8)</w:t>
            </w:r>
          </w:p>
        </w:tc>
        <w:tc>
          <w:tcPr>
            <w:tcW w:w="120" w:type="dxa"/>
            <w:vAlign w:val="bottom"/>
            <w:shd w:val="clear" w:color="auto" w:fill="CCEEFF"/>
          </w:tcPr>
          <w:p>
            <w:pPr>
              <w:spacing w:after="0"/>
              <w:rPr>
                <w:sz w:val="17"/>
                <w:szCs w:val="17"/>
                <w:color w:val="auto"/>
              </w:rPr>
            </w:pPr>
          </w:p>
        </w:tc>
        <w:tc>
          <w:tcPr>
            <w:tcW w:w="10100" w:type="dxa"/>
            <w:vAlign w:val="bottom"/>
            <w:gridSpan w:val="34"/>
            <w:shd w:val="clear" w:color="auto" w:fill="CCEEFF"/>
          </w:tcPr>
          <w:p>
            <w:pPr>
              <w:spacing w:after="0" w:line="17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Amended and Restated Faculty Agreement between the Company and Stephen J. Garchik dated March 8, 2023.</w:t>
              </w:r>
            </w:hyperlink>
          </w:p>
        </w:tc>
      </w:tr>
      <w:tr>
        <w:trPr>
          <w:trHeight w:val="176"/>
        </w:trPr>
        <w:tc>
          <w:tcPr>
            <w:tcW w:w="1020" w:type="dxa"/>
            <w:vAlign w:val="bottom"/>
            <w:tcBorders>
              <w:top w:val="single" w:sz="8" w:color="CCEEFF"/>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10.9 (8)</w:t>
            </w:r>
          </w:p>
        </w:tc>
        <w:tc>
          <w:tcPr>
            <w:tcW w:w="120" w:type="dxa"/>
            <w:vAlign w:val="bottom"/>
            <w:tcBorders>
              <w:top w:val="single" w:sz="8" w:color="CCEEFF"/>
            </w:tcBorders>
          </w:tcPr>
          <w:p>
            <w:pPr>
              <w:spacing w:after="0"/>
              <w:rPr>
                <w:sz w:val="15"/>
                <w:szCs w:val="15"/>
                <w:color w:val="auto"/>
              </w:rPr>
            </w:pPr>
          </w:p>
        </w:tc>
        <w:tc>
          <w:tcPr>
            <w:tcW w:w="8040" w:type="dxa"/>
            <w:vAlign w:val="bottom"/>
            <w:tcBorders>
              <w:top w:val="single" w:sz="8" w:color="0000EE"/>
            </w:tcBorders>
            <w:gridSpan w:val="30"/>
          </w:tcPr>
          <w:p>
            <w:pPr>
              <w:spacing w:after="0" w:line="17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Promissory Note between the Company and Stephen J. Garchik dated March 9, 2023.</w:t>
              </w:r>
            </w:hyperlink>
          </w:p>
        </w:tc>
        <w:tc>
          <w:tcPr>
            <w:tcW w:w="2060" w:type="dxa"/>
            <w:vAlign w:val="bottom"/>
            <w:tcBorders>
              <w:top w:val="single" w:sz="8" w:color="CCEEFF"/>
            </w:tcBorders>
            <w:gridSpan w:val="4"/>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6"/>
        </w:trPr>
        <w:tc>
          <w:tcPr>
            <w:tcW w:w="4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58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34"/>
            <w:shd w:val="clear" w:color="auto" w:fill="CCEEFF"/>
          </w:tcPr>
          <w:p>
            <w:pPr>
              <w:spacing w:after="0" w:line="17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Guaranty Agreement by FIN Holdings Inc., Innovation in Motion, Inc. and ID Solutions, Inc. in favor of Stephen J. Garchik dated March 9,</w:t>
              </w:r>
            </w:hyperlink>
          </w:p>
        </w:tc>
      </w:tr>
      <w:tr>
        <w:trPr>
          <w:trHeight w:val="196"/>
        </w:trPr>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2023.</w:t>
              </w:r>
            </w:hyperlink>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10.11 (8)</w:t>
            </w:r>
          </w:p>
        </w:tc>
        <w:tc>
          <w:tcPr>
            <w:tcW w:w="120" w:type="dxa"/>
            <w:vAlign w:val="bottom"/>
          </w:tcPr>
          <w:p>
            <w:pPr>
              <w:spacing w:after="0"/>
              <w:rPr>
                <w:sz w:val="15"/>
                <w:szCs w:val="15"/>
                <w:color w:val="auto"/>
              </w:rPr>
            </w:pPr>
          </w:p>
        </w:tc>
        <w:tc>
          <w:tcPr>
            <w:tcW w:w="10100" w:type="dxa"/>
            <w:vAlign w:val="bottom"/>
            <w:gridSpan w:val="34"/>
          </w:tcPr>
          <w:p>
            <w:pPr>
              <w:spacing w:after="0" w:line="17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Release Agreement between the Company and Stephen J. Garchik dated March 9, 2023.</w:t>
              </w:r>
            </w:hyperlink>
          </w:p>
        </w:tc>
      </w:tr>
      <w:tr>
        <w:trPr>
          <w:trHeight w:val="21"/>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5"/>
        </w:trPr>
        <w:tc>
          <w:tcPr>
            <w:tcW w:w="4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5"/>
                <w:szCs w:val="15"/>
                <w:color w:val="auto"/>
              </w:rPr>
            </w:pPr>
          </w:p>
        </w:tc>
        <w:tc>
          <w:tcPr>
            <w:tcW w:w="10100" w:type="dxa"/>
            <w:vAlign w:val="bottom"/>
            <w:gridSpan w:val="34"/>
            <w:shd w:val="clear" w:color="auto" w:fill="CCEEFF"/>
          </w:tcPr>
          <w:p>
            <w:pPr>
              <w:spacing w:after="0" w:line="17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Letter Agreement between Rhoniel Daguro and AuthID Inc. dated March 23, 2023</w:t>
              </w:r>
            </w:hyperlink>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5"/>
                <w:szCs w:val="15"/>
                <w:color w:val="auto"/>
              </w:rPr>
            </w:pPr>
          </w:p>
        </w:tc>
        <w:tc>
          <w:tcPr>
            <w:tcW w:w="10100" w:type="dxa"/>
            <w:vAlign w:val="bottom"/>
            <w:gridSpan w:val="34"/>
          </w:tcPr>
          <w:p>
            <w:pPr>
              <w:spacing w:after="0" w:line="17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Executive Retention Agreement between Rhoniel Daguro and AuthID Inc. dated March 23, 2023</w:t>
              </w:r>
            </w:hyperlink>
          </w:p>
        </w:tc>
      </w:tr>
      <w:tr>
        <w:trPr>
          <w:trHeight w:val="21"/>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4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7"/>
                <w:szCs w:val="17"/>
                <w:color w:val="auto"/>
              </w:rPr>
            </w:pPr>
          </w:p>
        </w:tc>
        <w:tc>
          <w:tcPr>
            <w:tcW w:w="10100" w:type="dxa"/>
            <w:vAlign w:val="bottom"/>
            <w:gridSpan w:val="34"/>
            <w:shd w:val="clear" w:color="auto" w:fill="CCEEFF"/>
          </w:tcPr>
          <w:p>
            <w:pPr>
              <w:spacing w:after="0" w:line="17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Confidential Separation Agreement and General Release between Thomas Thimot and authID Inc. Dated March 23, 2023</w:t>
              </w:r>
            </w:hyperlink>
          </w:p>
        </w:tc>
      </w:tr>
      <w:tr>
        <w:trPr>
          <w:trHeight w:val="175"/>
        </w:trPr>
        <w:tc>
          <w:tcPr>
            <w:tcW w:w="44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580" w:type="dxa"/>
            <w:vAlign w:val="bottom"/>
            <w:tcBorders>
              <w:top w:val="single" w:sz="8" w:color="CCEEFF"/>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tcBorders>
          </w:tcPr>
          <w:p>
            <w:pPr>
              <w:spacing w:after="0"/>
              <w:rPr>
                <w:sz w:val="15"/>
                <w:szCs w:val="15"/>
                <w:color w:val="auto"/>
              </w:rPr>
            </w:pPr>
          </w:p>
        </w:tc>
        <w:tc>
          <w:tcPr>
            <w:tcW w:w="8760" w:type="dxa"/>
            <w:vAlign w:val="bottom"/>
            <w:tcBorders>
              <w:top w:val="single" w:sz="8" w:color="0000EE"/>
            </w:tcBorders>
            <w:gridSpan w:val="33"/>
          </w:tcPr>
          <w:p>
            <w:pPr>
              <w:spacing w:after="0" w:line="17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Letter Agreement between Thomas Szoke and AuthID Inc. dated April 12, 2023</w:t>
              </w:r>
            </w:hyperlink>
          </w:p>
        </w:tc>
        <w:tc>
          <w:tcPr>
            <w:tcW w:w="1340" w:type="dxa"/>
            <w:vAlign w:val="bottom"/>
            <w:tcBorders>
              <w:top w:val="single" w:sz="8" w:color="CCEEFF"/>
            </w:tcBorders>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58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17"/>
                <w:szCs w:val="17"/>
                <w:color w:val="auto"/>
              </w:rPr>
            </w:pPr>
          </w:p>
        </w:tc>
        <w:tc>
          <w:tcPr>
            <w:tcW w:w="6820" w:type="dxa"/>
            <w:vAlign w:val="bottom"/>
            <w:tcBorders>
              <w:bottom w:val="single" w:sz="8" w:color="0000EE"/>
            </w:tcBorders>
            <w:gridSpan w:val="21"/>
            <w:shd w:val="clear" w:color="auto" w:fill="CCEEFF"/>
          </w:tcPr>
          <w:p>
            <w:pPr>
              <w:spacing w:after="0" w:line="17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Executive Retention Agreement between Thomas Szoke and AuthID Inc. dated April 12, 2023</w:t>
              </w:r>
            </w:hyperlink>
          </w:p>
        </w:tc>
        <w:tc>
          <w:tcPr>
            <w:tcW w:w="3280" w:type="dxa"/>
            <w:vAlign w:val="bottom"/>
            <w:tcBorders>
              <w:bottom w:val="single" w:sz="8" w:color="CCEEFF"/>
            </w:tcBorders>
            <w:gridSpan w:val="13"/>
            <w:shd w:val="clear" w:color="auto" w:fill="CCEEFF"/>
          </w:tcPr>
          <w:p>
            <w:pPr>
              <w:spacing w:after="0"/>
              <w:rPr>
                <w:sz w:val="17"/>
                <w:szCs w:val="17"/>
                <w:color w:val="auto"/>
              </w:rPr>
            </w:pPr>
          </w:p>
        </w:tc>
      </w:tr>
      <w:tr>
        <w:trPr>
          <w:trHeight w:val="175"/>
        </w:trPr>
        <w:tc>
          <w:tcPr>
            <w:tcW w:w="4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5"/>
                <w:szCs w:val="15"/>
                <w:color w:val="auto"/>
              </w:rPr>
            </w:pPr>
          </w:p>
        </w:tc>
        <w:tc>
          <w:tcPr>
            <w:tcW w:w="10100" w:type="dxa"/>
            <w:vAlign w:val="bottom"/>
            <w:gridSpan w:val="34"/>
          </w:tcPr>
          <w:p>
            <w:pPr>
              <w:spacing w:after="0" w:line="17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Executive Retention Agreement between Annie Pham and AuthID Inc. dated May 11, 2023</w:t>
              </w:r>
            </w:hyperlink>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58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17"/>
                <w:szCs w:val="17"/>
                <w:color w:val="auto"/>
              </w:rPr>
            </w:pPr>
          </w:p>
        </w:tc>
        <w:tc>
          <w:tcPr>
            <w:tcW w:w="8200" w:type="dxa"/>
            <w:vAlign w:val="bottom"/>
            <w:tcBorders>
              <w:bottom w:val="single" w:sz="8" w:color="0000EE"/>
            </w:tcBorders>
            <w:gridSpan w:val="31"/>
            <w:shd w:val="clear" w:color="auto" w:fill="CCEEFF"/>
          </w:tcPr>
          <w:p>
            <w:pPr>
              <w:spacing w:after="0" w:line="17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Form of Securities Purchase Agreement dated as of May 23, 2023 between the Company and accredited investors</w:t>
              </w:r>
            </w:hyperlink>
          </w:p>
        </w:tc>
        <w:tc>
          <w:tcPr>
            <w:tcW w:w="1900" w:type="dxa"/>
            <w:vAlign w:val="bottom"/>
            <w:tcBorders>
              <w:bottom w:val="single" w:sz="8" w:color="CCEEFF"/>
            </w:tcBorders>
            <w:gridSpan w:val="3"/>
            <w:shd w:val="clear" w:color="auto" w:fill="CCEEFF"/>
          </w:tcPr>
          <w:p>
            <w:pPr>
              <w:spacing w:after="0"/>
              <w:rPr>
                <w:sz w:val="17"/>
                <w:szCs w:val="17"/>
                <w:color w:val="auto"/>
              </w:rPr>
            </w:pPr>
          </w:p>
        </w:tc>
      </w:tr>
      <w:tr>
        <w:trPr>
          <w:trHeight w:val="175"/>
        </w:trPr>
        <w:tc>
          <w:tcPr>
            <w:tcW w:w="4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5"/>
                <w:szCs w:val="15"/>
                <w:color w:val="auto"/>
              </w:rPr>
            </w:pPr>
          </w:p>
        </w:tc>
        <w:tc>
          <w:tcPr>
            <w:tcW w:w="10100" w:type="dxa"/>
            <w:vAlign w:val="bottom"/>
            <w:gridSpan w:val="34"/>
          </w:tcPr>
          <w:p>
            <w:pPr>
              <w:spacing w:after="0" w:line="17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Engagement Agreement dated as of April 20, 2023 between the Company and Madison Global Partners LLC</w:t>
              </w:r>
            </w:hyperlink>
          </w:p>
        </w:tc>
      </w:tr>
      <w:tr>
        <w:trPr>
          <w:trHeight w:val="21"/>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58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17"/>
                <w:szCs w:val="17"/>
                <w:color w:val="auto"/>
              </w:rPr>
            </w:pPr>
          </w:p>
        </w:tc>
        <w:tc>
          <w:tcPr>
            <w:tcW w:w="612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Stock Purchase Warrant dated May 26, 2023 issued to Madison Global Partners LLC</w:t>
              </w:r>
            </w:hyperlink>
          </w:p>
        </w:tc>
        <w:tc>
          <w:tcPr>
            <w:tcW w:w="3980" w:type="dxa"/>
            <w:vAlign w:val="bottom"/>
            <w:tcBorders>
              <w:bottom w:val="single" w:sz="8" w:color="CCEEFF"/>
            </w:tcBorders>
            <w:gridSpan w:val="18"/>
            <w:shd w:val="clear" w:color="auto" w:fill="CCEEFF"/>
          </w:tcPr>
          <w:p>
            <w:pPr>
              <w:spacing w:after="0"/>
              <w:rPr>
                <w:sz w:val="17"/>
                <w:szCs w:val="17"/>
                <w:color w:val="auto"/>
              </w:rPr>
            </w:pPr>
          </w:p>
        </w:tc>
      </w:tr>
      <w:tr>
        <w:trPr>
          <w:trHeight w:val="175"/>
        </w:trPr>
        <w:tc>
          <w:tcPr>
            <w:tcW w:w="4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5"/>
                <w:szCs w:val="15"/>
                <w:color w:val="auto"/>
              </w:rPr>
            </w:pPr>
          </w:p>
        </w:tc>
        <w:tc>
          <w:tcPr>
            <w:tcW w:w="10100" w:type="dxa"/>
            <w:vAlign w:val="bottom"/>
            <w:gridSpan w:val="34"/>
          </w:tcPr>
          <w:p>
            <w:pPr>
              <w:spacing w:after="0" w:line="17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Form of Exchange Agreement dated as of May 23, 2023 between the Company and certain Holders</w:t>
              </w:r>
            </w:hyperlink>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10.22</w:t>
            </w:r>
          </w:p>
        </w:tc>
        <w:tc>
          <w:tcPr>
            <w:tcW w:w="58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17"/>
                <w:szCs w:val="17"/>
                <w:color w:val="auto"/>
              </w:rPr>
            </w:pPr>
          </w:p>
        </w:tc>
        <w:tc>
          <w:tcPr>
            <w:tcW w:w="572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Letter Agreement between Edward Sellitto and authID Inc. dated July 31, 2023</w:t>
              </w:r>
            </w:hyperlink>
          </w:p>
        </w:tc>
        <w:tc>
          <w:tcPr>
            <w:tcW w:w="4380" w:type="dxa"/>
            <w:vAlign w:val="bottom"/>
            <w:tcBorders>
              <w:bottom w:val="single" w:sz="8" w:color="CCEEFF"/>
            </w:tcBorders>
            <w:gridSpan w:val="21"/>
            <w:shd w:val="clear" w:color="auto" w:fill="CCEEFF"/>
          </w:tcPr>
          <w:p>
            <w:pPr>
              <w:spacing w:after="0"/>
              <w:rPr>
                <w:sz w:val="17"/>
                <w:szCs w:val="17"/>
                <w:color w:val="auto"/>
              </w:rPr>
            </w:pPr>
          </w:p>
        </w:tc>
      </w:tr>
      <w:tr>
        <w:trPr>
          <w:trHeight w:val="175"/>
        </w:trPr>
        <w:tc>
          <w:tcPr>
            <w:tcW w:w="4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10.23</w:t>
            </w:r>
          </w:p>
        </w:tc>
        <w:tc>
          <w:tcPr>
            <w:tcW w:w="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5"/>
                <w:szCs w:val="15"/>
                <w:color w:val="auto"/>
              </w:rPr>
            </w:pPr>
          </w:p>
        </w:tc>
        <w:tc>
          <w:tcPr>
            <w:tcW w:w="10100" w:type="dxa"/>
            <w:vAlign w:val="bottom"/>
            <w:gridSpan w:val="34"/>
          </w:tcPr>
          <w:p>
            <w:pPr>
              <w:spacing w:after="0" w:line="17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Agreement dated October 25, 2023 between The Pipeline Group, Inc. and authID Inc.</w:t>
              </w:r>
            </w:hyperlink>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10.24</w:t>
            </w:r>
          </w:p>
        </w:tc>
        <w:tc>
          <w:tcPr>
            <w:tcW w:w="58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17"/>
                <w:szCs w:val="17"/>
                <w:color w:val="auto"/>
              </w:rPr>
            </w:pPr>
          </w:p>
        </w:tc>
        <w:tc>
          <w:tcPr>
            <w:tcW w:w="8560" w:type="dxa"/>
            <w:vAlign w:val="bottom"/>
            <w:tcBorders>
              <w:bottom w:val="single" w:sz="8" w:color="0000EE"/>
            </w:tcBorders>
            <w:gridSpan w:val="32"/>
            <w:shd w:val="clear" w:color="auto" w:fill="CCEEFF"/>
          </w:tcPr>
          <w:p>
            <w:pPr>
              <w:spacing w:after="0" w:line="17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Form of Securities Purchase Agreement dated as of November 20, 2023 between the Company and accredited investor</w:t>
              </w:r>
            </w:hyperlink>
          </w:p>
        </w:tc>
        <w:tc>
          <w:tcPr>
            <w:tcW w:w="1540" w:type="dxa"/>
            <w:vAlign w:val="bottom"/>
            <w:tcBorders>
              <w:bottom w:val="single" w:sz="8" w:color="CCEEFF"/>
            </w:tcBorders>
            <w:gridSpan w:val="2"/>
            <w:shd w:val="clear" w:color="auto" w:fill="CCEEFF"/>
          </w:tcPr>
          <w:p>
            <w:pPr>
              <w:spacing w:after="0"/>
              <w:rPr>
                <w:sz w:val="17"/>
                <w:szCs w:val="17"/>
                <w:color w:val="auto"/>
              </w:rPr>
            </w:pPr>
          </w:p>
        </w:tc>
      </w:tr>
      <w:tr>
        <w:trPr>
          <w:trHeight w:val="176"/>
        </w:trPr>
        <w:tc>
          <w:tcPr>
            <w:tcW w:w="4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10.25</w:t>
            </w:r>
          </w:p>
        </w:tc>
        <w:tc>
          <w:tcPr>
            <w:tcW w:w="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5"/>
                <w:szCs w:val="15"/>
                <w:color w:val="auto"/>
              </w:rPr>
            </w:pPr>
          </w:p>
        </w:tc>
        <w:tc>
          <w:tcPr>
            <w:tcW w:w="10100" w:type="dxa"/>
            <w:vAlign w:val="bottom"/>
            <w:gridSpan w:val="34"/>
          </w:tcPr>
          <w:p>
            <w:pPr>
              <w:spacing w:after="0" w:line="17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Engagement Agreement dated as of November 2, 2023 between the Company and Madison Global Partners, LLC</w:t>
              </w:r>
            </w:hyperlink>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4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10.26</w:t>
            </w:r>
          </w:p>
        </w:tc>
        <w:tc>
          <w:tcPr>
            <w:tcW w:w="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7"/>
                <w:szCs w:val="17"/>
                <w:color w:val="auto"/>
              </w:rPr>
            </w:pPr>
          </w:p>
        </w:tc>
        <w:tc>
          <w:tcPr>
            <w:tcW w:w="10100" w:type="dxa"/>
            <w:vAlign w:val="bottom"/>
            <w:gridSpan w:val="34"/>
            <w:shd w:val="clear" w:color="auto" w:fill="CCEEFF"/>
          </w:tcPr>
          <w:p>
            <w:pPr>
              <w:spacing w:after="0" w:line="17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Stock Purchase Warrant dated November 22, 2023 issued to Madison Global Partners, LLC</w:t>
              </w:r>
            </w:hyperlink>
          </w:p>
        </w:tc>
      </w:tr>
      <w:tr>
        <w:trPr>
          <w:trHeight w:val="655"/>
        </w:trPr>
        <w:tc>
          <w:tcPr>
            <w:tcW w:w="26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5620" w:type="dxa"/>
            <w:vAlign w:val="bottom"/>
            <w:tcBorders>
              <w:top w:val="single" w:sz="8" w:color="0000EE"/>
              <w:bottom w:val="single" w:sz="8" w:color="auto"/>
            </w:tcBorders>
            <w:gridSpan w:val="12"/>
          </w:tcPr>
          <w:p>
            <w:pPr>
              <w:ind w:left="440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3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10.27</w:t>
            </w:r>
          </w:p>
        </w:tc>
        <w:tc>
          <w:tcPr>
            <w:tcW w:w="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(19)**</w:t>
            </w:r>
          </w:p>
        </w:tc>
        <w:tc>
          <w:tcPr>
            <w:tcW w:w="6300" w:type="dxa"/>
            <w:vAlign w:val="bottom"/>
            <w:tcBorders>
              <w:bottom w:val="single" w:sz="8" w:color="0000EE"/>
            </w:tcBorders>
            <w:gridSpan w:val="14"/>
            <w:shd w:val="clear" w:color="auto" w:fill="CCEEFF"/>
          </w:tcPr>
          <w:p>
            <w:pPr>
              <w:spacing w:after="0"/>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Agreement dated December 19, 2023 between The Pipeline Group, Inc and authID Inc.</w:t>
              </w:r>
            </w:hyperlink>
          </w:p>
        </w:tc>
        <w:tc>
          <w:tcPr>
            <w:tcW w:w="3800" w:type="dxa"/>
            <w:vAlign w:val="bottom"/>
            <w:tcBorders>
              <w:bottom w:val="single" w:sz="8" w:color="CCEEFF"/>
            </w:tcBorders>
            <w:gridSpan w:val="12"/>
            <w:shd w:val="clear" w:color="auto" w:fill="CCEEFF"/>
          </w:tcPr>
          <w:p>
            <w:pPr>
              <w:spacing w:after="0"/>
              <w:rPr>
                <w:sz w:val="19"/>
                <w:szCs w:val="19"/>
                <w:color w:val="auto"/>
              </w:rPr>
            </w:pPr>
          </w:p>
        </w:tc>
      </w:tr>
      <w:tr>
        <w:trPr>
          <w:trHeight w:val="176"/>
        </w:trPr>
        <w:tc>
          <w:tcPr>
            <w:tcW w:w="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10.28</w:t>
            </w:r>
          </w:p>
        </w:tc>
        <w:tc>
          <w:tcPr>
            <w:tcW w:w="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10100" w:type="dxa"/>
            <w:vAlign w:val="bottom"/>
            <w:gridSpan w:val="26"/>
          </w:tcPr>
          <w:p>
            <w:pPr>
              <w:spacing w:after="0" w:line="17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Letter Agreement between Kunal Mehta and authID Inc.</w:t>
              </w:r>
            </w:hyperlink>
          </w:p>
        </w:tc>
      </w:tr>
      <w:tr>
        <w:trPr>
          <w:trHeight w:val="20"/>
        </w:trPr>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10.29</w:t>
            </w:r>
          </w:p>
        </w:tc>
        <w:tc>
          <w:tcPr>
            <w:tcW w:w="70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820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Form of Securities Purchase Agreement dated as of June 24, 2024 between the Company and accredited investors</w:t>
              </w:r>
            </w:hyperlink>
          </w:p>
        </w:tc>
        <w:tc>
          <w:tcPr>
            <w:tcW w:w="1900" w:type="dxa"/>
            <w:vAlign w:val="bottom"/>
            <w:tcBorders>
              <w:bottom w:val="single" w:sz="8" w:color="CCEEFF"/>
            </w:tcBorders>
            <w:gridSpan w:val="3"/>
            <w:shd w:val="clear" w:color="auto" w:fill="CCEEFF"/>
          </w:tcPr>
          <w:p>
            <w:pPr>
              <w:spacing w:after="0"/>
              <w:rPr>
                <w:sz w:val="17"/>
                <w:szCs w:val="17"/>
                <w:color w:val="auto"/>
              </w:rPr>
            </w:pPr>
          </w:p>
        </w:tc>
      </w:tr>
      <w:tr>
        <w:trPr>
          <w:trHeight w:val="175"/>
        </w:trPr>
        <w:tc>
          <w:tcPr>
            <w:tcW w:w="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10.30</w:t>
            </w:r>
          </w:p>
        </w:tc>
        <w:tc>
          <w:tcPr>
            <w:tcW w:w="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0100" w:type="dxa"/>
            <w:vAlign w:val="bottom"/>
            <w:gridSpan w:val="26"/>
          </w:tcPr>
          <w:p>
            <w:pPr>
              <w:spacing w:after="0" w:line="17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Engagement Agreement, dated as of June 24, 2024 between the Company and Madison Global Partners, LLC</w:t>
              </w:r>
            </w:hyperlink>
          </w:p>
        </w:tc>
      </w:tr>
      <w:tr>
        <w:trPr>
          <w:trHeight w:val="21"/>
        </w:trPr>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10.31</w:t>
            </w:r>
          </w:p>
        </w:tc>
        <w:tc>
          <w:tcPr>
            <w:tcW w:w="70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612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Stock Purchase Warrant issued to Madison Global Partners LLC dated June 27, 2024</w:t>
              </w:r>
            </w:hyperlink>
          </w:p>
        </w:tc>
        <w:tc>
          <w:tcPr>
            <w:tcW w:w="3980" w:type="dxa"/>
            <w:vAlign w:val="bottom"/>
            <w:tcBorders>
              <w:bottom w:val="single" w:sz="8" w:color="CCEEFF"/>
            </w:tcBorders>
            <w:gridSpan w:val="13"/>
            <w:shd w:val="clear" w:color="auto" w:fill="CCEEFF"/>
          </w:tcPr>
          <w:p>
            <w:pPr>
              <w:spacing w:after="0"/>
              <w:rPr>
                <w:sz w:val="17"/>
                <w:szCs w:val="17"/>
                <w:color w:val="auto"/>
              </w:rPr>
            </w:pPr>
          </w:p>
        </w:tc>
      </w:tr>
      <w:tr>
        <w:trPr>
          <w:trHeight w:val="176"/>
        </w:trPr>
        <w:tc>
          <w:tcPr>
            <w:tcW w:w="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10.32</w:t>
            </w:r>
          </w:p>
        </w:tc>
        <w:tc>
          <w:tcPr>
            <w:tcW w:w="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10100" w:type="dxa"/>
            <w:vAlign w:val="bottom"/>
            <w:gridSpan w:val="26"/>
          </w:tcPr>
          <w:p>
            <w:pPr>
              <w:spacing w:after="0" w:line="17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Agreement dated August 26, 2024 between The Pipeline Group, Inc. and authID Inc.</w:t>
              </w:r>
            </w:hyperlink>
          </w:p>
        </w:tc>
      </w:tr>
      <w:tr>
        <w:trPr>
          <w:trHeight w:val="20"/>
        </w:trPr>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76"/>
        </w:trPr>
        <w:tc>
          <w:tcPr>
            <w:tcW w:w="4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10.33</w:t>
            </w:r>
          </w:p>
        </w:tc>
        <w:tc>
          <w:tcPr>
            <w:tcW w:w="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10100" w:type="dxa"/>
            <w:vAlign w:val="bottom"/>
            <w:gridSpan w:val="26"/>
            <w:shd w:val="clear" w:color="auto" w:fill="CCEEFF"/>
          </w:tcPr>
          <w:p>
            <w:pPr>
              <w:spacing w:after="0" w:line="17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Letter Agreement between Erick Soto and authID Inc. dated September 10, 2024</w:t>
              </w:r>
            </w:hyperlink>
          </w:p>
        </w:tc>
      </w:tr>
      <w:tr>
        <w:trPr>
          <w:trHeight w:val="20"/>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10.34</w:t>
            </w:r>
          </w:p>
        </w:tc>
        <w:tc>
          <w:tcPr>
            <w:tcW w:w="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10100" w:type="dxa"/>
            <w:vAlign w:val="bottom"/>
            <w:gridSpan w:val="26"/>
          </w:tcPr>
          <w:p>
            <w:pPr>
              <w:spacing w:after="0" w:line="17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Executive Retention Agreement between Erick Soto and AuthID Inc. dated September 10, 2024</w:t>
              </w:r>
            </w:hyperlink>
          </w:p>
        </w:tc>
      </w:tr>
      <w:tr>
        <w:trPr>
          <w:trHeight w:val="20"/>
        </w:trPr>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10.35</w:t>
            </w:r>
          </w:p>
        </w:tc>
        <w:tc>
          <w:tcPr>
            <w:tcW w:w="70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18"/>
                <w:szCs w:val="18"/>
                <w:b w:val="1"/>
                <w:bCs w:val="1"/>
                <w:color w:val="auto"/>
              </w:rPr>
              <w:t>**</w:t>
            </w:r>
          </w:p>
        </w:tc>
        <w:tc>
          <w:tcPr>
            <w:tcW w:w="8340" w:type="dxa"/>
            <w:vAlign w:val="bottom"/>
            <w:tcBorders>
              <w:bottom w:val="single" w:sz="8" w:color="0000EE"/>
            </w:tcBorders>
            <w:gridSpan w:val="24"/>
            <w:shd w:val="clear" w:color="auto" w:fill="CCEEFF"/>
          </w:tcPr>
          <w:p>
            <w:pPr>
              <w:spacing w:after="0" w:line="17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Form of Securities Purchase Agreement dated as of March 31, 2025 between the Company and accredited investors</w:t>
              </w:r>
            </w:hyperlink>
          </w:p>
        </w:tc>
        <w:tc>
          <w:tcPr>
            <w:tcW w:w="1760" w:type="dxa"/>
            <w:vAlign w:val="bottom"/>
            <w:tcBorders>
              <w:bottom w:val="single" w:sz="8" w:color="CCEEFF"/>
            </w:tcBorders>
            <w:gridSpan w:val="2"/>
            <w:shd w:val="clear" w:color="auto" w:fill="CCEEFF"/>
          </w:tcPr>
          <w:p>
            <w:pPr>
              <w:spacing w:after="0"/>
              <w:rPr>
                <w:sz w:val="17"/>
                <w:szCs w:val="17"/>
                <w:color w:val="auto"/>
              </w:rPr>
            </w:pPr>
          </w:p>
        </w:tc>
      </w:tr>
      <w:tr>
        <w:trPr>
          <w:trHeight w:val="175"/>
        </w:trPr>
        <w:tc>
          <w:tcPr>
            <w:tcW w:w="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10.36</w:t>
            </w:r>
          </w:p>
        </w:tc>
        <w:tc>
          <w:tcPr>
            <w:tcW w:w="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10100" w:type="dxa"/>
            <w:vAlign w:val="bottom"/>
            <w:gridSpan w:val="26"/>
          </w:tcPr>
          <w:p>
            <w:pPr>
              <w:spacing w:after="0" w:line="17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Form of Pre-Funded Warrant dated April 1, 2025</w:t>
              </w:r>
            </w:hyperlink>
          </w:p>
        </w:tc>
      </w:tr>
      <w:tr>
        <w:trPr>
          <w:trHeight w:val="21"/>
        </w:trPr>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75"/>
        </w:trPr>
        <w:tc>
          <w:tcPr>
            <w:tcW w:w="4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10.37</w:t>
            </w:r>
          </w:p>
        </w:tc>
        <w:tc>
          <w:tcPr>
            <w:tcW w:w="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10100" w:type="dxa"/>
            <w:vAlign w:val="bottom"/>
            <w:gridSpan w:val="26"/>
            <w:shd w:val="clear" w:color="auto" w:fill="CCEEFF"/>
          </w:tcPr>
          <w:p>
            <w:pPr>
              <w:spacing w:after="0" w:line="17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Engagement Agreement dated as of March 12, 2025 between the Company and Madison Global Partners LLC</w:t>
              </w:r>
            </w:hyperlink>
          </w:p>
        </w:tc>
      </w:tr>
      <w:tr>
        <w:trPr>
          <w:trHeight w:val="21"/>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10.38</w:t>
            </w:r>
          </w:p>
        </w:tc>
        <w:tc>
          <w:tcPr>
            <w:tcW w:w="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10100" w:type="dxa"/>
            <w:vAlign w:val="bottom"/>
            <w:gridSpan w:val="26"/>
          </w:tcPr>
          <w:p>
            <w:pPr>
              <w:spacing w:after="0" w:line="17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Amendment to the Engagement Agreement dated as of March 26, 2025 between the Company and Madison Global Partners LLC</w:t>
              </w:r>
            </w:hyperlink>
          </w:p>
        </w:tc>
      </w:tr>
      <w:tr>
        <w:trPr>
          <w:trHeight w:val="20"/>
        </w:trPr>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10.39</w:t>
            </w:r>
          </w:p>
        </w:tc>
        <w:tc>
          <w:tcPr>
            <w:tcW w:w="70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766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Placement Agency Agreement between the Company and Dominari Securities LLC dated March 31, 2025</w:t>
              </w:r>
            </w:hyperlink>
          </w:p>
        </w:tc>
        <w:tc>
          <w:tcPr>
            <w:tcW w:w="2440" w:type="dxa"/>
            <w:vAlign w:val="bottom"/>
            <w:tcBorders>
              <w:bottom w:val="single" w:sz="8" w:color="CCEEFF"/>
            </w:tcBorders>
            <w:gridSpan w:val="8"/>
            <w:shd w:val="clear" w:color="auto" w:fill="CCEEFF"/>
          </w:tcPr>
          <w:p>
            <w:pPr>
              <w:spacing w:after="0"/>
              <w:rPr>
                <w:sz w:val="17"/>
                <w:szCs w:val="17"/>
                <w:color w:val="auto"/>
              </w:rPr>
            </w:pPr>
          </w:p>
        </w:tc>
      </w:tr>
      <w:tr>
        <w:trPr>
          <w:trHeight w:val="175"/>
        </w:trPr>
        <w:tc>
          <w:tcPr>
            <w:tcW w:w="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10.40</w:t>
            </w:r>
          </w:p>
        </w:tc>
        <w:tc>
          <w:tcPr>
            <w:tcW w:w="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10100" w:type="dxa"/>
            <w:vAlign w:val="bottom"/>
            <w:gridSpan w:val="26"/>
          </w:tcPr>
          <w:p>
            <w:pPr>
              <w:spacing w:after="0" w:line="17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Stock Purchase Warrant issued to Madison Global Partners LLC dated April 1, 2025</w:t>
              </w:r>
            </w:hyperlink>
          </w:p>
        </w:tc>
      </w:tr>
      <w:tr>
        <w:trPr>
          <w:trHeight w:val="21"/>
        </w:trPr>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75"/>
        </w:trPr>
        <w:tc>
          <w:tcPr>
            <w:tcW w:w="4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10.41</w:t>
            </w:r>
          </w:p>
        </w:tc>
        <w:tc>
          <w:tcPr>
            <w:tcW w:w="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10100" w:type="dxa"/>
            <w:vAlign w:val="bottom"/>
            <w:gridSpan w:val="26"/>
            <w:shd w:val="clear" w:color="auto" w:fill="CCEEFF"/>
          </w:tcPr>
          <w:p>
            <w:pPr>
              <w:spacing w:after="0" w:line="17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Stock Purchase Warrant issued to Dominari Securities LLC dated April 1, 2025</w:t>
              </w:r>
            </w:hyperlink>
          </w:p>
        </w:tc>
      </w:tr>
      <w:tr>
        <w:trPr>
          <w:trHeight w:val="21"/>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10.42</w:t>
            </w:r>
          </w:p>
        </w:tc>
        <w:tc>
          <w:tcPr>
            <w:tcW w:w="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10100" w:type="dxa"/>
            <w:vAlign w:val="bottom"/>
            <w:gridSpan w:val="26"/>
          </w:tcPr>
          <w:p>
            <w:pPr>
              <w:spacing w:after="0" w:line="17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Form of Securities Purchase Agreement, dated as of May 6, 2025, between the Company and accredited investors</w:t>
              </w:r>
            </w:hyperlink>
          </w:p>
        </w:tc>
      </w:tr>
      <w:tr>
        <w:trPr>
          <w:trHeight w:val="21"/>
        </w:trPr>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4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10.43</w:t>
            </w:r>
          </w:p>
        </w:tc>
        <w:tc>
          <w:tcPr>
            <w:tcW w:w="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10100" w:type="dxa"/>
            <w:vAlign w:val="bottom"/>
            <w:gridSpan w:val="26"/>
            <w:shd w:val="clear" w:color="auto" w:fill="CCEEFF"/>
          </w:tcPr>
          <w:p>
            <w:pPr>
              <w:spacing w:after="0" w:line="17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Placement Agency Agreement between the Company and Dominari Securities LLC dated May 6, 2025</w:t>
              </w:r>
            </w:hyperlink>
          </w:p>
        </w:tc>
      </w:tr>
      <w:tr>
        <w:trPr>
          <w:trHeight w:val="176"/>
        </w:trPr>
        <w:tc>
          <w:tcPr>
            <w:tcW w:w="4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10.44</w:t>
            </w:r>
          </w:p>
        </w:tc>
        <w:tc>
          <w:tcPr>
            <w:tcW w:w="700" w:type="dxa"/>
            <w:vAlign w:val="bottom"/>
            <w:tcBorders>
              <w:top w:val="single" w:sz="8" w:color="CCEEFF"/>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7420" w:type="dxa"/>
            <w:vAlign w:val="bottom"/>
            <w:tcBorders>
              <w:top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Stock Purchase Warrant issued to Madison Global Partners, LLC dated May 7, 2025</w:t>
              </w:r>
            </w:hyperlink>
          </w:p>
        </w:tc>
        <w:tc>
          <w:tcPr>
            <w:tcW w:w="2680" w:type="dxa"/>
            <w:vAlign w:val="bottom"/>
            <w:tcBorders>
              <w:top w:val="single" w:sz="8" w:color="CCEEFF"/>
            </w:tcBorders>
            <w:gridSpan w:val="9"/>
          </w:tcPr>
          <w:p>
            <w:pPr>
              <w:spacing w:after="0"/>
              <w:rPr>
                <w:sz w:val="15"/>
                <w:szCs w:val="15"/>
                <w:color w:val="auto"/>
              </w:rPr>
            </w:pPr>
          </w:p>
        </w:tc>
      </w:tr>
      <w:tr>
        <w:trPr>
          <w:trHeight w:val="20"/>
        </w:trPr>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10.45</w:t>
            </w:r>
          </w:p>
        </w:tc>
        <w:tc>
          <w:tcPr>
            <w:tcW w:w="70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568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Stock Purchase Warrant issued to Dominari Securities LLC dated May 7, 2025</w:t>
              </w:r>
            </w:hyperlink>
          </w:p>
        </w:tc>
        <w:tc>
          <w:tcPr>
            <w:tcW w:w="4420" w:type="dxa"/>
            <w:vAlign w:val="bottom"/>
            <w:tcBorders>
              <w:bottom w:val="single" w:sz="8" w:color="CCEEFF"/>
            </w:tcBorders>
            <w:gridSpan w:val="17"/>
            <w:shd w:val="clear" w:color="auto" w:fill="CCEEFF"/>
          </w:tcPr>
          <w:p>
            <w:pPr>
              <w:spacing w:after="0"/>
              <w:rPr>
                <w:sz w:val="17"/>
                <w:szCs w:val="17"/>
                <w:color w:val="auto"/>
              </w:rPr>
            </w:pPr>
          </w:p>
        </w:tc>
      </w:tr>
      <w:tr>
        <w:trPr>
          <w:trHeight w:val="176"/>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10.46*</w:t>
            </w:r>
          </w:p>
        </w:tc>
        <w:tc>
          <w:tcPr>
            <w:tcW w:w="1010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Form of Director Appointment Letter</w:t>
            </w:r>
          </w:p>
        </w:tc>
      </w:tr>
      <w:tr>
        <w:trPr>
          <w:trHeight w:val="21"/>
        </w:trPr>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14.1 (17)</w:t>
            </w:r>
          </w:p>
        </w:tc>
        <w:tc>
          <w:tcPr>
            <w:tcW w:w="108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Code of Ethics</w:t>
              </w:r>
            </w:hyperlink>
          </w:p>
        </w:tc>
        <w:tc>
          <w:tcPr>
            <w:tcW w:w="9020" w:type="dxa"/>
            <w:vAlign w:val="bottom"/>
            <w:tcBorders>
              <w:bottom w:val="single" w:sz="8" w:color="CCEEFF"/>
            </w:tcBorders>
            <w:gridSpan w:val="25"/>
            <w:shd w:val="clear" w:color="auto" w:fill="CCEEFF"/>
          </w:tcPr>
          <w:p>
            <w:pPr>
              <w:spacing w:after="0"/>
              <w:rPr>
                <w:sz w:val="17"/>
                <w:szCs w:val="17"/>
                <w:color w:val="auto"/>
              </w:rPr>
            </w:pP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19 (24)</w:t>
            </w:r>
          </w:p>
        </w:tc>
        <w:tc>
          <w:tcPr>
            <w:tcW w:w="10100" w:type="dxa"/>
            <w:vAlign w:val="bottom"/>
            <w:gridSpan w:val="26"/>
          </w:tcPr>
          <w:p>
            <w:pPr>
              <w:spacing w:after="0" w:line="176" w:lineRule="exact"/>
              <w:rPr>
                <w:rFonts w:ascii="Times New Roman" w:cs="Times New Roman" w:eastAsia="Times New Roman" w:hAnsi="Times New Roman"/>
                <w:sz w:val="18"/>
                <w:szCs w:val="18"/>
                <w:b w:val="1"/>
                <w:bCs w:val="1"/>
                <w:color w:val="0000EE"/>
              </w:rPr>
            </w:pPr>
            <w:hyperlink r:id="rId94">
              <w:r>
                <w:rPr>
                  <w:rFonts w:ascii="Times New Roman" w:cs="Times New Roman" w:eastAsia="Times New Roman" w:hAnsi="Times New Roman"/>
                  <w:sz w:val="18"/>
                  <w:szCs w:val="18"/>
                  <w:b w:val="1"/>
                  <w:bCs w:val="1"/>
                  <w:color w:val="0000EE"/>
                </w:rPr>
                <w:t>Insider Trading Policy</w:t>
              </w:r>
            </w:hyperlink>
          </w:p>
        </w:tc>
      </w:tr>
      <w:tr>
        <w:trPr>
          <w:trHeight w:val="21"/>
        </w:trPr>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7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 (24)</w:t>
            </w:r>
          </w:p>
        </w:tc>
        <w:tc>
          <w:tcPr>
            <w:tcW w:w="10100" w:type="dxa"/>
            <w:vAlign w:val="bottom"/>
            <w:gridSpan w:val="26"/>
            <w:shd w:val="clear" w:color="auto" w:fill="CCEEFF"/>
          </w:tcPr>
          <w:p>
            <w:pPr>
              <w:spacing w:after="0" w:line="17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List of Subsidiaries</w:t>
              </w:r>
            </w:hyperlink>
          </w:p>
        </w:tc>
      </w:tr>
      <w:tr>
        <w:trPr>
          <w:trHeight w:val="20"/>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700" w:type="dxa"/>
            <w:vAlign w:val="bottom"/>
          </w:tcPr>
          <w:p>
            <w:pPr>
              <w:spacing w:after="0"/>
              <w:rPr>
                <w:sz w:val="15"/>
                <w:szCs w:val="15"/>
                <w:color w:val="auto"/>
              </w:rPr>
            </w:pPr>
          </w:p>
        </w:tc>
        <w:tc>
          <w:tcPr>
            <w:tcW w:w="1010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Rule 13a-14(a)/15d-14(a) of the Securities Exchange Act</w:t>
            </w:r>
          </w:p>
        </w:tc>
      </w:tr>
      <w:tr>
        <w:trPr>
          <w:trHeight w:val="20"/>
        </w:trPr>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700" w:type="dxa"/>
            <w:vAlign w:val="bottom"/>
            <w:tcBorders>
              <w:bottom w:val="single" w:sz="8" w:color="CCEEFF"/>
            </w:tcBorders>
            <w:shd w:val="clear" w:color="auto" w:fill="CCEEFF"/>
          </w:tcPr>
          <w:p>
            <w:pPr>
              <w:spacing w:after="0"/>
              <w:rPr>
                <w:sz w:val="17"/>
                <w:szCs w:val="17"/>
                <w:color w:val="auto"/>
              </w:rPr>
            </w:pPr>
          </w:p>
        </w:tc>
        <w:tc>
          <w:tcPr>
            <w:tcW w:w="784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Rule 13a-14(a)/15d-14(a) of the Securities Exchange Act</w:t>
            </w:r>
          </w:p>
        </w:tc>
        <w:tc>
          <w:tcPr>
            <w:tcW w:w="2260" w:type="dxa"/>
            <w:vAlign w:val="bottom"/>
            <w:tcBorders>
              <w:bottom w:val="single" w:sz="8" w:color="CCEEFF"/>
            </w:tcBorders>
            <w:gridSpan w:val="7"/>
            <w:shd w:val="clear" w:color="auto" w:fill="CCEEFF"/>
          </w:tcPr>
          <w:p>
            <w:pPr>
              <w:spacing w:after="0"/>
              <w:rPr>
                <w:sz w:val="17"/>
                <w:szCs w:val="17"/>
                <w:color w:val="auto"/>
              </w:rPr>
            </w:pPr>
          </w:p>
        </w:tc>
      </w:tr>
      <w:tr>
        <w:trPr>
          <w:trHeight w:val="175"/>
        </w:trPr>
        <w:tc>
          <w:tcPr>
            <w:tcW w:w="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700" w:type="dxa"/>
            <w:vAlign w:val="bottom"/>
          </w:tcPr>
          <w:p>
            <w:pPr>
              <w:spacing w:after="0"/>
              <w:rPr>
                <w:sz w:val="15"/>
                <w:szCs w:val="15"/>
                <w:color w:val="auto"/>
              </w:rPr>
            </w:pPr>
          </w:p>
        </w:tc>
        <w:tc>
          <w:tcPr>
            <w:tcW w:w="10100" w:type="dxa"/>
            <w:vAlign w:val="bottom"/>
            <w:tcBorders>
              <w:bottom w:val="single" w:sz="8" w:color="0000EE"/>
            </w:tcBorders>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and Chief Financial Officer pursuant to 18 U.S.C. §1350, as adopted pursuant to Section 906 of the</w:t>
            </w:r>
          </w:p>
        </w:tc>
      </w:tr>
      <w:tr>
        <w:trPr>
          <w:trHeight w:val="196"/>
        </w:trPr>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1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r>
      <w:tr>
        <w:trPr>
          <w:trHeight w:val="20"/>
        </w:trPr>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97.1 (17)</w:t>
            </w:r>
          </w:p>
        </w:tc>
        <w:tc>
          <w:tcPr>
            <w:tcW w:w="644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Policy for the Recovery of Erroneously Awarded Compensation adopted October 6, 2023</w:t>
              </w:r>
            </w:hyperlink>
          </w:p>
        </w:tc>
        <w:tc>
          <w:tcPr>
            <w:tcW w:w="3660" w:type="dxa"/>
            <w:vAlign w:val="bottom"/>
            <w:tcBorders>
              <w:bottom w:val="single" w:sz="8" w:color="CCEEFF"/>
            </w:tcBorders>
            <w:gridSpan w:val="11"/>
            <w:shd w:val="clear" w:color="auto" w:fill="CCEEFF"/>
          </w:tcPr>
          <w:p>
            <w:pPr>
              <w:spacing w:after="0"/>
              <w:rPr>
                <w:sz w:val="17"/>
                <w:szCs w:val="17"/>
                <w:color w:val="auto"/>
              </w:rPr>
            </w:pP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99.1 (21)</w:t>
            </w:r>
          </w:p>
        </w:tc>
        <w:tc>
          <w:tcPr>
            <w:tcW w:w="10100" w:type="dxa"/>
            <w:vAlign w:val="bottom"/>
            <w:gridSpan w:val="26"/>
          </w:tcPr>
          <w:p>
            <w:pPr>
              <w:spacing w:after="0" w:line="17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Policy on Granting Equity Awards</w:t>
              </w:r>
            </w:hyperlink>
          </w:p>
        </w:tc>
      </w:tr>
      <w:tr>
        <w:trPr>
          <w:trHeight w:val="21"/>
        </w:trPr>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3520" w:firstLine="8"/>
        <w:spacing w:after="0" w:line="489" w:lineRule="auto"/>
        <w:tabs>
          <w:tab w:leader="none" w:pos="11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line="1" w:lineRule="exact"/>
        <w:rPr>
          <w:sz w:val="20"/>
          <w:szCs w:val="20"/>
          <w:color w:val="auto"/>
        </w:rPr>
      </w:pPr>
    </w:p>
    <w:p>
      <w:pPr>
        <w:jc w:val="both"/>
        <w:ind w:left="460" w:hanging="452"/>
        <w:spacing w:after="0" w:line="266"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were omitted by means of marking such portions with asterisks because the identified confidential portions (i) are not material and (ii) would be competitively harmful if publicly disclosed. A copy of any omitted portions will be furnished to the SEC upon request.</w:t>
      </w:r>
    </w:p>
    <w:p>
      <w:pPr>
        <w:spacing w:after="0" w:line="176" w:lineRule="exact"/>
        <w:rPr>
          <w:sz w:val="20"/>
          <w:szCs w:val="20"/>
          <w:color w:val="auto"/>
        </w:rPr>
      </w:pPr>
    </w:p>
    <w:p>
      <w:pPr>
        <w:ind w:left="5540" w:right="1660" w:hanging="5532"/>
        <w:spacing w:after="0" w:line="783" w:lineRule="auto"/>
        <w:tabs>
          <w:tab w:leader="none" w:pos="45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March 23, 2021.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7" w:name="page28"/>
    <w:bookmarkEnd w:id="27"/>
    <w:p>
      <w:pPr>
        <w:ind w:left="452" w:hanging="452"/>
        <w:spacing w:after="0"/>
        <w:tabs>
          <w:tab w:leader="none" w:pos="4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June 15, 2021.</w:t>
      </w:r>
    </w:p>
    <w:p>
      <w:pPr>
        <w:spacing w:after="0" w:line="27"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10-Q Quarterly Report filed with the Securities Exchange Commission on May 4, 2018.</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the Form S-8 Registration Statement filed with the Securities Exchange Commission on February 1, 2022.</w:t>
      </w:r>
    </w:p>
    <w:p>
      <w:pPr>
        <w:spacing w:after="0" w:line="20" w:lineRule="exact"/>
        <w:rPr>
          <w:rFonts w:ascii="Times New Roman" w:cs="Times New Roman" w:eastAsia="Times New Roman" w:hAnsi="Times New Roman"/>
          <w:sz w:val="17"/>
          <w:szCs w:val="17"/>
          <w:color w:val="auto"/>
        </w:rPr>
      </w:pPr>
    </w:p>
    <w:p>
      <w:pPr>
        <w:ind w:left="452" w:hanging="452"/>
        <w:spacing w:after="0"/>
        <w:tabs>
          <w:tab w:leader="none" w:pos="4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April 27, 2022.</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July 19, 2022.</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September 21, 2022.</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March 10, 2023.</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March 28, 2023.</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10-K Annual Report filed with the Securities Exchange Commission on March 30, 2023.</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April 18, 2023.</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May 16, 2023.</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May 26, 2023.</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June 27, 2023.</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August 3, 2023.</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October 26, 2023.</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10-Q Quarterly Report filed with the Securities Exchange Commission on November 8, 2023.</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November 27, 2023.</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December 21, 2023.</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March 26, 2024.</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10-Q Quarterly Report filed with the Securities Exchange Commission on May 15, 2024.</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June 27, 2024.</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10-Q Quarterly Report filed with the Securities Exchange Commission on November 7, 2024.</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10-K Annual Report filed with the Securities Exchange Commission on March 13, 2025.</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April 2, 2025.</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May 7, 2025</w:t>
      </w:r>
    </w:p>
    <w:p>
      <w:pPr>
        <w:spacing w:after="0" w:line="200" w:lineRule="exact"/>
        <w:rPr>
          <w:sz w:val="20"/>
          <w:szCs w:val="20"/>
          <w:color w:val="auto"/>
        </w:rPr>
      </w:pPr>
    </w:p>
    <w:p>
      <w:pPr>
        <w:spacing w:after="0" w:line="223" w:lineRule="exact"/>
        <w:rPr>
          <w:sz w:val="20"/>
          <w:szCs w:val="20"/>
          <w:color w:val="auto"/>
        </w:rPr>
      </w:pPr>
    </w:p>
    <w:p>
      <w:pPr>
        <w:ind w:left="5532"/>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92"/>
          </w:cols>
          <w:pgMar w:left="328" w:top="877" w:right="137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8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authID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Rhoniel Daguro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Rhoniel A. Daguro</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 Sellitto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Ed Sellitto</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14, 2025</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29" w:name="page30"/>
    <w:bookmarkEnd w:id="29"/>
    <w:p>
      <w:pPr>
        <w:ind w:left="10220"/>
        <w:spacing w:after="0"/>
        <w:rPr>
          <w:sz w:val="20"/>
          <w:szCs w:val="20"/>
          <w:color w:val="auto"/>
        </w:rPr>
      </w:pPr>
      <w:r>
        <w:rPr>
          <w:rFonts w:ascii="Times New Roman" w:cs="Times New Roman" w:eastAsia="Times New Roman" w:hAnsi="Times New Roman"/>
          <w:sz w:val="17"/>
          <w:szCs w:val="17"/>
          <w:b w:val="1"/>
          <w:bCs w:val="1"/>
          <w:color w:val="auto"/>
        </w:rPr>
        <w:t>Exhibit 10.46</w:t>
      </w:r>
    </w:p>
    <w:p>
      <w:pPr>
        <w:spacing w:after="0" w:line="237"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b w:val="1"/>
          <w:bCs w:val="1"/>
          <w:color w:val="auto"/>
        </w:rPr>
        <w:t>Rhoniel A. Daguro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276985" cy="9601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4">
                      <a:extLst>
                        <a:ext uri="{28A0092B-C50C-407E-A947-70E740481C1C}"/>
                      </a:extLst>
                    </a:blip>
                    <a:srcRect/>
                    <a:stretch>
                      <a:fillRect/>
                    </a:stretch>
                  </pic:blipFill>
                  <pic:spPr bwMode="auto">
                    <a:xfrm>
                      <a:off x="0" y="0"/>
                      <a:ext cx="1276985" cy="960120"/>
                    </a:xfrm>
                    <a:prstGeom prst="rect">
                      <a:avLst/>
                    </a:prstGeom>
                    <a:noFill/>
                  </pic:spPr>
                </pic:pic>
              </a:graphicData>
            </a:graphic>
          </wp:anchor>
        </w:drawing>
      </w:r>
    </w:p>
    <w:p>
      <w:pPr>
        <w:spacing w:after="0" w:line="11"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color w:val="auto"/>
        </w:rPr>
        <w:t>rhondaguro@authid.ai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3"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18"/>
          <w:szCs w:val="18"/>
          <w:b w:val="1"/>
          <w:bCs w:val="1"/>
          <w:u w:val="single" w:color="auto"/>
          <w:color w:val="auto"/>
        </w:rPr>
        <w:t>Re:</w:t>
      </w:r>
      <w:r>
        <w:rPr>
          <w:sz w:val="20"/>
          <w:szCs w:val="20"/>
          <w:color w:val="auto"/>
        </w:rPr>
        <w:tab/>
      </w:r>
      <w:r>
        <w:rPr>
          <w:rFonts w:ascii="Times New Roman" w:cs="Times New Roman" w:eastAsia="Times New Roman" w:hAnsi="Times New Roman"/>
          <w:sz w:val="18"/>
          <w:szCs w:val="18"/>
          <w:b w:val="1"/>
          <w:bCs w:val="1"/>
          <w:u w:val="single" w:color="auto"/>
          <w:color w:val="auto"/>
        </w:rPr>
        <w:t>Appointment as Non-Executive Director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[Name]: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am pleased to be writing to you at the direction of the Board of Directors (“Board”) of authID Inc. (the “Company”) to confirm the terms of your appointment as a non-executive director. This letter shall take effect upon the passing of a Resolution of the Stockholders formally approving your appointment.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initial term of your directorship will extend until the first Annual Meeting of the Company’s Stockholders (“Annual Meeting”) following your appointment, when you will be eligible for re-election by the stockholders, if nominated by the Board or until your earlier resignation.</w:t>
      </w:r>
    </w:p>
    <w:p>
      <w:pPr>
        <w:spacing w:after="0" w:line="158"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Role and duties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Non-executive directors have the same general legal responsibilities to the Company as any other director. The Board as a whole is collectively responsible for promoting the success of the Company by directing and supervising the Company’s affairs, with a particular focus on strategy, performance and risk. We would also expect you to be an ambassador for the Company and to promote its interests, when appropriate in your daily business activities.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will be required to discharge the following specific functions and duties:</w:t>
      </w:r>
    </w:p>
    <w:p>
      <w:pPr>
        <w:spacing w:after="0" w:line="225" w:lineRule="exact"/>
        <w:rPr>
          <w:sz w:val="20"/>
          <w:szCs w:val="20"/>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quarterly Board meetings and special Board meetings at the Company’s head office, or such other place, or by conference call on dates to be notified to you in advance;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Attendance at Board and Committee meetings by conference call will be generally available, but it is anticipated that the Board will have at least one full “in person” meeting per year with all directors present;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the Company’s Annual Meetings and any special meetings of stockholders, which may be called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authID Inc. · 1580 N. Logan St., Suite 660 · Unit 51767 · Denver, CO 80203 · Tel +1 516 274 8700 · www.authid.ai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814070" cy="6089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7">
                      <a:extLst>
                        <a:ext uri="{28A0092B-C50C-407E-A947-70E740481C1C}"/>
                      </a:extLst>
                    </a:blip>
                    <a:srcRect/>
                    <a:stretch>
                      <a:fillRect/>
                    </a:stretch>
                  </pic:blipFill>
                  <pic:spPr bwMode="auto">
                    <a:xfrm>
                      <a:off x="0" y="0"/>
                      <a:ext cx="814070" cy="60896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Carry out such other functions and duties as may reasonably be required of you from time to time.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director of a Company, which is a reporting Company in accordance with Securities &amp; Exchange Commission (“SEC”) rules, you will be required to file reports of your interests in any securities of the Company and any acquisitions or disposals thereof, as well as various disclosures regarding your position in, agreements with and relations with the Company. The Company and our counsel will work with you to ensure all required reports and disclosures are filed in compliance with SEC rules.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will need to establish a filing reference (or CIK) for you with the SEC, as a director of a public reporting company and we will send you the applicable form in due course. Once that has been obtained our Edgar filing agent can make all necessary filings on your behalf, with your approval.</w:t>
      </w:r>
    </w:p>
    <w:p>
      <w:pPr>
        <w:spacing w:after="0" w:line="158"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Time commitment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By accepting this appointment, you have confirmed that you are able to allocate sufficient time to meet the reasonable expectations of your role, including appropriate preparation time ahead of Board (and, if applicable, committee) meetings.</w:t>
      </w:r>
    </w:p>
    <w:p>
      <w:pPr>
        <w:spacing w:after="0" w:line="158"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Conflicts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It is accepted and acknowledged that you have business interests other than those of the Company and have declared any current conflicts of interest. In the event that you become aware of any potential or actual conflicts of interest these should be disclosed to the Chairman and Corporate Secretary as soon as possible.</w:t>
      </w:r>
    </w:p>
    <w:p>
      <w:pPr>
        <w:spacing w:after="0" w:line="172"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 and Reimbursement of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consideration for the performance of the duties outlined above, you will be entitled to compensation in accordance with the Company’s Compensation Policy for Non-Employee Directors, from time to time in force, including awards under the Company’s Equity Incentive Plans from time to time (“Plans”). At the present time this comprises equity and cash components, as follows:</w:t>
      </w:r>
    </w:p>
    <w:p>
      <w:pPr>
        <w:spacing w:after="0" w:line="176" w:lineRule="exact"/>
        <w:rPr>
          <w:sz w:val="20"/>
          <w:szCs w:val="20"/>
          <w:color w:val="auto"/>
        </w:rPr>
      </w:pPr>
    </w:p>
    <w:p>
      <w:pPr>
        <w:ind w:left="980" w:right="2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equity award of an option to purchase 12,500 shares of common stock (“Shares”), subject to annual vesting of one-third of the Shares over three years on the date of each Annual Meeting commencing with the 2026 Annual Meeting;</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annual compensation equal to $125,000 per annum, payable as follows:</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award of options, following re-election at each Annual Meeting of Stockholders, in such amount as is determined by the Board to be the annual award for each non-employee director based on a Black Scholes value equal to $117,000, subject to vesting over twelve months;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authID Inc. · 1580 N. Logan St., Suite 660 · Unit 51767 · Denver, CO 80203 · Tel +1 516 274 8700 · www.authid.ai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-119380</wp:posOffset>
            </wp:positionV>
            <wp:extent cx="814070" cy="6089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0">
                      <a:extLst>
                        <a:ext uri="{28A0092B-C50C-407E-A947-70E740481C1C}"/>
                      </a:extLst>
                    </a:blip>
                    <a:srcRect/>
                    <a:stretch>
                      <a:fillRect/>
                    </a:stretch>
                  </pic:blipFill>
                  <pic:spPr bwMode="auto">
                    <a:xfrm>
                      <a:off x="0" y="0"/>
                      <a:ext cx="814070" cy="60896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3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(ii) Cash compensation of $2,000 per quarter (or $2,500 per quarter for committee chairs), payable quarterly in arrears.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equity awards are issued subject to the terms of their respective grant and the terms and conditions of the Plans. As the Company is currently in a closed period for dealings in the Shares for insiders, the initial grant will be made and will be priced on the third trading day after the announcement of the Company’s results for the Second Quarter of 2025.</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is a contract for services and not a contract of employment, and as an independent contractor you will be paid your fees on a gross basis. You will be responsible for payment of all applicable Federal, State and local taxes on compensation received and all compensation shall be subject to reporting by the Company on an annual basis on Form 1099, as required by law.</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your fees, you are entitled to be reimbursed any reasonable expenses incurred in attending meetings of the Board or of any committee of the Board, or of stockholder meetings, or otherwise on the business of the Company. The Company may require written evidence of such expenses to be provided and in certain cases prior approval. All expenses are subject to the Company’s expense policy.</w:t>
      </w:r>
    </w:p>
    <w:p>
      <w:pPr>
        <w:spacing w:after="0" w:line="172"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You are entitled to resign your membership on the Board or on any committee of the Board at any time. In addition, you agree to resign your directorship in the circumstances set forth in Section 6 below. Written notice of any such resignation should be given to the Chairman of the Board.</w:t>
      </w:r>
    </w:p>
    <w:p>
      <w:pPr>
        <w:spacing w:after="0" w:line="162" w:lineRule="exact"/>
        <w:rPr>
          <w:sz w:val="20"/>
          <w:szCs w:val="20"/>
          <w:color w:val="auto"/>
        </w:rPr>
      </w:pPr>
    </w:p>
    <w:p>
      <w:pPr>
        <w:jc w:val="both"/>
        <w:ind w:firstLine="667"/>
        <w:spacing w:after="0" w:line="261" w:lineRule="auto"/>
        <w:rPr>
          <w:sz w:val="20"/>
          <w:szCs w:val="20"/>
          <w:color w:val="auto"/>
        </w:rPr>
      </w:pPr>
      <w:r>
        <w:rPr>
          <w:rFonts w:ascii="Times New Roman" w:cs="Times New Roman" w:eastAsia="Times New Roman" w:hAnsi="Times New Roman"/>
          <w:sz w:val="18"/>
          <w:szCs w:val="18"/>
          <w:color w:val="auto"/>
        </w:rPr>
        <w:t>This Agreement will automatically terminate, without requirement of notice, upon the date of your resignation from the Board (including any resignation pursuant to Section 6 below), if you are removed from office by a resolution of the stockholders in accordance with the Company’s Bylaws and Delaware law, or if you are not re-nominated or re-elected to the Board, and you will not be entitled to any further compensation following the termination date in any of these events.</w:t>
      </w:r>
    </w:p>
    <w:p>
      <w:pPr>
        <w:spacing w:after="0" w:line="176"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Immediate vacation of office</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You agree to resign your office as a director on the Board and on each committee of the Board immediately in the event of any of the following circumstances:</w:t>
      </w:r>
    </w:p>
    <w:p>
      <w:pPr>
        <w:spacing w:after="0" w:line="162"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become prohibited by law from acting as a director;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convicted of a felony or crime involving moral turpitude (excluding driving offences unless combined with other aggravating circumstances or offenses) or fraud;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authID Inc. · 1580 N. Logan St., Suite 660 · Unit 51767 · Denver, CO 80203 · Tel +1 516 274 8700 · www.authid.ai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-119380</wp:posOffset>
            </wp:positionV>
            <wp:extent cx="814070" cy="6089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13">
                      <a:extLst>
                        <a:ext uri="{28A0092B-C50C-407E-A947-70E740481C1C}"/>
                      </a:extLst>
                    </a:blip>
                    <a:srcRect/>
                    <a:stretch>
                      <a:fillRect/>
                    </a:stretch>
                  </pic:blipFill>
                  <pic:spPr bwMode="auto">
                    <a:xfrm>
                      <a:off x="0" y="0"/>
                      <a:ext cx="814070" cy="60896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4</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317" w:lineRule="exact"/>
        <w:rPr>
          <w:sz w:val="20"/>
          <w:szCs w:val="20"/>
          <w:color w:val="auto"/>
        </w:rPr>
      </w:pPr>
    </w:p>
    <w:p>
      <w:pPr>
        <w:jc w:val="both"/>
        <w:ind w:left="980" w:hanging="324"/>
        <w:spacing w:after="0" w:line="261"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engage in gross misconduct which is materially detrimental to the reputation or business of the Company; provided that you shall first be entitled to receive notice from the Board specifying such gross misconduct in reasonable detail, and shall have failed to cure or correct such gross misconduct within thirty (30) days of receiving such notice (unless such misconduct is of a nature that it is unable to be cured or corrected); or</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willfully fail to comply in any material respect with the Company’s Confidentiality Agreement, Insider Trading Policy, Code of Ethics, Sexual Harassment Prevention Policy or any other reasonable policies of the Company where non-compliance would be materially detrimental to the Company; provided that you shall first be entitled to receive notice from the Board specifying such noncompliance in reasonable detail, and shall have failed to cure or correct such gross misconduct within thirty (30) days of receiving such notice (unless such non-compliance is of a nature that it is unable to be cured or corrected). I will have our General Counsel provide you with all relevant policies.</w:t>
      </w:r>
    </w:p>
    <w:p>
      <w:pPr>
        <w:spacing w:after="0" w:line="183"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You acknowledge your duties of confidentiality and loyalty to the Company as a director of a Delaware corporation, and you agree to uphold such duties. In addition, you will be asked to execute a standard Confidentiality Agreement.</w:t>
      </w:r>
    </w:p>
    <w:p>
      <w:pPr>
        <w:spacing w:after="0" w:line="158"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 &amp; Insurance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shall be entitled to indemnification by the Company with respect to your services as a director, to the fullest extent permitted by law and under the Company’s Certificate of Incorporation and Bylaws. In addition, upon your appointment the Company will enter into a standard indemnification agreement with you.</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shall be covered under the Company’s directors’ and officers’ insurance policy, for so long as you remain a member of the Board. The Company shall continue to provide coverage to you under such policy for not less than twenty-four (24) months following your termination date on substantially the same terms of the policy in effect immediately prior to the termination date.</w:t>
      </w:r>
    </w:p>
    <w:p>
      <w:pPr>
        <w:spacing w:after="0" w:line="172"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letter shall be governed by and construed in accordance with the law of the State of New York law and the courts, Federal and State, located in the State of New York shall have non-exclusive jurisdiction for all matters arising under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authID Inc. · 1580 N. Logan St., Suite 660 · Unit 51767 · Denver, CO 80203 · Tel +1 516 274 8700 · www.authid.ai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814070" cy="6089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6">
                      <a:extLst>
                        <a:ext uri="{28A0092B-C50C-407E-A947-70E740481C1C}"/>
                      </a:extLst>
                    </a:blip>
                    <a:srcRect/>
                    <a:stretch>
                      <a:fillRect/>
                    </a:stretch>
                  </pic:blipFill>
                  <pic:spPr bwMode="auto">
                    <a:xfrm>
                      <a:off x="0" y="0"/>
                      <a:ext cx="814070" cy="60896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this letter reflects the terms that we have agreed, please sign and return a copy of this letter to me.</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authID Inc.</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Rhoniel A. Daguro, CEO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hereby agree to act as a non-executive director of authID Inc. upon the terms contained in the above letter.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authID Inc. · 1580 N. Logan St., Suite 660 · Unit 51767 · Denver, CO 80203 · Tel +1 516 274 8700 · www.authid.ai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Rhoniel Daguro, Chief Executive Officer certify that:</w:t>
      </w:r>
    </w:p>
    <w:p>
      <w:pPr>
        <w:spacing w:after="0" w:line="225"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authID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August 14, 2025</w:t>
      </w:r>
      <w:r>
        <w:rPr>
          <w:sz w:val="20"/>
          <w:szCs w:val="20"/>
          <w:color w:val="auto"/>
        </w:rPr>
        <w:tab/>
      </w:r>
      <w:r>
        <w:rPr>
          <w:rFonts w:ascii="Times New Roman" w:cs="Times New Roman" w:eastAsia="Times New Roman" w:hAnsi="Times New Roman"/>
          <w:sz w:val="17"/>
          <w:szCs w:val="17"/>
          <w:color w:val="auto"/>
        </w:rPr>
        <w:t>/s/ Rhoniel Daguro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Rhoniel Daguro</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AND ACCOUNTING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Sellitto Chief Financial Officer, certify that:</w:t>
      </w:r>
    </w:p>
    <w:p>
      <w:pPr>
        <w:spacing w:after="0" w:line="225"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authID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August 14, 2025</w:t>
      </w:r>
      <w:r>
        <w:rPr>
          <w:sz w:val="20"/>
          <w:szCs w:val="20"/>
          <w:color w:val="auto"/>
        </w:rPr>
        <w:tab/>
      </w:r>
      <w:r>
        <w:rPr>
          <w:rFonts w:ascii="Times New Roman" w:cs="Times New Roman" w:eastAsia="Times New Roman" w:hAnsi="Times New Roman"/>
          <w:sz w:val="17"/>
          <w:szCs w:val="17"/>
          <w:color w:val="auto"/>
        </w:rPr>
        <w:t>/s/ Ed Sellitto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2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Ed Sellitto</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authID Inc. (the “Company”) on Form 10-Q for the quarter ended June 30, 2025 as filed with the Securities and Exchange Commission (the “Report”), I, Rhoniel Daguro, Chief Executive Officer of the Company, and, Edward Sellitto, Chief Financial Officer of the Company, certify, pursuant to 18 U.S.C. SS. 1350, as adopted pursuant to SS.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August 14, 2025</w:t>
      </w:r>
      <w:r>
        <w:rPr>
          <w:sz w:val="20"/>
          <w:szCs w:val="20"/>
          <w:color w:val="auto"/>
        </w:rPr>
        <w:tab/>
      </w:r>
      <w:r>
        <w:rPr>
          <w:rFonts w:ascii="Times New Roman" w:cs="Times New Roman" w:eastAsia="Times New Roman" w:hAnsi="Times New Roman"/>
          <w:sz w:val="17"/>
          <w:szCs w:val="17"/>
          <w:color w:val="auto"/>
        </w:rPr>
        <w:t>/s/ Rhoniel Daguro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Rhoniel Daguro</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August 14, 2025</w:t>
      </w:r>
      <w:r>
        <w:rPr>
          <w:sz w:val="20"/>
          <w:szCs w:val="20"/>
          <w:color w:val="auto"/>
        </w:rPr>
        <w:tab/>
      </w:r>
      <w:r>
        <w:rPr>
          <w:rFonts w:ascii="Times New Roman" w:cs="Times New Roman" w:eastAsia="Times New Roman" w:hAnsi="Times New Roman"/>
          <w:sz w:val="17"/>
          <w:szCs w:val="17"/>
          <w:color w:val="auto"/>
        </w:rPr>
        <w:t>/s/ Ed Sellitto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2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Ed Sellitto, Chief Financial Officer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lvl w:ilvl="1">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1)"/>
      <w:numFmt w:val="lowerRoman"/>
      <w:start w:val="3"/>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1"/>
      <w:numFmt w:val="decimal"/>
      <w:start w:val="104"/>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2"/>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lowerLetter"/>
      <w:start w:val="1"/>
    </w:lvl>
  </w:abstractNum>
  <w:abstractNum w:abstractNumId="20">
    <w:nsid w:val="71F32454"/>
    <w:multiLevelType w:val="hybridMultilevel"/>
    <w:lvl w:ilvl="0">
      <w:lvlJc w:val="left"/>
      <w:lvlText w:val="%1."/>
      <w:numFmt w:val="decimal"/>
      <w:start w:val="2"/>
    </w:lvl>
  </w:abstractNum>
  <w:abstractNum w:abstractNumId="21">
    <w:nsid w:val="2CA88611"/>
    <w:multiLevelType w:val="hybridMultilevel"/>
    <w:lvl w:ilvl="0">
      <w:lvlJc w:val="left"/>
      <w:lvlText w:val="%1."/>
      <w:numFmt w:val="decimal"/>
      <w:start w:val="3"/>
    </w:lvl>
  </w:abstractNum>
  <w:abstractNum w:abstractNumId="22">
    <w:nsid w:val="836C40E"/>
    <w:multiLevelType w:val="hybridMultilevel"/>
    <w:lvl w:ilvl="0">
      <w:lvlJc w:val="left"/>
      <w:lvlText w:val="%1."/>
      <w:numFmt w:val="decimal"/>
      <w:start w:val="4"/>
    </w:lvl>
  </w:abstractNum>
  <w:abstractNum w:abstractNumId="23">
    <w:nsid w:val="2901D82"/>
    <w:multiLevelType w:val="hybridMultilevel"/>
    <w:lvl w:ilvl="0">
      <w:lvlJc w:val="left"/>
      <w:lvlText w:val="(%1)"/>
      <w:numFmt w:val="lowerLetter"/>
      <w:start w:val="1"/>
    </w:lvl>
    <w:lvl w:ilvl="1">
      <w:lvlJc w:val="left"/>
      <w:lvlText w:val="(%2)"/>
      <w:numFmt w:val="lowerRoman"/>
      <w:start w:val="1"/>
    </w:lvl>
  </w:abstractNum>
  <w:abstractNum w:abstractNumId="24">
    <w:nsid w:val="3A95F874"/>
    <w:multiLevelType w:val="hybridMultilevel"/>
    <w:lvl w:ilvl="0">
      <w:lvlJc w:val="left"/>
      <w:lvlText w:val="%1."/>
      <w:numFmt w:val="decimal"/>
      <w:start w:val="5"/>
    </w:lvl>
  </w:abstractNum>
  <w:abstractNum w:abstractNumId="25">
    <w:nsid w:val="8138641"/>
    <w:multiLevelType w:val="hybridMultilevel"/>
    <w:lvl w:ilvl="0">
      <w:lvlJc w:val="left"/>
      <w:lvlText w:val="%1."/>
      <w:numFmt w:val="decimal"/>
      <w:start w:val="6"/>
    </w:lvl>
  </w:abstractNum>
  <w:abstractNum w:abstractNumId="26">
    <w:nsid w:val="1E7FF521"/>
    <w:multiLevelType w:val="hybridMultilevel"/>
    <w:lvl w:ilvl="0">
      <w:lvlJc w:val="left"/>
      <w:lvlText w:val="(%1)"/>
      <w:numFmt w:val="lowerLetter"/>
      <w:start w:val="1"/>
    </w:lvl>
  </w:abstractNum>
  <w:abstractNum w:abstractNumId="27">
    <w:nsid w:val="7C3DBD3D"/>
    <w:multiLevelType w:val="hybridMultilevel"/>
    <w:lvl w:ilvl="0">
      <w:lvlJc w:val="left"/>
      <w:lvlText w:val="(%1)"/>
      <w:numFmt w:val="lowerLetter"/>
      <w:start w:val="3"/>
    </w:lvl>
  </w:abstractNum>
  <w:abstractNum w:abstractNumId="28">
    <w:nsid w:val="737B8DDC"/>
    <w:multiLevelType w:val="hybridMultilevel"/>
    <w:lvl w:ilvl="0">
      <w:lvlJc w:val="left"/>
      <w:lvlText w:val="%1."/>
      <w:numFmt w:val="decimal"/>
      <w:start w:val="7"/>
    </w:lvl>
  </w:abstractNum>
  <w:abstractNum w:abstractNumId="29">
    <w:nsid w:val="6CEAF087"/>
    <w:multiLevelType w:val="hybridMultilevel"/>
    <w:lvl w:ilvl="0">
      <w:lvlJc w:val="left"/>
      <w:lvlText w:val="%1."/>
      <w:numFmt w:val="decimal"/>
      <w:start w:val="8"/>
    </w:lvl>
  </w:abstractNum>
  <w:abstractNum w:abstractNumId="30">
    <w:nsid w:val="22221A70"/>
    <w:multiLevelType w:val="hybridMultilevel"/>
    <w:lvl w:ilvl="0">
      <w:lvlJc w:val="left"/>
      <w:lvlText w:val="%1."/>
      <w:numFmt w:val="decimal"/>
      <w:start w:val="9"/>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98" Type="http://schemas.openxmlformats.org/officeDocument/2006/relationships/image" Target="media/image32.png"/><Relationship Id="rId99" Type="http://schemas.openxmlformats.org/officeDocument/2006/relationships/image" Target="media/image33.png"/><Relationship Id="rId100" Type="http://schemas.openxmlformats.org/officeDocument/2006/relationships/image" Target="media/image34.png"/><Relationship Id="rId101" Type="http://schemas.openxmlformats.org/officeDocument/2006/relationships/image" Target="media/image35.png"/><Relationship Id="rId102" Type="http://schemas.openxmlformats.org/officeDocument/2006/relationships/image" Target="media/image36.png"/><Relationship Id="rId103" Type="http://schemas.openxmlformats.org/officeDocument/2006/relationships/image" Target="media/image37.png"/><Relationship Id="rId104" Type="http://schemas.openxmlformats.org/officeDocument/2006/relationships/image" Target="media/image38.jpeg"/><Relationship Id="rId105" Type="http://schemas.openxmlformats.org/officeDocument/2006/relationships/image" Target="media/image39.png"/><Relationship Id="rId106" Type="http://schemas.openxmlformats.org/officeDocument/2006/relationships/image" Target="media/image40.png"/><Relationship Id="rId107" Type="http://schemas.openxmlformats.org/officeDocument/2006/relationships/image" Target="media/image41.jpeg"/><Relationship Id="rId108" Type="http://schemas.openxmlformats.org/officeDocument/2006/relationships/image" Target="media/image42.png"/><Relationship Id="rId109" Type="http://schemas.openxmlformats.org/officeDocument/2006/relationships/image" Target="media/image43.png"/><Relationship Id="rId110" Type="http://schemas.openxmlformats.org/officeDocument/2006/relationships/image" Target="media/image44.jpeg"/><Relationship Id="rId111" Type="http://schemas.openxmlformats.org/officeDocument/2006/relationships/image" Target="media/image45.png"/><Relationship Id="rId112" Type="http://schemas.openxmlformats.org/officeDocument/2006/relationships/image" Target="media/image46.png"/><Relationship Id="rId113" Type="http://schemas.openxmlformats.org/officeDocument/2006/relationships/image" Target="media/image47.jpeg"/><Relationship Id="rId114" Type="http://schemas.openxmlformats.org/officeDocument/2006/relationships/image" Target="media/image48.png"/><Relationship Id="rId115" Type="http://schemas.openxmlformats.org/officeDocument/2006/relationships/image" Target="media/image49.png"/><Relationship Id="rId116" Type="http://schemas.openxmlformats.org/officeDocument/2006/relationships/image" Target="media/image50.jpeg"/><Relationship Id="rId117" Type="http://schemas.openxmlformats.org/officeDocument/2006/relationships/image" Target="media/image51.png"/><Relationship Id="rId118" Type="http://schemas.openxmlformats.org/officeDocument/2006/relationships/image" Target="media/image52.png"/><Relationship Id="rId119" Type="http://schemas.openxmlformats.org/officeDocument/2006/relationships/image" Target="media/image53.png"/><Relationship Id="rId120" Type="http://schemas.openxmlformats.org/officeDocument/2006/relationships/image" Target="media/image54.png"/><Relationship Id="rId121" Type="http://schemas.openxmlformats.org/officeDocument/2006/relationships/image" Target="media/image55.png"/><Relationship Id="rId122" Type="http://schemas.openxmlformats.org/officeDocument/2006/relationships/image" Target="media/image56.png"/><Relationship Id="rId39" Type="http://schemas.openxmlformats.org/officeDocument/2006/relationships/hyperlink" Target="http://www.sec.gov/Archives/edgar/data/1534154/000121390021017290/ea138222ex3-1_ipsidyinc.htm" TargetMode="External"/><Relationship Id="rId40" Type="http://schemas.openxmlformats.org/officeDocument/2006/relationships/hyperlink" Target="http://www.sec.gov/Archives/edgar/data/1534154/000121390022040296/ea162935ex3-2_authid.htm" TargetMode="External"/><Relationship Id="rId41" Type="http://schemas.openxmlformats.org/officeDocument/2006/relationships/hyperlink" Target="http://www.sec.gov/Archives/edgar/data/1534154/000121390021032569/ea142763ex3-1_ipsidyinc.htm" TargetMode="External"/><Relationship Id="rId42" Type="http://schemas.openxmlformats.org/officeDocument/2006/relationships/hyperlink" Target="http://www.sec.gov/Archives/edgar/data/1534154/000121390022040296/ea162935ex3-1_authid.htm" TargetMode="External"/><Relationship Id="rId43" Type="http://schemas.openxmlformats.org/officeDocument/2006/relationships/hyperlink" Target="http://www.sec.gov/Archives/edgar/data/1534154/000121390022057553/ea166087ex3-1_authid.htm" TargetMode="External"/><Relationship Id="rId44" Type="http://schemas.openxmlformats.org/officeDocument/2006/relationships/hyperlink" Target="http://www.sec.gov/Archives/edgar/data/1534154/000121390023052128/ea180976ex3-1_authidinc.htm" TargetMode="External"/><Relationship Id="rId45" Type="http://schemas.openxmlformats.org/officeDocument/2006/relationships/hyperlink" Target="http://www.sec.gov/Archives/edgar/data/1534154/000121390024056729/ea020866001ex3-1_authid.htm" TargetMode="External"/><Relationship Id="rId46" Type="http://schemas.openxmlformats.org/officeDocument/2006/relationships/hyperlink" Target="http://www.sec.gov/Archives/edgar/data/1534154/000121390021032569/ea142763ex4-1_ipsidyinc.htm" TargetMode="External"/><Relationship Id="rId47" Type="http://schemas.openxmlformats.org/officeDocument/2006/relationships/hyperlink" Target="http://www.sec.gov/Archives/edgar/data/1534154/000121390023024677/f10k2022ex4-7_authidinc.htm" TargetMode="External"/><Relationship Id="rId48" Type="http://schemas.openxmlformats.org/officeDocument/2006/relationships/hyperlink" Target="http://www.sec.gov/Archives/edgar/data/1534154/000121390021032569/ea142763ex10-6_ipsidyinc.htm" TargetMode="External"/><Relationship Id="rId49" Type="http://schemas.openxmlformats.org/officeDocument/2006/relationships/hyperlink" Target="http://www.sec.gov/Archives/edgar/data/1534154/000121390021032569/ea142763ex10-5_ipsidyinc.htm" TargetMode="External"/><Relationship Id="rId50" Type="http://schemas.openxmlformats.org/officeDocument/2006/relationships/hyperlink" Target="http://www.sec.gov/Archives/edgar/data/1534154/000161577418003344/s109839_ex10-27.htm" TargetMode="External"/><Relationship Id="rId51" Type="http://schemas.openxmlformats.org/officeDocument/2006/relationships/hyperlink" Target="http://www.sec.gov/Archives/edgar/data/1534154/000121390021032569/ea142763ex10-1_ipsidyinc.htm" TargetMode="External"/><Relationship Id="rId52" Type="http://schemas.openxmlformats.org/officeDocument/2006/relationships/hyperlink" Target="http://www.sec.gov/Archives/edgar/data/1534154/000121390021032569/ea142763ex10-2_ipsidyinc.htm" TargetMode="External"/><Relationship Id="rId53" Type="http://schemas.openxmlformats.org/officeDocument/2006/relationships/hyperlink" Target="http://www.sec.gov/Archives/edgar/data/1534154/000121390022004803/ea154748ex4-1_ipsidyinc.htm" TargetMode="External"/><Relationship Id="rId54" Type="http://schemas.openxmlformats.org/officeDocument/2006/relationships/hyperlink" Target="http://www.sec.gov/Archives/edgar/data/1534154/000121390022021805/ea158885ex10-1_ipsidyinc.htm" TargetMode="External"/><Relationship Id="rId55" Type="http://schemas.openxmlformats.org/officeDocument/2006/relationships/hyperlink" Target="http://www.sec.gov/Archives/edgar/data/1534154/000121390023018987/ea174977ex10-1_authid.htm" TargetMode="External"/><Relationship Id="rId56" Type="http://schemas.openxmlformats.org/officeDocument/2006/relationships/hyperlink" Target="http://www.sec.gov/Archives/edgar/data/1534154/000121390023018987/ea174977ex10-2_authid.htm" TargetMode="External"/><Relationship Id="rId57" Type="http://schemas.openxmlformats.org/officeDocument/2006/relationships/hyperlink" Target="http://www.sec.gov/Archives/edgar/data/1534154/000121390023018987/ea174977ex10-3_authid.htm" TargetMode="External"/><Relationship Id="rId58" Type="http://schemas.openxmlformats.org/officeDocument/2006/relationships/hyperlink" Target="http://www.sec.gov/Archives/edgar/data/1534154/000121390023018987/ea174977ex10-4_authid.htm" TargetMode="External"/><Relationship Id="rId59" Type="http://schemas.openxmlformats.org/officeDocument/2006/relationships/hyperlink" Target="http://www.sec.gov/Archives/edgar/data/1534154/000121390023023408/ea175837ex10-1_authid.htm" TargetMode="External"/><Relationship Id="rId60" Type="http://schemas.openxmlformats.org/officeDocument/2006/relationships/hyperlink" Target="http://www.sec.gov/Archives/edgar/data/1534154/000121390023023408/ea175837ex10-2_authid.htm" TargetMode="External"/><Relationship Id="rId61" Type="http://schemas.openxmlformats.org/officeDocument/2006/relationships/hyperlink" Target="http://www.sec.gov/Archives/edgar/data/1534154/000121390023023408/ea175837ex10-3_authid.htm" TargetMode="External"/><Relationship Id="rId62" Type="http://schemas.openxmlformats.org/officeDocument/2006/relationships/hyperlink" Target="http://www.sec.gov/Archives/edgar/data/1534154/000121390023030640/ea177091ex10-1_authid.htm" TargetMode="External"/><Relationship Id="rId63" Type="http://schemas.openxmlformats.org/officeDocument/2006/relationships/hyperlink" Target="http://www.sec.gov/Archives/edgar/data/1534154/000121390023030640/ea177091ex10-2_authid.htm" TargetMode="External"/><Relationship Id="rId64" Type="http://schemas.openxmlformats.org/officeDocument/2006/relationships/hyperlink" Target="http://www.sec.gov/Archives/edgar/data/1534154/000121390023040545/ea178743ex10-1_authid.htm" TargetMode="External"/><Relationship Id="rId65" Type="http://schemas.openxmlformats.org/officeDocument/2006/relationships/hyperlink" Target="http://www.sec.gov/Archives/edgar/data/1534154/000121390023043563/ea179371ex10-1_authidinc.htm" TargetMode="External"/><Relationship Id="rId66" Type="http://schemas.openxmlformats.org/officeDocument/2006/relationships/hyperlink" Target="http://www.sec.gov/Archives/edgar/data/1534154/000121390023043563/ea179371ex10-2_authidinc.htm" TargetMode="External"/><Relationship Id="rId67" Type="http://schemas.openxmlformats.org/officeDocument/2006/relationships/hyperlink" Target="http://www.sec.gov/Archives/edgar/data/1534154/000121390023043563/ea179371ex10-3_authidinc.htm" TargetMode="External"/><Relationship Id="rId68" Type="http://schemas.openxmlformats.org/officeDocument/2006/relationships/hyperlink" Target="http://www.sec.gov/Archives/edgar/data/1534154/000121390023043563/ea179371ex10-4_authidinc.htm" TargetMode="External"/><Relationship Id="rId69" Type="http://schemas.openxmlformats.org/officeDocument/2006/relationships/hyperlink" Target="http://www.sec.gov/Archives/edgar/data/1534154/000121390023062781/ea182763ex10-1_authidinc.htm" TargetMode="External"/><Relationship Id="rId70" Type="http://schemas.openxmlformats.org/officeDocument/2006/relationships/hyperlink" Target="http://www.sec.gov/Archives/edgar/data/1534154/000121390023081375/ea187301ex10-1_authid.htm" TargetMode="External"/><Relationship Id="rId71" Type="http://schemas.openxmlformats.org/officeDocument/2006/relationships/hyperlink" Target="http://www.sec.gov/Archives/edgar/data/1534154/000121390023090267/ea189066ex10-1_authidinc.htm" TargetMode="External"/><Relationship Id="rId72" Type="http://schemas.openxmlformats.org/officeDocument/2006/relationships/hyperlink" Target="http://www.sec.gov/Archives/edgar/data/1534154/000121390023090267/ea189066ex10-2_authidinc.htm" TargetMode="External"/><Relationship Id="rId73" Type="http://schemas.openxmlformats.org/officeDocument/2006/relationships/hyperlink" Target="http://www.sec.gov/Archives/edgar/data/1534154/000121390023090267/ea189066ex10-3_authidinc.htm" TargetMode="External"/><Relationship Id="rId74" Type="http://schemas.openxmlformats.org/officeDocument/2006/relationships/hyperlink" Target="http://www.sec.gov/Archives/edgar/data/1534154/000121390023097744/ea190517ex10-1_authidinc.htm" TargetMode="External"/><Relationship Id="rId75" Type="http://schemas.openxmlformats.org/officeDocument/2006/relationships/hyperlink" Target="http://www.sec.gov/Archives/edgar/data/1534154/000121390024026066/ea020260501ex10-1_authidinc.htm" TargetMode="External"/><Relationship Id="rId76" Type="http://schemas.openxmlformats.org/officeDocument/2006/relationships/hyperlink" Target="https://www.sec.gov/Archives/edgar/data/1534154/000121390024056729/ea020866001ex10-1_authid.htm" TargetMode="External"/><Relationship Id="rId77" Type="http://schemas.openxmlformats.org/officeDocument/2006/relationships/hyperlink" Target="http://www.sec.gov/Archives/edgar/data/1534154/000121390024056729/ea020866001ex10-2_authid.htm" TargetMode="External"/><Relationship Id="rId78" Type="http://schemas.openxmlformats.org/officeDocument/2006/relationships/hyperlink" Target="http://www.sec.gov/Archives/edgar/data/1534154/000121390024056729/ea020866001ex10-3_authid.htm" TargetMode="External"/><Relationship Id="rId79" Type="http://schemas.openxmlformats.org/officeDocument/2006/relationships/hyperlink" Target="http://www.sec.gov/Archives/edgar/data/1534154/000121390025023697/ea023186001ex10-32_authid.htm" TargetMode="External"/><Relationship Id="rId80" Type="http://schemas.openxmlformats.org/officeDocument/2006/relationships/hyperlink" Target="http://www.sec.gov/Archives/edgar/data/1534154/000121390024095394/ea021872901ex10-47_authid.htm" TargetMode="External"/><Relationship Id="rId81" Type="http://schemas.openxmlformats.org/officeDocument/2006/relationships/hyperlink" Target="http://www.sec.gov/Archives/edgar/data/1534154/000121390024095394/ea021872901ex10-48_authid.htm" TargetMode="External"/><Relationship Id="rId82" Type="http://schemas.openxmlformats.org/officeDocument/2006/relationships/hyperlink" Target="http://www.sec.gov/Archives/edgar/data/1534154/000121390025027527/ea023660501ex10-1_authid.htm" TargetMode="External"/><Relationship Id="rId83" Type="http://schemas.openxmlformats.org/officeDocument/2006/relationships/hyperlink" Target="http://www.sec.gov/Archives/edgar/data/1534154/000121390025027527/ea023660501ex10-2_authid.htm" TargetMode="External"/><Relationship Id="rId84" Type="http://schemas.openxmlformats.org/officeDocument/2006/relationships/hyperlink" Target="http://www.sec.gov/Archives/edgar/data/1534154/000121390025027527/ea023660501ex10-3_authid.htm" TargetMode="External"/><Relationship Id="rId85" Type="http://schemas.openxmlformats.org/officeDocument/2006/relationships/hyperlink" Target="http://www.sec.gov/Archives/edgar/data/1534154/000121390025027527/ea023660501ex10-4_authid.htm" TargetMode="External"/><Relationship Id="rId86" Type="http://schemas.openxmlformats.org/officeDocument/2006/relationships/hyperlink" Target="http://www.sec.gov/Archives/edgar/data/1534154/000121390025027527/ea023660501ex10-5_authid.htm" TargetMode="External"/><Relationship Id="rId87" Type="http://schemas.openxmlformats.org/officeDocument/2006/relationships/hyperlink" Target="http://www.sec.gov/Archives/edgar/data/1534154/000121390025027527/ea023660501ex10-6_authid.htm" TargetMode="External"/><Relationship Id="rId88" Type="http://schemas.openxmlformats.org/officeDocument/2006/relationships/hyperlink" Target="http://www.sec.gov/Archives/edgar/data/1534154/000121390025027527/ea023660501ex10-7_authid.htm" TargetMode="External"/><Relationship Id="rId89" Type="http://schemas.openxmlformats.org/officeDocument/2006/relationships/hyperlink" Target="https://www.sec.gov/Archives/edgar/data/1534154/000121390025040647/ea024124601ex10-1_authid.htm" TargetMode="External"/><Relationship Id="rId90" Type="http://schemas.openxmlformats.org/officeDocument/2006/relationships/hyperlink" Target="https://www.sec.gov/Archives/edgar/data/1534154/000121390025040647/ea024124601ex10-4_authid.htm" TargetMode="External"/><Relationship Id="rId91" Type="http://schemas.openxmlformats.org/officeDocument/2006/relationships/hyperlink" Target="https://www.sec.gov/Archives/edgar/data/1534154/000121390025040647/ea024124601ex10-5_authid.htm" TargetMode="External"/><Relationship Id="rId92" Type="http://schemas.openxmlformats.org/officeDocument/2006/relationships/hyperlink" Target="https://www.sec.gov/Archives/edgar/data/1534154/000121390025040647/ea024124601ex10-6_authid.htm" TargetMode="External"/><Relationship Id="rId93" Type="http://schemas.openxmlformats.org/officeDocument/2006/relationships/hyperlink" Target="http://www.sec.gov/Archives/edgar/data/1534154/000121390023084806/f10q0923ex14-1_authidinc.htm" TargetMode="External"/><Relationship Id="rId94" Type="http://schemas.openxmlformats.org/officeDocument/2006/relationships/hyperlink" Target="http://www.sec.gov/Archives/edgar/data/1534154/000121390025023697/ea023186001ex19_authid.htm" TargetMode="External"/><Relationship Id="rId95" Type="http://schemas.openxmlformats.org/officeDocument/2006/relationships/hyperlink" Target="http://www.sec.gov/Archives/edgar/data/1534154/000121390025023697/ea023186001ex21-1_authid.htm" TargetMode="External"/><Relationship Id="rId96" Type="http://schemas.openxmlformats.org/officeDocument/2006/relationships/hyperlink" Target="http://www.sec.gov/Archives/edgar/data/1534154/000121390023084806/f10q0923ex99-1_authidinc.htm" TargetMode="External"/><Relationship Id="rId97" Type="http://schemas.openxmlformats.org/officeDocument/2006/relationships/hyperlink" Target="http://www.sec.gov/Archives/edgar/data/1534154/000121390024043594/ea020525801ex99-1_authidin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2025-08-14T15:24:43Z</dcterms:created>
  <dcterms:modified xsi:type="dcterms:W3CDTF">2025-08-14T15:24:43Z</dcterms:modified>
</cp:coreProperties>
</file>