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f10q0623_authidinc.htm"/>
      <w:bookmarkStart w:id="1" w:name="ksf10q0623_authidinc"/>
      <w:bookmarkEnd w:id="0"/>
      <w:bookmarkEnd w:id="1"/>
      <w:r>
        <w:rPr>
          <w:caps w:val="false"/>
          <w:smallCaps w:val="false"/>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June 30,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001-40747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533775" cy="1990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33775" cy="19907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46-2069547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North Logan Street, Suite 660, Unit 51767,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516-274-8700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 S. Colorado Blvd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575"/>
        <w:gridCol w:w="60"/>
        <w:gridCol w:w="1340"/>
        <w:gridCol w:w="60"/>
        <w:gridCol w:w="3590"/>
      </w:tblGrid>
      <w:tr>
        <w:trPr/>
        <w:tc>
          <w:tcPr>
            <w:tcW w:w="357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AUID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94" w:right="94" w:hanging="0"/>
        <w:jc w:val="center"/>
        <w:rPr>
          <w:caps w:val="false"/>
          <w:smallCaps w:val="false"/>
        </w:rPr>
      </w:pPr>
      <w:r>
        <w:rPr>
          <w:caps w:val="false"/>
          <w:smallCaps w:val="false"/>
        </w:rPr>
        <w:t> </w:t>
      </w:r>
    </w:p>
    <w:p>
      <w:pPr>
        <w:pStyle w:val="TextBody"/>
        <w:bidi w:val="0"/>
        <w:spacing w:before="0" w:after="0"/>
        <w:ind w:left="94" w:right="94"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94" w:right="94" w:hanging="0"/>
        <w:jc w:val="center"/>
        <w:rPr>
          <w:caps w:val="false"/>
          <w:smallCaps w:val="false"/>
        </w:rPr>
      </w:pPr>
      <w:r>
        <w:rPr>
          <w:caps w:val="false"/>
          <w:smallCaps w:val="false"/>
        </w:rPr>
        <w:t> </w:t>
      </w:r>
    </w:p>
    <w:p>
      <w:pPr>
        <w:pStyle w:val="TextBody"/>
        <w:bidi w:val="0"/>
        <w:spacing w:before="0" w:after="0"/>
        <w:ind w:left="94" w:right="94"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105"/>
        <w:gridCol w:w="2510"/>
      </w:tblGrid>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0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center"/>
        <w:rPr>
          <w:caps w:val="false"/>
          <w:smallCaps w:val="false"/>
        </w:rPr>
      </w:pPr>
      <w:r>
        <w:rPr>
          <w:caps w:val="false"/>
          <w:smallCaps w:val="false"/>
        </w:rPr>
        <w:t> </w:t>
      </w:r>
    </w:p>
    <w:tbl>
      <w:tblPr>
        <w:tblW w:w="5575" w:type="dxa"/>
        <w:jc w:val="left"/>
        <w:tblInd w:w="0" w:type="dxa"/>
        <w:tblLayout w:type="fixed"/>
        <w:tblCellMar>
          <w:top w:w="0" w:type="dxa"/>
          <w:left w:w="0" w:type="dxa"/>
          <w:bottom w:w="28" w:type="dxa"/>
          <w:right w:w="0" w:type="dxa"/>
        </w:tblCellMar>
      </w:tblPr>
      <w:tblGrid>
        <w:gridCol w:w="3125"/>
        <w:gridCol w:w="60"/>
        <w:gridCol w:w="2390"/>
      </w:tblGrid>
      <w:tr>
        <w:trPr/>
        <w:tc>
          <w:tcPr>
            <w:tcW w:w="31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w:t>
            </w:r>
          </w:p>
        </w:tc>
        <w:tc>
          <w:tcPr>
            <w:tcW w:w="60" w:type="dxa"/>
            <w:tcBorders/>
            <w:tcMar>
              <w:bottom w:w="0" w:type="dxa"/>
            </w:tcMar>
            <w:vAlign w:val="center"/>
          </w:tcPr>
          <w:p>
            <w:pPr>
              <w:pStyle w:val="TableContents"/>
              <w:bidi w:val="0"/>
              <w:spacing w:before="0" w:after="283"/>
              <w:jc w:val="center"/>
              <w:rPr/>
            </w:pPr>
            <w:r>
              <w:rPr/>
              <w:t> </w:t>
            </w:r>
          </w:p>
        </w:tc>
        <w:tc>
          <w:tcPr>
            <w:tcW w:w="239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Outstanding at July 31, 2023</w:t>
            </w:r>
          </w:p>
        </w:tc>
      </w:tr>
      <w:tr>
        <w:trPr/>
        <w:tc>
          <w:tcPr>
            <w:tcW w:w="31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7,874,962 shares</w:t>
            </w:r>
          </w:p>
        </w:tc>
      </w:tr>
      <w:tr>
        <w:trPr/>
        <w:tc>
          <w:tcPr>
            <w:tcW w:w="31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Documents incorporated by reference:</w:t>
            </w:r>
          </w:p>
        </w:tc>
        <w:tc>
          <w:tcPr>
            <w:tcW w:w="60" w:type="dxa"/>
            <w:tcBorders/>
            <w:tcMar>
              <w:bottom w:w="0" w:type="dxa"/>
            </w:tcMar>
            <w:vAlign w:val="center"/>
          </w:tcPr>
          <w:p>
            <w:pPr>
              <w:pStyle w:val="TableContents"/>
              <w:bidi w:val="0"/>
              <w:spacing w:before="0" w:after="283"/>
              <w:jc w:val="center"/>
              <w:rPr/>
            </w:pPr>
            <w:r>
              <w:rPr/>
              <w:t> </w:t>
            </w:r>
          </w:p>
        </w:tc>
        <w:tc>
          <w:tcPr>
            <w:tcW w:w="23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41"/>
        <w:gridCol w:w="60"/>
        <w:gridCol w:w="704"/>
      </w:tblGrid>
      <w:tr>
        <w:trPr/>
        <w:tc>
          <w:tcPr>
            <w:tcW w:w="944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704"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 No.</w:t>
            </w:r>
          </w:p>
        </w:tc>
      </w:tr>
      <w:tr>
        <w:trPr/>
        <w:tc>
          <w:tcPr>
            <w:tcW w:w="9441"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sz w:val="20"/>
                </w:rPr>
                <w:t>PART I - FINANCIAL INFORMATION</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pPr>
            <w:r>
              <w:rPr/>
              <w:t> </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Item 1. Financial Statements.</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Balance Sheets as of June 30, 2023 (unaudited) and December 31, 2022</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Condensed Consolidated Statements of Operations for the Three and Six Months Ended June 30, 2023 and 2022 (unaudited)</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of Comprehensive Loss for the Three and Six Months Ended June 30, 2023 and 2022 (unaudited)</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Condensed Consolidated Statements of Stockholders’ Equity for the Three and Six Months Ended June 30, 2023 and 2022 (unaudited)</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Condensed Consolidated Statements of Cash Flows for the Six Months Ended June 30, 2023 and 2022 (unaudited)</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Notes to Unaudited Condensed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6-21</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Item 2.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pPr>
            <w:r>
              <w:rPr>
                <w:rFonts w:ascii="Times New Roman;Times;Serif" w:hAnsi="Times New Roman;Times;Serif"/>
                <w:sz w:val="20"/>
              </w:rPr>
              <w:t>22</w:t>
            </w:r>
            <w:r>
              <w:rPr/>
              <w:t>-27</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pPr>
            <w:r>
              <w:rPr/>
              <w:t>27</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Item 4. Controls and Procedures.</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pPr>
            <w:r>
              <w:rPr/>
              <w:t>27</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center"/>
              <w:rPr/>
            </w:pPr>
            <w:hyperlink w:anchor="a_012">
              <w:r>
                <w:rPr>
                  <w:rStyle w:val="InternetLink"/>
                  <w:rFonts w:ascii="Times New Roman;Times;Serif" w:hAnsi="Times New Roman;Times;Serif"/>
                  <w:b/>
                  <w:sz w:val="20"/>
                </w:rPr>
                <w:t>PART II - OTHER INFORMATION</w:t>
              </w:r>
            </w:hyperlink>
          </w:p>
        </w:tc>
        <w:tc>
          <w:tcPr>
            <w:tcW w:w="60" w:type="dxa"/>
            <w:tcBorders/>
            <w:shd w:fill="CCEEFF" w:val="clear"/>
            <w:vAlign w:val="center"/>
          </w:tcPr>
          <w:p>
            <w:pPr>
              <w:pStyle w:val="TableContents"/>
              <w:bidi w:val="0"/>
              <w:spacing w:before="0" w:after="283"/>
              <w:jc w:val="center"/>
              <w:rPr/>
            </w:pPr>
            <w:r>
              <w:rPr/>
              <w:t> </w:t>
            </w:r>
          </w:p>
        </w:tc>
        <w:tc>
          <w:tcPr>
            <w:tcW w:w="704" w:type="dxa"/>
            <w:tcBorders/>
            <w:shd w:fill="CCEEFF" w:val="clear"/>
            <w:vAlign w:val="center"/>
          </w:tcPr>
          <w:p>
            <w:pPr>
              <w:pStyle w:val="TableContents"/>
              <w:bidi w:val="0"/>
              <w:spacing w:before="0" w:after="283"/>
              <w:ind w:left="0" w:right="0" w:hanging="180"/>
              <w:jc w:val="center"/>
              <w:rPr/>
            </w:pPr>
            <w:r>
              <w:rPr/>
              <w:t> </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Item 1. Legal Proceedings.</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pPr>
            <w:r>
              <w:rPr/>
              <w:t>28</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Item 1A. Risk Factors.</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pPr>
            <w:r>
              <w:rPr/>
              <w:t>28</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Item 2. Unregistered Sales of Equity Securities and Use of Proceeds.</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pPr>
            <w:r>
              <w:rPr/>
              <w:t>29</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Item 3. Defaults Upon Senior Securities.</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pPr>
            <w:r>
              <w:rPr/>
              <w:t>30</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Item 4. Mine Safety Disclosures.</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pPr>
            <w:r>
              <w:rPr/>
              <w:t>30</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Item 5. Other Information.</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ind w:left="0" w:right="0" w:hanging="180"/>
              <w:jc w:val="center"/>
              <w:rPr/>
            </w:pPr>
            <w:r>
              <w:rPr/>
              <w:t>30</w:t>
            </w:r>
          </w:p>
        </w:tc>
      </w:tr>
      <w:tr>
        <w:trPr/>
        <w:tc>
          <w:tcPr>
            <w:tcW w:w="9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ind w:left="0" w:right="0" w:hanging="180"/>
              <w:jc w:val="center"/>
              <w:rPr/>
            </w:pPr>
            <w:r>
              <w:rPr/>
              <w:t> </w:t>
            </w:r>
          </w:p>
        </w:tc>
      </w:tr>
      <w:tr>
        <w:trPr/>
        <w:tc>
          <w:tcPr>
            <w:tcW w:w="9441"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Item 6. Exhibits.</w:t>
              </w:r>
            </w:hyperlink>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center"/>
              <w:rPr/>
            </w:pPr>
            <w:r>
              <w:rPr/>
              <w:t>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2022 and our other filings with the Securities and Exchange Commission. Some examples of risk factors which may affect our business are as follows:</w:t>
      </w:r>
    </w:p>
    <w:p>
      <w:pPr>
        <w:pStyle w:val="TextBody"/>
        <w:bidi w:val="0"/>
        <w:spacing w:before="0" w:after="0"/>
        <w:ind w:left="0" w:right="0" w:firstLine="72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lack of significant revenues, positive cash flow and history of losses,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acceptance of our products and competition;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customers for existing and new products;</w:t>
            </w:r>
          </w:p>
        </w:tc>
      </w:tr>
    </w:tbl>
    <w:p>
      <w:pPr>
        <w:pStyle w:val="TextBody"/>
        <w:bidi w:val="0"/>
        <w:jc w:val="left"/>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pPr>
            <w:r>
              <w:rPr/>
              <w:t>our ability to effectively maintain and update our technology and product and service portfolio;</w:t>
            </w:r>
          </w:p>
        </w:tc>
      </w:tr>
    </w:tbl>
    <w:p>
      <w:pPr>
        <w:pStyle w:val="TextBody"/>
        <w:bidi w:val="0"/>
        <w:spacing w:before="0" w:after="0"/>
        <w:jc w:val="left"/>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pPr>
            <w:r>
              <w:rPr/>
              <w:t>our reliance on third party software and developers;</w:t>
            </w:r>
          </w:p>
        </w:tc>
      </w:tr>
    </w:tbl>
    <w:p>
      <w:pPr>
        <w:pStyle w:val="TextBody"/>
        <w:bidi w:val="0"/>
        <w:spacing w:before="0" w:after="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pPr>
            <w:r>
              <w:rPr/>
              <w:t>breaches of network or IT security and presentation attacks;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hire and retain key personnel and additional talent;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raise capital under acceptable terms;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listing of our common stock on the Nasdaq Capital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adequately protect our intellectual property, or the loss of some of our intellectual property rights through costly litigation or administrative proceedings;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operate in non-US markets;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the Covid-19 Pandemic;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the war in Ukraine;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 and market volatility and the risk of securities litigation;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legislation and government regulation;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 inflation and access to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PERTINENT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specifically set forth to the contrary, when used in this report the terms “authID” the “Company,” “we,” “our,” “us,” and similar terms refer to authID Inc., a Delaware corporation and its subsidiaries. The Company was formerly known as Ipsidy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2023 the Company filed a Certificate of Amendment to its Amended and Restated Certificate of Incorporations to effect a one-for-eight (1-for-8) reverse split which became effective on July 7, 2023 (See Note 8 “Shareholders’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which appears on our website www.authID.ai is not part of this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33"/>
        <w:gridCol w:w="60"/>
        <w:gridCol w:w="140"/>
        <w:gridCol w:w="1295"/>
        <w:gridCol w:w="95"/>
        <w:gridCol w:w="60"/>
        <w:gridCol w:w="140"/>
        <w:gridCol w:w="1295"/>
        <w:gridCol w:w="87"/>
      </w:tblGrid>
      <w:tr>
        <w:trPr/>
        <w:tc>
          <w:tcPr>
            <w:tcW w:w="70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December 31,</w:t>
            </w:r>
          </w:p>
        </w:tc>
        <w:tc>
          <w:tcPr>
            <w:tcW w:w="87" w:type="dxa"/>
            <w:tcBorders/>
            <w:vAlign w:val="center"/>
          </w:tcPr>
          <w:p>
            <w:pPr>
              <w:pStyle w:val="TableContents"/>
              <w:bidi w:val="0"/>
              <w:spacing w:before="0" w:after="283"/>
              <w:jc w:val="left"/>
              <w:rPr/>
            </w:pPr>
            <w:r>
              <w:rPr/>
              <w:t> </w:t>
            </w:r>
          </w:p>
        </w:tc>
      </w:tr>
      <w:tr>
        <w:trPr/>
        <w:tc>
          <w:tcPr>
            <w:tcW w:w="70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87" w:type="dxa"/>
            <w:tcBorders/>
            <w:vAlign w:val="center"/>
          </w:tcPr>
          <w:p>
            <w:pPr>
              <w:pStyle w:val="TableContents"/>
              <w:bidi w:val="0"/>
              <w:spacing w:before="0" w:after="283"/>
              <w:jc w:val="left"/>
              <w:rPr/>
            </w:pPr>
            <w:r>
              <w:rPr/>
              <w:t> </w:t>
            </w:r>
          </w:p>
        </w:tc>
      </w:tr>
      <w:tr>
        <w:trPr/>
        <w:tc>
          <w:tcPr>
            <w:tcW w:w="70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left"/>
              <w:rPr/>
            </w:pPr>
            <w:r>
              <w:rPr/>
              <w:t> </w:t>
            </w:r>
          </w:p>
        </w:tc>
      </w:tr>
      <w:tr>
        <w:trPr/>
        <w:tc>
          <w:tcPr>
            <w:tcW w:w="10205" w:type="dxa"/>
            <w:gridSpan w:val="9"/>
            <w:tcBorders/>
            <w:vAlign w:val="center"/>
          </w:tcPr>
          <w:p>
            <w:pPr>
              <w:pStyle w:val="TableContents"/>
              <w:bidi w:val="0"/>
              <w:spacing w:before="0" w:after="283"/>
              <w:jc w:val="center"/>
              <w:rPr/>
            </w:pPr>
            <w:r>
              <w:rPr/>
              <w:t>ASSETS</w:t>
            </w:r>
          </w:p>
        </w:tc>
      </w:tr>
      <w:tr>
        <w:trPr/>
        <w:tc>
          <w:tcPr>
            <w:tcW w:w="7033"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5,981,774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3,237,106</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Accounts receivable,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42,125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261,809</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772,943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729,342</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Current assets held for sale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118,459</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6,796,842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4,346,716</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 xml:space="preserve">Other Assets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250,383</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Intangible Assets,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414,223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566,259</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 xml:space="preserve">Goodwill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4,183,232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4,183,232</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Non-current assets held for sale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27,595</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11,394,297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9,374,185</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center"/>
              <w:rPr/>
            </w:pPr>
            <w:r>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1,230,707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1,154,072</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Deferred revenue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59,107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81,318</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Current liabilities held for sale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13,759</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Total current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1,289,814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1,249,149</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Convertible debt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216,194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7,841,500</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Accrued severance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Total liabilities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1,831,008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9,090,649</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Commitments and Contingencies (Note 10)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Stockholders’ Equity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Common stock, $0.0001 par value, 250,000,000 shares authorized; 7,874,962 and 3,179,789 shares issued and outstanding as of June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Additional paid in capital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165,593,921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140,257,448</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(156,031,210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(140,130,159</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7033" w:type="dxa"/>
            <w:tcBorders/>
            <w:vAlign w:val="center"/>
          </w:tcPr>
          <w:p>
            <w:pPr>
              <w:pStyle w:val="TableContents"/>
              <w:bidi w:val="0"/>
              <w:spacing w:before="0" w:after="283"/>
              <w:jc w:val="left"/>
              <w:rPr/>
            </w:pPr>
            <w:r>
              <w:rPr/>
              <w:t xml:space="preserve">Accumulated comprehensive (loss) income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(208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155,929</w:t>
            </w:r>
          </w:p>
        </w:tc>
        <w:tc>
          <w:tcPr>
            <w:tcW w:w="87" w:type="dxa"/>
            <w:tcBorders/>
            <w:vAlign w:val="center"/>
          </w:tcPr>
          <w:p>
            <w:pPr>
              <w:pStyle w:val="TableContents"/>
              <w:bidi w:val="0"/>
              <w:spacing w:before="0" w:after="283"/>
              <w:ind w:left="0" w:right="0" w:hanging="180"/>
              <w:jc w:val="left"/>
              <w:rPr/>
            </w:pPr>
            <w:r>
              <w:rPr/>
              <w:t> </w:t>
            </w:r>
          </w:p>
        </w:tc>
      </w:tr>
      <w:tr>
        <w:trPr/>
        <w:tc>
          <w:tcPr>
            <w:tcW w:w="7033"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9,563,289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283,536</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33" w:type="dxa"/>
            <w:tcBorders/>
            <w:vAlign w:val="center"/>
          </w:tcPr>
          <w:p>
            <w:pPr>
              <w:pStyle w:val="TableContents"/>
              <w:bidi w:val="0"/>
              <w:spacing w:before="0" w:after="283"/>
              <w:jc w:val="left"/>
              <w:rPr/>
            </w:pPr>
            <w:r>
              <w:rPr/>
              <w:t>Total liabilities and stockholders’ equity</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tcMar>
              <w:bottom w:w="28" w:type="dxa"/>
            </w:tcMar>
            <w:vAlign w:val="center"/>
          </w:tcPr>
          <w:p>
            <w:pPr>
              <w:pStyle w:val="TableContents"/>
              <w:bidi w:val="0"/>
              <w:spacing w:before="0" w:after="283"/>
              <w:jc w:val="right"/>
              <w:rPr/>
            </w:pPr>
            <w:r>
              <w:rPr/>
              <w:t>11,394,297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tcMar>
              <w:bottom w:w="28" w:type="dxa"/>
            </w:tcMar>
            <w:vAlign w:val="center"/>
          </w:tcPr>
          <w:p>
            <w:pPr>
              <w:pStyle w:val="TableContents"/>
              <w:bidi w:val="0"/>
              <w:spacing w:before="0" w:after="283"/>
              <w:jc w:val="right"/>
              <w:rPr/>
            </w:pPr>
            <w:r>
              <w:rPr/>
              <w:t>9,374,185</w:t>
            </w:r>
          </w:p>
        </w:tc>
        <w:tc>
          <w:tcPr>
            <w:tcW w:w="8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30"/>
        <w:gridCol w:w="60"/>
        <w:gridCol w:w="140"/>
        <w:gridCol w:w="1175"/>
        <w:gridCol w:w="95"/>
        <w:gridCol w:w="60"/>
        <w:gridCol w:w="140"/>
        <w:gridCol w:w="1055"/>
        <w:gridCol w:w="95"/>
        <w:gridCol w:w="60"/>
        <w:gridCol w:w="140"/>
        <w:gridCol w:w="1175"/>
        <w:gridCol w:w="95"/>
        <w:gridCol w:w="60"/>
        <w:gridCol w:w="140"/>
        <w:gridCol w:w="1175"/>
        <w:gridCol w:w="110"/>
      </w:tblGrid>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Verified software license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36,122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51,409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71,900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86,902</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Legacy authentication services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1,020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15,000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3,098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144,559</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Total 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37,142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66,409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74,998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231,461</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General and administrative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1,924,203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4,026,382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5,200,394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7,669,366</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796,295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1,695,521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1,902,109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3,069,023</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Depreciation and amortization</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76,019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244,448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152,036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460,833</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2,796,517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5,966,351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7,254,539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11,199,222</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(2,759,375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(5,899,942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(7,179,541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(10,967,761</w:t>
            </w:r>
          </w:p>
        </w:tc>
        <w:tc>
          <w:tcPr>
            <w:tcW w:w="110" w:type="dxa"/>
            <w:tcBorders/>
            <w:shd w:fill="CCEEFF" w:val="clear"/>
            <w:vAlign w:val="center"/>
          </w:tcPr>
          <w:p>
            <w:pPr>
              <w:pStyle w:val="TableContents"/>
              <w:bidi w:val="0"/>
              <w:spacing w:before="0" w:after="283"/>
              <w:jc w:val="left"/>
              <w:rPr/>
            </w:pPr>
            <w:r>
              <w:rPr/>
              <w:t>)</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Other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3,240</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(282,109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(459,262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(1,082,182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(493,904</w:t>
            </w:r>
          </w:p>
        </w:tc>
        <w:tc>
          <w:tcPr>
            <w:tcW w:w="110" w:type="dxa"/>
            <w:tcBorders/>
            <w:shd w:fill="CCEEFF" w:val="clear"/>
            <w:vAlign w:val="center"/>
          </w:tcPr>
          <w:p>
            <w:pPr>
              <w:pStyle w:val="TableContents"/>
              <w:bidi w:val="0"/>
              <w:spacing w:before="0" w:after="283"/>
              <w:jc w:val="left"/>
              <w:rPr/>
            </w:pPr>
            <w:r>
              <w:rPr/>
              <w:t>)</w:t>
            </w:r>
          </w:p>
        </w:tc>
      </w:tr>
      <w:tr>
        <w:trPr/>
        <w:tc>
          <w:tcPr>
            <w:tcW w:w="4430" w:type="dxa"/>
            <w:tcBorders/>
            <w:vAlign w:val="center"/>
          </w:tcPr>
          <w:p>
            <w:pPr>
              <w:pStyle w:val="TableContents"/>
              <w:bidi w:val="0"/>
              <w:spacing w:before="0" w:after="283"/>
              <w:jc w:val="left"/>
              <w:rPr/>
            </w:pPr>
            <w:r>
              <w:rPr/>
              <w:t>Loss on debt extinguishment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(380,741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(380,741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both"/>
              <w:rPr/>
            </w:pPr>
            <w:r>
              <w:rPr/>
              <w:t>Conversion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(7,476,000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(7,476,000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Other expense, net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(8,137,690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(459,262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(8,937,763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(490,664</w:t>
            </w:r>
          </w:p>
        </w:tc>
        <w:tc>
          <w:tcPr>
            <w:tcW w:w="110" w:type="dxa"/>
            <w:tcBorders/>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Loss from continuing operations before income taxes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(10,897,065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(6,359,204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(16,117,304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(11,458,425</w:t>
            </w:r>
          </w:p>
        </w:tc>
        <w:tc>
          <w:tcPr>
            <w:tcW w:w="110" w:type="dxa"/>
            <w:tcBorders/>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(7,316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(8,100</w:t>
            </w:r>
          </w:p>
        </w:tc>
        <w:tc>
          <w:tcPr>
            <w:tcW w:w="110" w:type="dxa"/>
            <w:tcBorders/>
            <w:shd w:fill="CCEEFF" w:val="clear"/>
            <w:vAlign w:val="center"/>
          </w:tcPr>
          <w:p>
            <w:pPr>
              <w:pStyle w:val="TableContents"/>
              <w:bidi w:val="0"/>
              <w:spacing w:before="0" w:after="283"/>
              <w:jc w:val="left"/>
              <w:rPr/>
            </w:pPr>
            <w:r>
              <w:rPr/>
              <w:t>)</w:t>
            </w:r>
          </w:p>
        </w:tc>
      </w:tr>
      <w:tr>
        <w:trPr/>
        <w:tc>
          <w:tcPr>
            <w:tcW w:w="4430" w:type="dxa"/>
            <w:tcBorders/>
            <w:vAlign w:val="center"/>
          </w:tcPr>
          <w:p>
            <w:pPr>
              <w:pStyle w:val="TableContents"/>
              <w:bidi w:val="0"/>
              <w:spacing w:before="0" w:after="283"/>
              <w:jc w:val="left"/>
              <w:rPr/>
            </w:pPr>
            <w:r>
              <w:rPr/>
              <w:t>Loss from continuing operations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(10,900,320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(6,366,520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(16,120,559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(11,466,525</w:t>
            </w:r>
          </w:p>
        </w:tc>
        <w:tc>
          <w:tcPr>
            <w:tcW w:w="110" w:type="dxa"/>
            <w:tcBorders/>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Gain (loss) from discontinued operations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5,694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(206,307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3,439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(407,030</w:t>
            </w:r>
          </w:p>
        </w:tc>
        <w:tc>
          <w:tcPr>
            <w:tcW w:w="110" w:type="dxa"/>
            <w:tcBorders/>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283"/>
              <w:jc w:val="left"/>
              <w:rPr/>
            </w:pPr>
            <w:r>
              <w:rPr/>
              <w:t>Gain on sale of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216,069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216,069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Total gain (loss) from discontinued operations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221,763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(206,307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219,508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(407,030</w:t>
            </w:r>
          </w:p>
        </w:tc>
        <w:tc>
          <w:tcPr>
            <w:tcW w:w="110" w:type="dxa"/>
            <w:tcBorders/>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(10,678,557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(6,572,827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(15,901,051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(11,873,555</w:t>
            </w:r>
          </w:p>
        </w:tc>
        <w:tc>
          <w:tcPr>
            <w:tcW w:w="110" w:type="dxa"/>
            <w:tcBorders/>
            <w:shd w:fill="CCEEFF" w:val="clear"/>
            <w:vAlign w:val="center"/>
          </w:tcPr>
          <w:p>
            <w:pPr>
              <w:pStyle w:val="TableContents"/>
              <w:bidi w:val="0"/>
              <w:spacing w:before="0" w:after="283"/>
              <w:jc w:val="left"/>
              <w:rPr/>
            </w:pPr>
            <w:r>
              <w:rPr/>
              <w:t>)</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Net Income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pPr>
            <w:r>
              <w:rPr/>
              <w:t>Continuing operations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(2.15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(2.06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(3.91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(3.80</w:t>
            </w:r>
          </w:p>
        </w:tc>
        <w:tc>
          <w:tcPr>
            <w:tcW w:w="110" w:type="dxa"/>
            <w:tcBorders/>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0"/>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(0.14</w:t>
            </w:r>
          </w:p>
        </w:tc>
        <w:tc>
          <w:tcPr>
            <w:tcW w:w="110" w:type="dxa"/>
            <w:tcBorders/>
            <w:shd w:fill="CCEEFF" w:val="clear"/>
            <w:vAlign w:val="center"/>
          </w:tcPr>
          <w:p>
            <w:pPr>
              <w:pStyle w:val="TableContents"/>
              <w:bidi w:val="0"/>
              <w:spacing w:before="0" w:after="283"/>
              <w:jc w:val="left"/>
              <w:rPr/>
            </w:pPr>
            <w:r>
              <w:rPr/>
              <w:t>)</w:t>
            </w:r>
          </w:p>
        </w:tc>
      </w:tr>
      <w:tr>
        <w:trPr/>
        <w:tc>
          <w:tcPr>
            <w:tcW w:w="4430" w:type="dxa"/>
            <w:tcBorders/>
            <w:vAlign w:val="center"/>
          </w:tcPr>
          <w:p>
            <w:pPr>
              <w:pStyle w:val="TableContents"/>
              <w:bidi w:val="0"/>
              <w:spacing w:before="0" w:after="0"/>
              <w:jc w:val="left"/>
              <w:rPr/>
            </w:pPr>
            <w:r>
              <w:rPr/>
              <w:t>Weighted Average Shares Outstanding – Basic and Diluted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5,065,556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3,084,226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4,120,849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3,014,854</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authID INC.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885" w:type="dxa"/>
        <w:jc w:val="left"/>
        <w:tblInd w:w="0" w:type="dxa"/>
        <w:tblLayout w:type="fixed"/>
        <w:tblCellMar>
          <w:top w:w="0" w:type="dxa"/>
          <w:left w:w="0" w:type="dxa"/>
          <w:bottom w:w="0" w:type="dxa"/>
          <w:right w:w="0" w:type="dxa"/>
        </w:tblCellMar>
      </w:tblPr>
      <w:tblGrid>
        <w:gridCol w:w="3110"/>
        <w:gridCol w:w="60"/>
        <w:gridCol w:w="140"/>
        <w:gridCol w:w="1175"/>
        <w:gridCol w:w="95"/>
        <w:gridCol w:w="60"/>
        <w:gridCol w:w="140"/>
        <w:gridCol w:w="1055"/>
        <w:gridCol w:w="95"/>
        <w:gridCol w:w="60"/>
        <w:gridCol w:w="140"/>
        <w:gridCol w:w="1175"/>
        <w:gridCol w:w="95"/>
        <w:gridCol w:w="60"/>
        <w:gridCol w:w="140"/>
        <w:gridCol w:w="1175"/>
        <w:gridCol w:w="11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(10,678,557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(6,572,827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(15,901,051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(11,873,555</w:t>
            </w:r>
          </w:p>
        </w:tc>
        <w:tc>
          <w:tcPr>
            <w:tcW w:w="110" w:type="dxa"/>
            <w:tcBorders/>
            <w:shd w:fill="CCEEFF" w:val="clear"/>
            <w:vAlign w:val="center"/>
          </w:tcPr>
          <w:p>
            <w:pPr>
              <w:pStyle w:val="TableContents"/>
              <w:bidi w:val="0"/>
              <w:spacing w:before="0" w:after="283"/>
              <w:jc w:val="left"/>
              <w:rPr/>
            </w:pPr>
            <w:r>
              <w:rPr/>
              <w:t>)</w:t>
            </w:r>
          </w:p>
        </w:tc>
      </w:tr>
      <w:tr>
        <w:trPr/>
        <w:tc>
          <w:tcPr>
            <w:tcW w:w="3110" w:type="dxa"/>
            <w:tcBorders/>
            <w:vAlign w:val="center"/>
          </w:tcPr>
          <w:p>
            <w:pPr>
              <w:pStyle w:val="TableContents"/>
              <w:bidi w:val="0"/>
              <w:spacing w:before="0" w:after="283"/>
              <w:jc w:val="left"/>
              <w:rPr/>
            </w:pPr>
            <w:r>
              <w:rPr/>
              <w:t>Foreign currency translation loss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(132,071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(67,788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(156,137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(35,048</w:t>
            </w:r>
          </w:p>
        </w:tc>
        <w:tc>
          <w:tcPr>
            <w:tcW w:w="110" w:type="dxa"/>
            <w:tcBorders/>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(10,810,628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(6,640,615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(16,057,188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(11,908,603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authID INC.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STOCKHOLDERS’ EQUITY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1"/>
        <w:gridCol w:w="60"/>
        <w:gridCol w:w="60"/>
        <w:gridCol w:w="980"/>
        <w:gridCol w:w="60"/>
        <w:gridCol w:w="60"/>
        <w:gridCol w:w="231"/>
        <w:gridCol w:w="629"/>
        <w:gridCol w:w="60"/>
        <w:gridCol w:w="60"/>
        <w:gridCol w:w="140"/>
        <w:gridCol w:w="1220"/>
        <w:gridCol w:w="95"/>
        <w:gridCol w:w="60"/>
        <w:gridCol w:w="140"/>
        <w:gridCol w:w="1295"/>
        <w:gridCol w:w="95"/>
        <w:gridCol w:w="60"/>
        <w:gridCol w:w="220"/>
        <w:gridCol w:w="1390"/>
        <w:gridCol w:w="95"/>
        <w:gridCol w:w="60"/>
        <w:gridCol w:w="140"/>
        <w:gridCol w:w="1175"/>
        <w:gridCol w:w="79"/>
      </w:tblGrid>
      <w:tr>
        <w:trPr/>
        <w:tc>
          <w:tcPr>
            <w:tcW w:w="1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Balances,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3,247,957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141,319,889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(145,352,653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390" w:type="dxa"/>
            <w:tcBorders/>
            <w:shd w:fill="CCEEFF" w:val="clear"/>
            <w:vAlign w:val="center"/>
          </w:tcPr>
          <w:p>
            <w:pPr>
              <w:pStyle w:val="TableContents"/>
              <w:bidi w:val="0"/>
              <w:spacing w:before="0" w:after="283"/>
              <w:jc w:val="right"/>
              <w:rPr/>
            </w:pPr>
            <w:r>
              <w:rPr/>
              <w:t>131,863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(3,900,576</w:t>
            </w:r>
          </w:p>
        </w:tc>
        <w:tc>
          <w:tcPr>
            <w:tcW w:w="79" w:type="dxa"/>
            <w:tcBorders/>
            <w:shd w:fill="CCEEFF" w:val="clear"/>
            <w:vAlign w:val="center"/>
          </w:tcPr>
          <w:p>
            <w:pPr>
              <w:pStyle w:val="TableContents"/>
              <w:bidi w:val="0"/>
              <w:spacing w:before="0" w:after="283"/>
              <w:ind w:left="0" w:right="0" w:hanging="180"/>
              <w:jc w:val="left"/>
              <w:rPr/>
            </w:pPr>
            <w:r>
              <w:rPr/>
              <w:t>)</w:t>
            </w:r>
          </w:p>
        </w:tc>
      </w:tr>
      <w:tr>
        <w:trPr/>
        <w:tc>
          <w:tcPr>
            <w:tcW w:w="1741" w:type="dxa"/>
            <w:tcBorders/>
            <w:vAlign w:val="center"/>
          </w:tcPr>
          <w:p>
            <w:pPr>
              <w:pStyle w:val="TableContents"/>
              <w:bidi w:val="0"/>
              <w:spacing w:before="0" w:after="283"/>
              <w:jc w:val="left"/>
              <w:rPr/>
            </w:pPr>
            <w:r>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1,055,690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1,055,690</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Warrants issued for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438,000</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Shares issued in lieu of 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43,348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165,147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165,151</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Conversion of convertible notes into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2,348,347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15,331,776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15,332,011</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Conversion of credit facility borrowings into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245,634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899,976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900,000</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Sale of common stock for cash,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1,989,676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6,383,443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6,383,641</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(10,678,557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(10,678,557</w:t>
            </w:r>
          </w:p>
        </w:tc>
        <w:tc>
          <w:tcPr>
            <w:tcW w:w="79" w:type="dxa"/>
            <w:tcBorders/>
            <w:vAlign w:val="center"/>
          </w:tcPr>
          <w:p>
            <w:pPr>
              <w:pStyle w:val="TableContents"/>
              <w:bidi w:val="0"/>
              <w:spacing w:before="0" w:after="283"/>
              <w:ind w:left="0" w:right="0" w:hanging="180"/>
              <w:jc w:val="left"/>
              <w:rPr/>
            </w:pPr>
            <w:r>
              <w:rPr/>
              <w:t>)</w:t>
            </w:r>
          </w:p>
        </w:tc>
      </w:tr>
      <w:tr>
        <w:trPr/>
        <w:tc>
          <w:tcPr>
            <w:tcW w:w="1741"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CCEEFF" w:val="clear"/>
            <w:tcMar>
              <w:bottom w:w="28" w:type="dxa"/>
            </w:tcMar>
            <w:vAlign w:val="center"/>
          </w:tcPr>
          <w:p>
            <w:pPr>
              <w:pStyle w:val="TableContents"/>
              <w:bidi w:val="0"/>
              <w:spacing w:before="0" w:after="283"/>
              <w:jc w:val="right"/>
              <w:rPr/>
            </w:pPr>
            <w:r>
              <w:rPr/>
              <w:t>(132,071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(132,071</w:t>
            </w:r>
          </w:p>
        </w:tc>
        <w:tc>
          <w:tcPr>
            <w:tcW w:w="79" w:type="dxa"/>
            <w:tcBorders/>
            <w:shd w:fill="CCEEFF" w:val="clear"/>
            <w:vAlign w:val="center"/>
          </w:tcPr>
          <w:p>
            <w:pPr>
              <w:pStyle w:val="TableContents"/>
              <w:bidi w:val="0"/>
              <w:spacing w:before="0" w:after="283"/>
              <w:ind w:left="0" w:right="0" w:hanging="180"/>
              <w:jc w:val="left"/>
              <w:rPr/>
            </w:pPr>
            <w:r>
              <w:rPr/>
              <w:t>)</w:t>
            </w:r>
          </w:p>
        </w:tc>
      </w:tr>
      <w:tr>
        <w:trPr/>
        <w:tc>
          <w:tcPr>
            <w:tcW w:w="1741" w:type="dxa"/>
            <w:tcBorders/>
            <w:vAlign w:val="center"/>
          </w:tcPr>
          <w:p>
            <w:pPr>
              <w:pStyle w:val="TableContents"/>
              <w:bidi w:val="0"/>
              <w:spacing w:before="0" w:after="283"/>
              <w:jc w:val="left"/>
              <w:rPr/>
            </w:pPr>
            <w:r>
              <w:rPr/>
              <w:t>Balances, June 30, 2023</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7,874,962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double" w:sz="10" w:space="0" w:color="000000"/>
            </w:tcBorders>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tcMar>
              <w:bottom w:w="28" w:type="dxa"/>
            </w:tcMar>
            <w:vAlign w:val="center"/>
          </w:tcPr>
          <w:p>
            <w:pPr>
              <w:pStyle w:val="TableContents"/>
              <w:bidi w:val="0"/>
              <w:spacing w:before="0" w:after="283"/>
              <w:jc w:val="right"/>
              <w:rPr/>
            </w:pPr>
            <w:r>
              <w:rPr/>
              <w:t>786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tcMar>
              <w:bottom w:w="28" w:type="dxa"/>
            </w:tcMar>
            <w:vAlign w:val="center"/>
          </w:tcPr>
          <w:p>
            <w:pPr>
              <w:pStyle w:val="TableContents"/>
              <w:bidi w:val="0"/>
              <w:spacing w:before="0" w:after="283"/>
              <w:jc w:val="right"/>
              <w:rPr/>
            </w:pPr>
            <w:r>
              <w:rPr/>
              <w:t>165,593,921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tcMar>
              <w:bottom w:w="28" w:type="dxa"/>
            </w:tcMar>
            <w:vAlign w:val="center"/>
          </w:tcPr>
          <w:p>
            <w:pPr>
              <w:pStyle w:val="TableContents"/>
              <w:bidi w:val="0"/>
              <w:spacing w:before="0" w:after="283"/>
              <w:jc w:val="right"/>
              <w:rPr/>
            </w:pPr>
            <w:r>
              <w:rPr/>
              <w:t>(156,031,210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0" w:type="dxa"/>
            <w:tcBorders>
              <w:bottom w:val="double" w:sz="10" w:space="0" w:color="000000"/>
            </w:tcBorders>
            <w:tcMar>
              <w:bottom w:w="28" w:type="dxa"/>
            </w:tcMar>
            <w:vAlign w:val="center"/>
          </w:tcPr>
          <w:p>
            <w:pPr>
              <w:pStyle w:val="TableContents"/>
              <w:bidi w:val="0"/>
              <w:spacing w:before="0" w:after="283"/>
              <w:jc w:val="left"/>
              <w:rPr/>
            </w:pPr>
            <w:r>
              <w:rPr/>
              <w:t>$</w:t>
            </w:r>
          </w:p>
        </w:tc>
        <w:tc>
          <w:tcPr>
            <w:tcW w:w="1390" w:type="dxa"/>
            <w:tcBorders>
              <w:bottom w:val="double" w:sz="10" w:space="0" w:color="000000"/>
            </w:tcBorders>
            <w:tcMar>
              <w:bottom w:w="28" w:type="dxa"/>
            </w:tcMar>
            <w:vAlign w:val="center"/>
          </w:tcPr>
          <w:p>
            <w:pPr>
              <w:pStyle w:val="TableContents"/>
              <w:bidi w:val="0"/>
              <w:spacing w:before="0" w:after="283"/>
              <w:jc w:val="right"/>
              <w:rPr/>
            </w:pPr>
            <w:r>
              <w:rPr/>
              <w:t>(208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9,563,289</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Balances, 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3,179,789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318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140,257,448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(140,130,159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390" w:type="dxa"/>
            <w:tcBorders/>
            <w:vAlign w:val="center"/>
          </w:tcPr>
          <w:p>
            <w:pPr>
              <w:pStyle w:val="TableContents"/>
              <w:bidi w:val="0"/>
              <w:spacing w:before="0" w:after="283"/>
              <w:jc w:val="right"/>
              <w:rPr/>
            </w:pPr>
            <w:r>
              <w:rPr/>
              <w:t>155,929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283,536</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1,895,711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1,895,711</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Shares issued in lieu of 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111,516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387,567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387,578</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Warrants issued for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438,000</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Conversion of convertible notes into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2,348,347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15,331,776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15,332,011</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Conversion of credit facility borrowings into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899,976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900,000</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Sale of common stock for cash, net of offering costs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1,989,676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6,383,443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6,383,641</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(15,901,051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(15,901,051</w:t>
            </w:r>
          </w:p>
        </w:tc>
        <w:tc>
          <w:tcPr>
            <w:tcW w:w="79" w:type="dxa"/>
            <w:tcBorders/>
            <w:shd w:fill="CCEEFF" w:val="clear"/>
            <w:vAlign w:val="center"/>
          </w:tcPr>
          <w:p>
            <w:pPr>
              <w:pStyle w:val="TableContents"/>
              <w:bidi w:val="0"/>
              <w:spacing w:before="0" w:after="283"/>
              <w:ind w:left="0" w:right="0" w:hanging="180"/>
              <w:jc w:val="left"/>
              <w:rPr/>
            </w:pPr>
            <w:r>
              <w:rPr/>
              <w:t>)</w:t>
            </w:r>
          </w:p>
        </w:tc>
      </w:tr>
      <w:tr>
        <w:trPr/>
        <w:tc>
          <w:tcPr>
            <w:tcW w:w="1741" w:type="dxa"/>
            <w:tcBorders/>
            <w:vAlign w:val="center"/>
          </w:tcPr>
          <w:p>
            <w:pPr>
              <w:pStyle w:val="TableContents"/>
              <w:bidi w:val="0"/>
              <w:spacing w:before="0" w:after="283"/>
              <w:jc w:val="left"/>
              <w:rPr/>
            </w:pPr>
            <w:r>
              <w:rPr/>
              <w:t>Foreign currency translation</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tcMar>
              <w:bottom w:w="28" w:type="dxa"/>
            </w:tcMar>
            <w:vAlign w:val="center"/>
          </w:tcPr>
          <w:p>
            <w:pPr>
              <w:pStyle w:val="TableContents"/>
              <w:bidi w:val="0"/>
              <w:spacing w:before="0" w:after="283"/>
              <w:jc w:val="right"/>
              <w:rPr/>
            </w:pPr>
            <w:r>
              <w:rPr/>
              <w:t>(156,137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(156,137</w:t>
            </w:r>
          </w:p>
        </w:tc>
        <w:tc>
          <w:tcPr>
            <w:tcW w:w="79" w:type="dxa"/>
            <w:tcBorders/>
            <w:vAlign w:val="center"/>
          </w:tcPr>
          <w:p>
            <w:pPr>
              <w:pStyle w:val="TableContents"/>
              <w:bidi w:val="0"/>
              <w:spacing w:before="0" w:after="283"/>
              <w:ind w:left="0" w:right="0" w:hanging="180"/>
              <w:jc w:val="left"/>
              <w:rPr/>
            </w:pPr>
            <w:r>
              <w:rPr/>
              <w:t>)</w:t>
            </w:r>
          </w:p>
        </w:tc>
      </w:tr>
      <w:tr>
        <w:trPr/>
        <w:tc>
          <w:tcPr>
            <w:tcW w:w="1741" w:type="dxa"/>
            <w:tcBorders/>
            <w:shd w:fill="CCEEFF" w:val="clear"/>
            <w:vAlign w:val="center"/>
          </w:tcPr>
          <w:p>
            <w:pPr>
              <w:pStyle w:val="TableContents"/>
              <w:bidi w:val="0"/>
              <w:spacing w:before="0" w:after="283"/>
              <w:jc w:val="left"/>
              <w:rPr/>
            </w:pPr>
            <w:r>
              <w:rPr/>
              <w:t>Balances,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7,874,962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pPr>
            <w:r>
              <w:rPr/>
              <w:t>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165,593,921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(156,031,210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9,563,289</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Balances,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3,098,968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132,441,881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(121,200,667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390" w:type="dxa"/>
            <w:tcBorders/>
            <w:shd w:fill="CCEEFF" w:val="clear"/>
            <w:vAlign w:val="center"/>
          </w:tcPr>
          <w:p>
            <w:pPr>
              <w:pStyle w:val="TableContents"/>
              <w:bidi w:val="0"/>
              <w:spacing w:before="0" w:after="283"/>
              <w:jc w:val="right"/>
              <w:rPr/>
            </w:pPr>
            <w:r>
              <w:rPr/>
              <w:t>244,226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11,485,750</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Shares issued in lieu of 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14,612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251,006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251,007</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2,632,118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2,632,118</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(6,572,827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(6,572,827</w:t>
            </w:r>
          </w:p>
        </w:tc>
        <w:tc>
          <w:tcPr>
            <w:tcW w:w="79" w:type="dxa"/>
            <w:tcBorders/>
            <w:vAlign w:val="center"/>
          </w:tcPr>
          <w:p>
            <w:pPr>
              <w:pStyle w:val="TableContents"/>
              <w:bidi w:val="0"/>
              <w:spacing w:before="0" w:after="283"/>
              <w:ind w:left="0" w:right="0" w:hanging="180"/>
              <w:jc w:val="left"/>
              <w:rPr/>
            </w:pPr>
            <w:r>
              <w:rPr/>
              <w:t>)</w:t>
            </w:r>
          </w:p>
        </w:tc>
      </w:tr>
      <w:tr>
        <w:trPr/>
        <w:tc>
          <w:tcPr>
            <w:tcW w:w="1741"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CCEEFF" w:val="clear"/>
            <w:tcMar>
              <w:bottom w:w="28" w:type="dxa"/>
            </w:tcMar>
            <w:vAlign w:val="center"/>
          </w:tcPr>
          <w:p>
            <w:pPr>
              <w:pStyle w:val="TableContents"/>
              <w:bidi w:val="0"/>
              <w:spacing w:before="0" w:after="283"/>
              <w:jc w:val="right"/>
              <w:rPr/>
            </w:pPr>
            <w:r>
              <w:rPr/>
              <w:t>(67,788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(67,788</w:t>
            </w:r>
          </w:p>
        </w:tc>
        <w:tc>
          <w:tcPr>
            <w:tcW w:w="79" w:type="dxa"/>
            <w:tcBorders/>
            <w:shd w:fill="CCEEFF" w:val="clear"/>
            <w:vAlign w:val="center"/>
          </w:tcPr>
          <w:p>
            <w:pPr>
              <w:pStyle w:val="TableContents"/>
              <w:bidi w:val="0"/>
              <w:spacing w:before="0" w:after="283"/>
              <w:ind w:left="0" w:right="0" w:hanging="180"/>
              <w:jc w:val="left"/>
              <w:rPr/>
            </w:pPr>
            <w:r>
              <w:rPr/>
              <w:t>)</w:t>
            </w:r>
          </w:p>
        </w:tc>
      </w:tr>
      <w:tr>
        <w:trPr/>
        <w:tc>
          <w:tcPr>
            <w:tcW w:w="1741" w:type="dxa"/>
            <w:tcBorders/>
            <w:vAlign w:val="center"/>
          </w:tcPr>
          <w:p>
            <w:pPr>
              <w:pStyle w:val="TableContents"/>
              <w:bidi w:val="0"/>
              <w:spacing w:before="0" w:after="283"/>
              <w:jc w:val="left"/>
              <w:rPr/>
            </w:pPr>
            <w:r>
              <w:rPr/>
              <w:t>Balances, June 30, 2022</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3,113,580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double" w:sz="10" w:space="0" w:color="000000"/>
            </w:tcBorders>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tcMar>
              <w:bottom w:w="28" w:type="dxa"/>
            </w:tcMar>
            <w:vAlign w:val="center"/>
          </w:tcPr>
          <w:p>
            <w:pPr>
              <w:pStyle w:val="TableContents"/>
              <w:bidi w:val="0"/>
              <w:spacing w:before="0" w:after="283"/>
              <w:jc w:val="right"/>
              <w:rPr/>
            </w:pPr>
            <w:r>
              <w:rPr/>
              <w:t>311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tcMar>
              <w:bottom w:w="28" w:type="dxa"/>
            </w:tcMar>
            <w:vAlign w:val="center"/>
          </w:tcPr>
          <w:p>
            <w:pPr>
              <w:pStyle w:val="TableContents"/>
              <w:bidi w:val="0"/>
              <w:spacing w:before="0" w:after="283"/>
              <w:jc w:val="right"/>
              <w:rPr/>
            </w:pPr>
            <w:r>
              <w:rPr/>
              <w:t>135,325,005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tcMar>
              <w:bottom w:w="28" w:type="dxa"/>
            </w:tcMar>
            <w:vAlign w:val="center"/>
          </w:tcPr>
          <w:p>
            <w:pPr>
              <w:pStyle w:val="TableContents"/>
              <w:bidi w:val="0"/>
              <w:spacing w:before="0" w:after="283"/>
              <w:jc w:val="right"/>
              <w:rPr/>
            </w:pPr>
            <w:r>
              <w:rPr/>
              <w:t>(127,773,494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0" w:type="dxa"/>
            <w:tcBorders>
              <w:bottom w:val="double" w:sz="10" w:space="0" w:color="000000"/>
            </w:tcBorders>
            <w:tcMar>
              <w:bottom w:w="28" w:type="dxa"/>
            </w:tcMar>
            <w:vAlign w:val="center"/>
          </w:tcPr>
          <w:p>
            <w:pPr>
              <w:pStyle w:val="TableContents"/>
              <w:bidi w:val="0"/>
              <w:spacing w:before="0" w:after="283"/>
              <w:jc w:val="left"/>
              <w:rPr/>
            </w:pPr>
            <w:r>
              <w:rPr/>
              <w:t>$</w:t>
            </w:r>
          </w:p>
        </w:tc>
        <w:tc>
          <w:tcPr>
            <w:tcW w:w="1390" w:type="dxa"/>
            <w:tcBorders>
              <w:bottom w:val="double" w:sz="10" w:space="0" w:color="000000"/>
            </w:tcBorders>
            <w:tcMar>
              <w:bottom w:w="28" w:type="dxa"/>
            </w:tcMar>
            <w:vAlign w:val="center"/>
          </w:tcPr>
          <w:p>
            <w:pPr>
              <w:pStyle w:val="TableContents"/>
              <w:bidi w:val="0"/>
              <w:spacing w:before="0" w:after="283"/>
              <w:jc w:val="right"/>
              <w:rPr/>
            </w:pPr>
            <w:r>
              <w:rPr/>
              <w:t>176,438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7,728,260</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Balances, December 31, 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2,926,655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293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126,583,738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(115,899,939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390" w:type="dxa"/>
            <w:tcBorders/>
            <w:vAlign w:val="center"/>
          </w:tcPr>
          <w:p>
            <w:pPr>
              <w:pStyle w:val="TableContents"/>
              <w:bidi w:val="0"/>
              <w:spacing w:before="0" w:after="283"/>
              <w:jc w:val="right"/>
              <w:rPr/>
            </w:pPr>
            <w:r>
              <w:rPr/>
              <w:t>211,486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10,895,578</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4,499,107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4,499,107</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Sale of common stock for cash, net of offering costs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132,940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3,146,927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3,146,940</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Common stock issued with convertible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91,756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91,757</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Common stock issued for working capital facility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302,999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303,000</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Shares issued in lieu of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251,006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251,007</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Warrants for services with the issuance of convertible debt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449,474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449,474</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Cashless stock option exercise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41" w:type="dxa"/>
            <w:tcBorders/>
            <w:vAlign w:val="center"/>
          </w:tcPr>
          <w:p>
            <w:pPr>
              <w:pStyle w:val="TableContents"/>
              <w:bidi w:val="0"/>
              <w:spacing w:before="0" w:after="283"/>
              <w:jc w:val="left"/>
              <w:rPr/>
            </w:pPr>
            <w:r>
              <w:rPr/>
              <w:t>Cashless warrant 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79" w:type="dxa"/>
            <w:tcBorders/>
            <w:vAlign w:val="center"/>
          </w:tcPr>
          <w:p>
            <w:pPr>
              <w:pStyle w:val="TableContents"/>
              <w:bidi w:val="0"/>
              <w:spacing w:before="0" w:after="283"/>
              <w:ind w:left="0" w:right="0" w:hanging="180"/>
              <w:jc w:val="left"/>
              <w:rPr/>
            </w:pPr>
            <w:r>
              <w:rPr/>
              <w:t> </w:t>
            </w:r>
          </w:p>
        </w:tc>
      </w:tr>
      <w:tr>
        <w:trPr/>
        <w:tc>
          <w:tcPr>
            <w:tcW w:w="174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(11,873,555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(11,873,555</w:t>
            </w:r>
          </w:p>
        </w:tc>
        <w:tc>
          <w:tcPr>
            <w:tcW w:w="79" w:type="dxa"/>
            <w:tcBorders/>
            <w:shd w:fill="CCEEFF" w:val="clear"/>
            <w:vAlign w:val="center"/>
          </w:tcPr>
          <w:p>
            <w:pPr>
              <w:pStyle w:val="TableContents"/>
              <w:bidi w:val="0"/>
              <w:spacing w:before="0" w:after="283"/>
              <w:ind w:left="0" w:right="0" w:hanging="180"/>
              <w:jc w:val="left"/>
              <w:rPr/>
            </w:pPr>
            <w:r>
              <w:rPr/>
              <w:t>)</w:t>
            </w:r>
          </w:p>
        </w:tc>
      </w:tr>
      <w:tr>
        <w:trPr/>
        <w:tc>
          <w:tcPr>
            <w:tcW w:w="1741" w:type="dxa"/>
            <w:tcBorders/>
            <w:vAlign w:val="center"/>
          </w:tcPr>
          <w:p>
            <w:pPr>
              <w:pStyle w:val="TableContents"/>
              <w:bidi w:val="0"/>
              <w:spacing w:before="0" w:after="283"/>
              <w:jc w:val="left"/>
              <w:rPr/>
            </w:pPr>
            <w:r>
              <w:rPr/>
              <w:t>Foreign currency translation</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tcMar>
              <w:bottom w:w="28" w:type="dxa"/>
            </w:tcMar>
            <w:vAlign w:val="center"/>
          </w:tcPr>
          <w:p>
            <w:pPr>
              <w:pStyle w:val="TableContents"/>
              <w:bidi w:val="0"/>
              <w:spacing w:before="0" w:after="283"/>
              <w:jc w:val="right"/>
              <w:rPr/>
            </w:pPr>
            <w:r>
              <w:rPr/>
              <w:t>(35,048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(35,048</w:t>
            </w:r>
          </w:p>
        </w:tc>
        <w:tc>
          <w:tcPr>
            <w:tcW w:w="79" w:type="dxa"/>
            <w:tcBorders/>
            <w:vAlign w:val="center"/>
          </w:tcPr>
          <w:p>
            <w:pPr>
              <w:pStyle w:val="TableContents"/>
              <w:bidi w:val="0"/>
              <w:spacing w:before="0" w:after="283"/>
              <w:ind w:left="0" w:right="0" w:hanging="180"/>
              <w:jc w:val="left"/>
              <w:rPr/>
            </w:pPr>
            <w:r>
              <w:rPr/>
              <w:t>)</w:t>
            </w:r>
          </w:p>
        </w:tc>
      </w:tr>
      <w:tr>
        <w:trPr/>
        <w:tc>
          <w:tcPr>
            <w:tcW w:w="1741" w:type="dxa"/>
            <w:tcBorders/>
            <w:shd w:fill="CCEEFF" w:val="clear"/>
            <w:vAlign w:val="center"/>
          </w:tcPr>
          <w:p>
            <w:pPr>
              <w:pStyle w:val="TableContents"/>
              <w:bidi w:val="0"/>
              <w:spacing w:before="0" w:after="283"/>
              <w:jc w:val="left"/>
              <w:rPr/>
            </w:pPr>
            <w:r>
              <w:rPr/>
              <w:t>Balances, June 30,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3,113,580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pPr>
            <w:r>
              <w:rPr/>
              <w:t>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135,325,005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(127,773,494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176,438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7,728,260</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authID INC.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9875" w:type="dxa"/>
        <w:jc w:val="left"/>
        <w:tblInd w:w="0" w:type="dxa"/>
        <w:tblLayout w:type="fixed"/>
        <w:tblCellMar>
          <w:top w:w="0" w:type="dxa"/>
          <w:left w:w="0" w:type="dxa"/>
          <w:bottom w:w="0" w:type="dxa"/>
          <w:right w:w="0" w:type="dxa"/>
        </w:tblCellMar>
      </w:tblPr>
      <w:tblGrid>
        <w:gridCol w:w="6920"/>
        <w:gridCol w:w="60"/>
        <w:gridCol w:w="140"/>
        <w:gridCol w:w="1175"/>
        <w:gridCol w:w="95"/>
        <w:gridCol w:w="60"/>
        <w:gridCol w:w="140"/>
        <w:gridCol w:w="1175"/>
        <w:gridCol w:w="110"/>
      </w:tblGrid>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(15,901,051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(11,873,555</w:t>
            </w:r>
          </w:p>
        </w:tc>
        <w:tc>
          <w:tcPr>
            <w:tcW w:w="110" w:type="dxa"/>
            <w:tcBorders/>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Adjustments to reconcile net loss with cash flows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Depreciation and amortization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152,036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460,833</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1,895,711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4,499,107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Warrants issued for services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438,000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Shares issued in lieu of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387,578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251,007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Amortization of debt discounts and issuance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689,305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210,722</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Gain from sale of discontinued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(216,069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Loss on debt extinguishment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380,741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r>
              <w:rPr/>
              <w:t>Conversion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7,476,000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Changes in operating assets and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219,684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(11,230</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vAlign w:val="center"/>
          </w:tcPr>
          <w:p>
            <w:pPr>
              <w:pStyle w:val="TableContents"/>
              <w:bidi w:val="0"/>
              <w:spacing w:before="0" w:after="283"/>
              <w:jc w:val="left"/>
              <w:rPr/>
            </w:pPr>
            <w:r>
              <w:rPr/>
              <w:t>Other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(136,564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(295,233</w:t>
            </w:r>
          </w:p>
        </w:tc>
        <w:tc>
          <w:tcPr>
            <w:tcW w:w="110" w:type="dxa"/>
            <w:tcBorders/>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63,546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6,587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Deferred revenue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(22,211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(153,363</w:t>
            </w:r>
          </w:p>
        </w:tc>
        <w:tc>
          <w:tcPr>
            <w:tcW w:w="110" w:type="dxa"/>
            <w:tcBorders/>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Other 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Adjustments relating to discontinued operations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110,064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422,423</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(4,173,230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(6,482,702</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Purchase of property and equipment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(7,978</w:t>
            </w:r>
          </w:p>
        </w:tc>
        <w:tc>
          <w:tcPr>
            <w:tcW w:w="110" w:type="dxa"/>
            <w:tcBorders/>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Purchase of property and equipment -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(16,159</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vAlign w:val="center"/>
          </w:tcPr>
          <w:p>
            <w:pPr>
              <w:pStyle w:val="TableContents"/>
              <w:bidi w:val="0"/>
              <w:spacing w:before="0" w:after="283"/>
              <w:jc w:val="left"/>
              <w:rPr/>
            </w:pPr>
            <w:r>
              <w:rPr/>
              <w:t>Purchase of intangible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(6,306</w:t>
            </w:r>
          </w:p>
        </w:tc>
        <w:tc>
          <w:tcPr>
            <w:tcW w:w="110" w:type="dxa"/>
            <w:tcBorders/>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Net 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(30,443</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Proceeds from sale of common stock, net of offering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6,383,641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3,146,940</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Credit facility drawdown, net of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543,760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Proceeds from issuance of convertible note payable, net of issuance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7,992,841</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Cash paid for working capital facility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(300,000</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vAlign w:val="center"/>
          </w:tcPr>
          <w:p>
            <w:pPr>
              <w:pStyle w:val="TableContents"/>
              <w:bidi w:val="0"/>
              <w:spacing w:before="0" w:after="283"/>
              <w:jc w:val="left"/>
              <w:rPr/>
            </w:pPr>
            <w:r>
              <w:rPr/>
              <w:t>Payments on notes payable - discontinued operations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(1,579</w:t>
            </w:r>
          </w:p>
        </w:tc>
        <w:tc>
          <w:tcPr>
            <w:tcW w:w="110" w:type="dxa"/>
            <w:tcBorders/>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Principal payments on capital lease obligation -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(10,582</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vAlign w:val="center"/>
          </w:tcPr>
          <w:p>
            <w:pPr>
              <w:pStyle w:val="TableContents"/>
              <w:bidi w:val="0"/>
              <w:spacing w:before="0" w:after="283"/>
              <w:jc w:val="left"/>
              <w:rPr/>
            </w:pPr>
            <w:r>
              <w:rPr/>
              <w:t>Net cash flows from financing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6,927,401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10,827,620</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Effect of Foreign Currencies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(12,206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(33,826</w:t>
            </w:r>
          </w:p>
        </w:tc>
        <w:tc>
          <w:tcPr>
            <w:tcW w:w="110" w:type="dxa"/>
            <w:tcBorders/>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2,741,965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4,280,649</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Cash, Beginning of the Period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3,237,106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5,767,276</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Cash, Beginning of the Period -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270,707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Cash, End of the Period - Discontinued Operations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(340,380</w:t>
            </w:r>
          </w:p>
        </w:tc>
        <w:tc>
          <w:tcPr>
            <w:tcW w:w="110" w:type="dxa"/>
            <w:tcBorders/>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Cash,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5,981,774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9,978,252</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Supplemental Disclosure of Cash Flow Information: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Cash paid for interest -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Cash paid for income taxes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3,255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Cash paid for income taxes -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Schedule of Non-cash Investing and 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Conversion of convertible notes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7,856,011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Conversion of credit facility borrowings into common stock</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900,000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Warrants issued for 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438,000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Cashless option and warrant exercises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19</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Common stock issued with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91,757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Common stock for working capital facility</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303,000</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Warrants for services with the issuance of convertible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449,474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authID INC.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2022. The results of operations for the three and six months ended June 30, 2023 are not necessarily indicative of the results to be expected for future periods 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authID Inc. and its wholly-owned subsidiaries MultiPay S.A.S., ID Solutions, Inc., FIN Holdings Inc., Ipsidy Enterprises Limited and authID Gaming Inc. (collectively the “Company”). All significant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the Company had an accumulated deficit of approximately $156.0 million. For the three and six months ended June 30, 2023, the Company earned revenue from continuing operations of approximately $0.04 million and $0.07 million, used approximately $2.0 million and $4.2 million to fund its operations, and incurred a net loss of approximately $10.7 million and $15.9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2023, the Company has secured additional financing of approximately $6.4 million net, which provides funding for its current operations as it continues to invest in its product, people, and technology. Although there is no guarantee, the Company projects that the investments will lead to revenue expansion thereby reducing liquidity needs. However,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year expenses have been reclassified for consistency with the current year presentation. These reclassifications had no effect on the previously reported loss from continuing operations and management does not believe that this reclassification is material to the consolidated financial statements taken as a whole. Specifically, we reclassified certain expenses from general and administrative expenses to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per Common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and six months ended June 30, 2023 and 2022 because their effect was antidilutive:</w:t>
      </w:r>
    </w:p>
    <w:p>
      <w:pPr>
        <w:pStyle w:val="TextBody"/>
        <w:bidi w:val="0"/>
        <w:spacing w:before="0" w:after="0"/>
        <w:ind w:left="0" w:right="0" w:hanging="0"/>
        <w:jc w:val="both"/>
        <w:rPr>
          <w:caps w:val="false"/>
          <w:smallCaps w:val="false"/>
        </w:rPr>
      </w:pPr>
      <w:r>
        <w:rPr>
          <w:caps w:val="false"/>
          <w:smallCaps w:val="false"/>
        </w:rPr>
        <w:t> </w:t>
      </w:r>
    </w:p>
    <w:tbl>
      <w:tblPr>
        <w:tblW w:w="4830" w:type="dxa"/>
        <w:jc w:val="left"/>
        <w:tblInd w:w="0" w:type="dxa"/>
        <w:tblLayout w:type="fixed"/>
        <w:tblCellMar>
          <w:top w:w="0" w:type="dxa"/>
          <w:left w:w="0" w:type="dxa"/>
          <w:bottom w:w="28" w:type="dxa"/>
          <w:right w:w="0" w:type="dxa"/>
        </w:tblCellMar>
      </w:tblPr>
      <w:tblGrid>
        <w:gridCol w:w="2495"/>
        <w:gridCol w:w="60"/>
        <w:gridCol w:w="60"/>
        <w:gridCol w:w="980"/>
        <w:gridCol w:w="60"/>
        <w:gridCol w:w="60"/>
        <w:gridCol w:w="60"/>
        <w:gridCol w:w="980"/>
        <w:gridCol w:w="75"/>
      </w:tblGrid>
      <w:tr>
        <w:trPr/>
        <w:tc>
          <w:tcPr>
            <w:tcW w:w="2495" w:type="dxa"/>
            <w:tcBorders>
              <w:bottom w:val="single" w:sz="12" w:space="0" w:color="000000"/>
            </w:tcBorders>
            <w:vAlign w:val="center"/>
          </w:tcPr>
          <w:p>
            <w:pPr>
              <w:pStyle w:val="TableContents"/>
              <w:bidi w:val="0"/>
              <w:spacing w:before="0" w:after="283"/>
              <w:jc w:val="left"/>
              <w:rPr>
                <w:b/>
              </w:rPr>
            </w:pPr>
            <w:r>
              <w:rPr>
                <w:b/>
              </w:rPr>
              <w:t>Security</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2022</w:t>
            </w:r>
          </w:p>
        </w:tc>
        <w:tc>
          <w:tcPr>
            <w:tcW w:w="75" w:type="dxa"/>
            <w:tcBorders/>
            <w:tcMar>
              <w:bottom w:w="0" w:type="dxa"/>
            </w:tcMar>
            <w:vAlign w:val="center"/>
          </w:tcPr>
          <w:p>
            <w:pPr>
              <w:pStyle w:val="TableContents"/>
              <w:bidi w:val="0"/>
              <w:spacing w:before="0" w:after="283"/>
              <w:jc w:val="left"/>
              <w:rPr/>
            </w:pPr>
            <w:r>
              <w:rPr/>
              <w:t> </w:t>
            </w:r>
          </w:p>
        </w:tc>
      </w:tr>
      <w:tr>
        <w:trPr/>
        <w:tc>
          <w:tcPr>
            <w:tcW w:w="24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pPr>
            <w:r>
              <w:rPr/>
              <w:t>Convertible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8,278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325,188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tcMar>
              <w:bottom w:w="0" w:type="dxa"/>
            </w:tcMar>
            <w:vAlign w:val="center"/>
          </w:tcPr>
          <w:p>
            <w:pPr>
              <w:pStyle w:val="TableContents"/>
              <w:bidi w:val="0"/>
              <w:spacing w:before="0" w:after="283"/>
              <w:jc w:val="left"/>
              <w:rPr/>
            </w:pPr>
            <w:r>
              <w:rPr/>
              <w:t>Warrants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497,895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163,045</w:t>
            </w:r>
          </w:p>
        </w:tc>
        <w:tc>
          <w:tcPr>
            <w:tcW w:w="75" w:type="dxa"/>
            <w:tcBorders/>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pPr>
            <w:r>
              <w:rPr/>
              <w:t>Stock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1,561,070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1,212,202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2,067,243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1,700,435</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Verified Software License</w:t>
      </w:r>
      <w:r>
        <w:rPr>
          <w:rFonts w:ascii="Times New Roman;Times;Serif" w:hAnsi="Times New Roman;Times;Serif"/>
          <w:b w:val="false"/>
          <w:i w:val="false"/>
          <w:caps w:val="false"/>
          <w:smallCaps w:val="false"/>
          <w:sz w:val="20"/>
        </w:rPr>
        <w:t xml:space="preserve"> – The Company recognizes revenue based on the identified performance obligations over the performance period for fixed consideration and / or variable fees generated that are earned on a usage fee based over time based on user monthly user or transaction volumes or on a monthly flat fee rate. We allocate the selling price in a contract which has multiple performance obligations based on the contract selling price that we believe represents a fair market price for the service rendered based on estimated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contract liabilities of approximately $59,000 and $81,000 as of June 30, 2023 and December 31, 2022 respectively for certain revenue that will be earned in future periods. All deferred revenue contract liabilities as of June 30, 2023 will be earned over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December 31, 2022, the Company did not have any deferred contract costs for fees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Legacy Authentication Services</w:t>
      </w:r>
      <w:r>
        <w:rPr>
          <w:rFonts w:ascii="Times New Roman;Times;Serif" w:hAnsi="Times New Roman;Times;Serif"/>
          <w:b w:val="false"/>
          <w:i w:val="false"/>
          <w:caps w:val="false"/>
          <w:smallCaps w:val="false"/>
          <w:sz w:val="20"/>
        </w:rPr>
        <w:t xml:space="preserve"> – The Company historically has sold certain legacy software licenses to customers and revenue is recognized when delivery occurs, and all other revenue recognition criteria have been met. During both quarters ended June 30, 2023 and 2022, the Company provided annual software maintenance support services relating to previously licensed software on a stand-ready basis. These fees were billed in advance and recognized ratably over the requisite service period as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 Accounting Pronouncement</w:t>
      </w:r>
      <w:r>
        <w:rPr>
          <w:rFonts w:ascii="Times New Roman;Times;Serif" w:hAnsi="Times New Roman;Times;Serif"/>
          <w:b w:val="false"/>
          <w:i w:val="false"/>
          <w:caps w:val="false"/>
          <w:smallCaps w:val="false"/>
          <w:sz w:val="20"/>
        </w:rPr>
        <w:t xml:space="preserve"> – In June 2016, the Financial Accounting Standards Board issued Accounting Standards Update No. 2016-13, “Financial Instruments – Credit Losses (Topic),” which replaces the current incurred loss impairment methodology for most financial assets with the current expected credit lost, or CECL, methodology. The series of new guidance amends the impairment model by requiring entities to use a forward-looking approach based on expected losses rather than incurred losses to estimate credit losses on certain types of financial instruments, including trade receivables. The Company adopted the new standard effective January 1, 2023, which did not have a material impact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OTHER CURRENT ASSETS AND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consisted of the following at June 30, 2023 (unaudited) and December 31, 2022:</w:t>
      </w:r>
    </w:p>
    <w:p>
      <w:pPr>
        <w:pStyle w:val="TextBody"/>
        <w:bidi w:val="0"/>
        <w:spacing w:before="0" w:after="0"/>
        <w:ind w:left="0" w:right="0" w:hanging="0"/>
        <w:jc w:val="both"/>
        <w:rPr>
          <w:caps w:val="false"/>
          <w:smallCaps w:val="false"/>
        </w:rPr>
      </w:pPr>
      <w:r>
        <w:rPr>
          <w:caps w:val="false"/>
          <w:smallCaps w:val="false"/>
        </w:rPr>
        <w:t> </w:t>
      </w:r>
    </w:p>
    <w:tbl>
      <w:tblPr>
        <w:tblW w:w="5599" w:type="dxa"/>
        <w:jc w:val="left"/>
        <w:tblInd w:w="0" w:type="dxa"/>
        <w:tblLayout w:type="fixed"/>
        <w:tblCellMar>
          <w:top w:w="0" w:type="dxa"/>
          <w:left w:w="0" w:type="dxa"/>
          <w:bottom w:w="0" w:type="dxa"/>
          <w:right w:w="0" w:type="dxa"/>
        </w:tblCellMar>
      </w:tblPr>
      <w:tblGrid>
        <w:gridCol w:w="2990"/>
        <w:gridCol w:w="60"/>
        <w:gridCol w:w="140"/>
        <w:gridCol w:w="800"/>
        <w:gridCol w:w="60"/>
        <w:gridCol w:w="60"/>
        <w:gridCol w:w="209"/>
        <w:gridCol w:w="1205"/>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409,216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244,215</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Prepaid third party services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117,875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135,405</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Unamortized credit facility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199,156</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245,852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150,566</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772,943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729,342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consisted of the following at June 30, 2023 (unaudited) and December 31, 2022:</w:t>
      </w:r>
    </w:p>
    <w:p>
      <w:pPr>
        <w:pStyle w:val="TextBody"/>
        <w:bidi w:val="0"/>
        <w:spacing w:before="0" w:after="0"/>
        <w:ind w:left="0" w:right="0" w:hanging="0"/>
        <w:jc w:val="both"/>
        <w:rPr>
          <w:caps w:val="false"/>
          <w:smallCaps w:val="false"/>
        </w:rPr>
      </w:pPr>
      <w:r>
        <w:rPr>
          <w:caps w:val="false"/>
          <w:smallCaps w:val="false"/>
        </w:rPr>
        <w:t> </w:t>
      </w:r>
    </w:p>
    <w:tbl>
      <w:tblPr>
        <w:tblW w:w="6478" w:type="dxa"/>
        <w:jc w:val="left"/>
        <w:tblInd w:w="0" w:type="dxa"/>
        <w:tblLayout w:type="fixed"/>
        <w:tblCellMar>
          <w:top w:w="0" w:type="dxa"/>
          <w:left w:w="0" w:type="dxa"/>
          <w:bottom w:w="0" w:type="dxa"/>
          <w:right w:w="0" w:type="dxa"/>
        </w:tblCellMar>
      </w:tblPr>
      <w:tblGrid>
        <w:gridCol w:w="3935"/>
        <w:gridCol w:w="60"/>
        <w:gridCol w:w="293"/>
        <w:gridCol w:w="581"/>
        <w:gridCol w:w="60"/>
        <w:gridCol w:w="60"/>
        <w:gridCol w:w="209"/>
        <w:gridCol w:w="1205"/>
        <w:gridCol w:w="75"/>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Unamortized working capital facility fees</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581" w:type="dxa"/>
            <w:tcBorders/>
            <w:shd w:fill="CCEEFF" w:val="clear"/>
            <w:vAlign w:val="center"/>
          </w:tcPr>
          <w:p>
            <w:pPr>
              <w:pStyle w:val="TableContents"/>
              <w:bidi w:val="0"/>
              <w:spacing w:before="0" w:after="0"/>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248,945</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581"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1,438</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81"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250,383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INTANGIBLE ASSETS, NET (OTHER THAN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primarily consist of acquired and developed software that is being amortized over their estimated useful lives as indicated below. The following is a summary of activity related to intangible assets for the six months ended June 30, 2023 (unaudited):</w:t>
      </w:r>
    </w:p>
    <w:p>
      <w:pPr>
        <w:pStyle w:val="TextBody"/>
        <w:bidi w:val="0"/>
        <w:spacing w:before="0" w:after="0"/>
        <w:ind w:left="0" w:right="0" w:hanging="0"/>
        <w:jc w:val="both"/>
        <w:rPr>
          <w:caps w:val="false"/>
          <w:smallCaps w:val="false"/>
        </w:rPr>
      </w:pPr>
      <w:r>
        <w:rPr>
          <w:caps w:val="false"/>
          <w:smallCaps w:val="false"/>
        </w:rPr>
        <w:t> </w:t>
      </w:r>
    </w:p>
    <w:tbl>
      <w:tblPr>
        <w:tblW w:w="7529" w:type="dxa"/>
        <w:jc w:val="left"/>
        <w:tblInd w:w="0" w:type="dxa"/>
        <w:tblLayout w:type="fixed"/>
        <w:tblCellMar>
          <w:top w:w="0" w:type="dxa"/>
          <w:left w:w="0" w:type="dxa"/>
          <w:bottom w:w="0" w:type="dxa"/>
          <w:right w:w="0" w:type="dxa"/>
        </w:tblCellMar>
      </w:tblPr>
      <w:tblGrid>
        <w:gridCol w:w="3665"/>
        <w:gridCol w:w="60"/>
        <w:gridCol w:w="197"/>
        <w:gridCol w:w="1232"/>
        <w:gridCol w:w="95"/>
        <w:gridCol w:w="60"/>
        <w:gridCol w:w="140"/>
        <w:gridCol w:w="800"/>
        <w:gridCol w:w="95"/>
        <w:gridCol w:w="60"/>
        <w:gridCol w:w="140"/>
        <w:gridCol w:w="875"/>
        <w:gridCol w:w="110"/>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Acquired and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Developed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Useful Lives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Carrying Value at December 31, 2022</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435,595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130,664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566,259</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Amortization</w:t>
            </w:r>
          </w:p>
        </w:tc>
        <w:tc>
          <w:tcPr>
            <w:tcW w:w="6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(143,812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(8,224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(152,036</w:t>
            </w:r>
          </w:p>
        </w:tc>
        <w:tc>
          <w:tcPr>
            <w:tcW w:w="110" w:type="dxa"/>
            <w:tcBorders/>
            <w:vAlign w:val="center"/>
          </w:tcPr>
          <w:p>
            <w:pPr>
              <w:pStyle w:val="TableContents"/>
              <w:bidi w:val="0"/>
              <w:spacing w:before="0" w:after="283"/>
              <w:jc w:val="left"/>
              <w:rPr/>
            </w:pPr>
            <w:r>
              <w:rPr/>
              <w:t>)</w:t>
            </w:r>
          </w:p>
        </w:tc>
      </w:tr>
      <w:tr>
        <w:trPr/>
        <w:tc>
          <w:tcPr>
            <w:tcW w:w="3665" w:type="dxa"/>
            <w:tcBorders/>
            <w:shd w:fill="CCEEFF" w:val="clear"/>
            <w:vAlign w:val="center"/>
          </w:tcPr>
          <w:p>
            <w:pPr>
              <w:pStyle w:val="TableContents"/>
              <w:bidi w:val="0"/>
              <w:spacing w:before="0" w:after="283"/>
              <w:jc w:val="left"/>
              <w:rPr/>
            </w:pPr>
            <w:r>
              <w:rPr/>
              <w:t>Carrying Value at June 30, 2023</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291,783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122,440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414,223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intangible assets as of June 30, 2023 (unaudited):</w:t>
      </w:r>
    </w:p>
    <w:p>
      <w:pPr>
        <w:pStyle w:val="TextBody"/>
        <w:bidi w:val="0"/>
        <w:spacing w:before="0" w:after="0"/>
        <w:ind w:left="0" w:right="0" w:hanging="0"/>
        <w:jc w:val="left"/>
        <w:rPr>
          <w:caps w:val="false"/>
          <w:smallCaps w:val="false"/>
        </w:rPr>
      </w:pPr>
      <w:r>
        <w:rPr>
          <w:caps w:val="false"/>
          <w:smallCaps w:val="false"/>
        </w:rPr>
        <w:t> </w:t>
      </w:r>
    </w:p>
    <w:tbl>
      <w:tblPr>
        <w:tblW w:w="7169" w:type="dxa"/>
        <w:jc w:val="left"/>
        <w:tblInd w:w="0" w:type="dxa"/>
        <w:tblLayout w:type="fixed"/>
        <w:tblCellMar>
          <w:top w:w="0" w:type="dxa"/>
          <w:left w:w="0" w:type="dxa"/>
          <w:bottom w:w="0" w:type="dxa"/>
          <w:right w:w="0" w:type="dxa"/>
        </w:tblCellMar>
      </w:tblPr>
      <w:tblGrid>
        <w:gridCol w:w="3125"/>
        <w:gridCol w:w="60"/>
        <w:gridCol w:w="167"/>
        <w:gridCol w:w="1262"/>
        <w:gridCol w:w="95"/>
        <w:gridCol w:w="60"/>
        <w:gridCol w:w="140"/>
        <w:gridCol w:w="800"/>
        <w:gridCol w:w="95"/>
        <w:gridCol w:w="60"/>
        <w:gridCol w:w="140"/>
        <w:gridCol w:w="1055"/>
        <w:gridCol w:w="110"/>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Acquired and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Developed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Cost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262" w:type="dxa"/>
            <w:tcBorders/>
            <w:shd w:fill="CCEEFF" w:val="clear"/>
            <w:vAlign w:val="center"/>
          </w:tcPr>
          <w:p>
            <w:pPr>
              <w:pStyle w:val="TableContents"/>
              <w:bidi w:val="0"/>
              <w:spacing w:before="0" w:after="283"/>
              <w:jc w:val="right"/>
              <w:rPr/>
            </w:pPr>
            <w:r>
              <w:rPr/>
              <w:t>4,476,271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164,614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4,640,885</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Accumulated amortization</w:t>
            </w:r>
          </w:p>
        </w:tc>
        <w:tc>
          <w:tcPr>
            <w:tcW w:w="6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2" w:type="dxa"/>
            <w:tcBorders>
              <w:bottom w:val="single" w:sz="12" w:space="0" w:color="000000"/>
            </w:tcBorders>
            <w:tcMar>
              <w:bottom w:w="28" w:type="dxa"/>
            </w:tcMar>
            <w:vAlign w:val="center"/>
          </w:tcPr>
          <w:p>
            <w:pPr>
              <w:pStyle w:val="TableContents"/>
              <w:bidi w:val="0"/>
              <w:spacing w:before="0" w:after="283"/>
              <w:jc w:val="right"/>
              <w:rPr/>
            </w:pPr>
            <w:r>
              <w:rPr/>
              <w:t>(4,184,488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(42,174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(4,226,662</w:t>
            </w:r>
          </w:p>
        </w:tc>
        <w:tc>
          <w:tcPr>
            <w:tcW w:w="110" w:type="dxa"/>
            <w:tcBorders/>
            <w:vAlign w:val="center"/>
          </w:tcPr>
          <w:p>
            <w:pPr>
              <w:pStyle w:val="TableContents"/>
              <w:bidi w:val="0"/>
              <w:spacing w:before="0" w:after="283"/>
              <w:jc w:val="left"/>
              <w:rPr/>
            </w:pPr>
            <w:r>
              <w:rPr/>
              <w:t>)</w:t>
            </w:r>
          </w:p>
        </w:tc>
      </w:tr>
      <w:tr>
        <w:trPr/>
        <w:tc>
          <w:tcPr>
            <w:tcW w:w="3125" w:type="dxa"/>
            <w:tcBorders/>
            <w:shd w:fill="CCEEFF" w:val="clear"/>
            <w:vAlign w:val="center"/>
          </w:tcPr>
          <w:p>
            <w:pPr>
              <w:pStyle w:val="TableContents"/>
              <w:bidi w:val="0"/>
              <w:spacing w:before="0" w:after="283"/>
              <w:jc w:val="left"/>
              <w:rPr/>
            </w:pPr>
            <w:r>
              <w:rPr/>
              <w:t>Carrying Value at June 30, 2023</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2" w:type="dxa"/>
            <w:tcBorders>
              <w:bottom w:val="double" w:sz="10" w:space="0" w:color="000000"/>
            </w:tcBorders>
            <w:shd w:fill="CCEEFF" w:val="clear"/>
            <w:tcMar>
              <w:bottom w:w="28" w:type="dxa"/>
            </w:tcMar>
            <w:vAlign w:val="center"/>
          </w:tcPr>
          <w:p>
            <w:pPr>
              <w:pStyle w:val="TableContents"/>
              <w:bidi w:val="0"/>
              <w:spacing w:before="0" w:after="283"/>
              <w:jc w:val="right"/>
              <w:rPr/>
            </w:pPr>
            <w:r>
              <w:rPr/>
              <w:t>291,783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122,440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414,223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totaled approximately $152,000 and $428,000 for the six months ended June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expected amortization of intangible assets is as follows:</w:t>
      </w:r>
    </w:p>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2885"/>
        <w:gridCol w:w="60"/>
        <w:gridCol w:w="140"/>
        <w:gridCol w:w="800"/>
        <w:gridCol w:w="75"/>
      </w:tblGrid>
      <w:tr>
        <w:trPr/>
        <w:tc>
          <w:tcPr>
            <w:tcW w:w="2885" w:type="dxa"/>
            <w:tcBorders/>
            <w:shd w:fill="CCEEFF" w:val="clear"/>
            <w:vAlign w:val="center"/>
          </w:tcPr>
          <w:p>
            <w:pPr>
              <w:pStyle w:val="TableContents"/>
              <w:bidi w:val="0"/>
              <w:spacing w:before="0" w:after="283"/>
              <w:jc w:val="left"/>
              <w:rPr/>
            </w:pPr>
            <w:r>
              <w:rPr/>
              <w:t>2023 (Remainder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111,044</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2024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168,094</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63,791</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2026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16,456</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6,456</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Thereafter</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48,382</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414,223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impairment indicator identified for impairment of the Company’s intangible assets and goodwill as of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consisted of the following as of June 30, 2023 (unaudited) and December 31, 2022:</w:t>
      </w:r>
    </w:p>
    <w:p>
      <w:pPr>
        <w:pStyle w:val="TextBody"/>
        <w:bidi w:val="0"/>
        <w:spacing w:before="0" w:after="0"/>
        <w:ind w:left="0" w:right="0" w:hanging="0"/>
        <w:jc w:val="both"/>
        <w:rPr>
          <w:caps w:val="false"/>
          <w:smallCaps w:val="false"/>
        </w:rPr>
      </w:pPr>
      <w:r>
        <w:rPr>
          <w:caps w:val="false"/>
          <w:smallCaps w:val="false"/>
        </w:rPr>
        <w:t> </w:t>
      </w:r>
    </w:p>
    <w:tbl>
      <w:tblPr>
        <w:tblW w:w="6544" w:type="dxa"/>
        <w:jc w:val="left"/>
        <w:tblInd w:w="0" w:type="dxa"/>
        <w:tblLayout w:type="fixed"/>
        <w:tblCellMar>
          <w:top w:w="0" w:type="dxa"/>
          <w:left w:w="0" w:type="dxa"/>
          <w:bottom w:w="0" w:type="dxa"/>
          <w:right w:w="0" w:type="dxa"/>
        </w:tblCellMar>
      </w:tblPr>
      <w:tblGrid>
        <w:gridCol w:w="3755"/>
        <w:gridCol w:w="60"/>
        <w:gridCol w:w="140"/>
        <w:gridCol w:w="980"/>
        <w:gridCol w:w="60"/>
        <w:gridCol w:w="60"/>
        <w:gridCol w:w="176"/>
        <w:gridCol w:w="1238"/>
        <w:gridCol w:w="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871,017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623,130</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Accrued payroll and related obligations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193,062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145,837</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Other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166,628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385,105</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Carrying Value at June 30, 2023</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1,230,707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tcMar>
              <w:bottom w:w="28" w:type="dxa"/>
            </w:tcMar>
            <w:vAlign w:val="center"/>
          </w:tcPr>
          <w:p>
            <w:pPr>
              <w:pStyle w:val="TableContents"/>
              <w:bidi w:val="0"/>
              <w:spacing w:before="0" w:after="283"/>
              <w:jc w:val="right"/>
              <w:rPr/>
            </w:pPr>
            <w:r>
              <w:rPr/>
              <w:t>1,154,072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2023, the Company’s Board of Directors resolved to implement a revised budget for 2023 in order to reduce expenses and cash requirements and as part of such revised budget decided to re-balance staffing levels to better align with the evolving needs of the Company (the “Labor Reduction Plan”). Under the Labor Reduction Plan, 12 employees and 6 contractors have left the Company. The Company has also given termination notice to certain vendors and contractors that provide services to the Company. For the six months ended June 30, 2023, the Company incurred approximately $0.8 million of severance expenses, of which $0.4 million was paid and $0.1 million was included in the Accounts payable and accrued expenses and the remaining $0.3 million was accrued for in Other liabilities as a long term liability on the unaudited Condensed Consolidated Balance Sheets as of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WORKING CAPITAL FACILTIY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Credit Facility Agreement (the “Original Facility Agreement”) with Stephen J. Garchik (“Garchik”), who is a shareholder of the Company, pursuant to which Garchik agreed to provide to the Company a $10.0 million unsecured standby line of credit facility that could be drawn down in several tranches, subject to certain conditions described in the Original Facility Agreement. Pursuant to the Original Facility Agreement, the Company paid Garchik a Facility Commitment Fee of 12,500 shares of our common stock upon the effective date of the Original Facility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8, 2023, the Company entered into an Amended and Restated Facility Agreement (“A&amp;R Facility Agreement”) with Garchik, pursuant to which the Company and Garchik amended and restated the Original Facility Agreement in its entirety, to replace the credit facility contemplated by the Original Facility Agreement with (i) an initial credit facility to the Company in an amount of $900,000 and (ii) the parties to use their reasonable best efforts after the Initial Funding to negotiate the terms of a subsequent credit facility in the aggregate amount of $2,700,000 (the “Subsequent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2023, pursuant to the A&amp;R Facility Agreement, the Company entered into a promissory note (the “Initial Promissory Note”) in favor of Garchik, pursuant to which Garchik loaned the amount of $900,000 (the “Principal Amount”) to the Company. In connection with the Company and Garchik entering into the Initial Promissory Note, each of the principal United States based subsidiaries of the Company agreed to, for the benefit and security of Garchik, guarantee the payment and performance all of the Company’s obligations under the Initial Promissory Note and the Guaranty. The Company and Garchik also entered into the Release Agreement, pursuant to which the Company and Garchik mutually agreed to release any and all rights to make a claim against the other and any existing claims against the other arising out of or relating to the Original Facility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wrote-off approximately $410,000 of the issuance costs related to the Original Credit Facility and capitalized $426,000 issuance costs related to the A&amp;R Facility Agreement as of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2023, the Company and Garchik agreed to cancel the Initial Promissory Note, terminate the A&amp;R Facility Agreement and Guaranty and satisfy and offset the outstanding balance of the Initial Promissory Note, plus accrued and unpaid interest in the aggregate amount of $929,250 against the purchase price of certain shares of common stock of the Company. See Note 8 “Shareholders’ Equity”. All remaining unamortized debt issuance costs of approximately $381,000 related to the Initial Promissory Note and the A&amp;R Facility Agreement were recorded as a loss on debt extinguishment for the three and six months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$29.60. The Convertible Notes were sold with an aggregate cash origination fee of approximately $200,000, and we issued a total of approximately 3,563 shares of our common stock to the Note Investors as an additional origination fee. The Convertible Notes accrue interest at the rate of 9.75% per annum, which is payable in cash or, for some or all of the first five interest payments, in shares of our common stock at the Company’s option, on the last day of each calendar quarter before the maturity date and on the maturity date. The maturity date of the Convertible Notes is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2023 and 2022, the Company issued 35,365 and 14,612 shares of common stock for approximately $136,000 and $251,000 of interest,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2023 and 2022, the Company issued 103,533 and 14,612 shares of common stock for approximately $358,000 and $251,000 of interest expense, respectively. The number of shares issued to each Note Investor was based on the VWAP of the common stock as of the relevant interest payment date, as defined in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Convertible Notes, the Company issued 17,836 common stock warrants to a broker and its representatives with an estimated grant date fair value of approximately $449,000 which was recorded as a reduction in the carrying value of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the Company entered into an exchange agreement with certain holders (“Holders”) of the Convertible Notes of the Company, pursuant to which the Company agreed to issue 2,346,105 shares of common stock to the Holders in exchange for approximately $8.9 million (or approximately $7.9 million, net of debt issuance costs and discount) of the principal amount of Holders’ Convertible Notes at a price of $3.78 per share (or $4.12 if the Holder is a director, officer or insider of the Company). On June 7, 2023, the Company entered into a further Securities Purchase Agreement and Exchange Agreement with an accredited investor pursuant to which the Company agreed to issue 2,242 Exchange Shares in exchange for $13,000 of the principal amount of the Holder’s Convertible Note at a price of $5.80 per share. The Company also recognized an expense on conversion of convertible notes of approximately $7.5 million, representing the market value of the additional shares issued by the Company in exchange for the Convertible Notes, above the number of shares that the Holders would have received upon conversion at the original conversion price under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the Company solicited the consent of the Convertible Notes Holders to eliminate substantially all of the restrictive covenants and a related event of default in the Convertible Notes. The Company received consent from Holders representing over the necessary 66.67% of the outstanding principal amount under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8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convertible notes payable outstanding as of June 30, 2023 (unaudited):</w:t>
      </w:r>
    </w:p>
    <w:p>
      <w:pPr>
        <w:pStyle w:val="TextBody"/>
        <w:bidi w:val="0"/>
        <w:spacing w:before="0" w:after="0"/>
        <w:ind w:left="0" w:right="0" w:hanging="0"/>
        <w:jc w:val="both"/>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3770"/>
        <w:gridCol w:w="60"/>
        <w:gridCol w:w="125"/>
        <w:gridCol w:w="695"/>
        <w:gridCol w:w="95"/>
      </w:tblGrid>
      <w:tr>
        <w:trPr/>
        <w:tc>
          <w:tcPr>
            <w:tcW w:w="37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9.75% Convertible Notes due March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245,000</w:t>
            </w:r>
          </w:p>
        </w:tc>
        <w:tc>
          <w:tcPr>
            <w:tcW w:w="9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Unamortized debt issuance and discount costs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(28,806</w:t>
            </w:r>
          </w:p>
        </w:tc>
        <w:tc>
          <w:tcPr>
            <w:tcW w:w="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216,194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maturities of convertible notes payable as of June 30, 2023:</w:t>
      </w:r>
    </w:p>
    <w:p>
      <w:pPr>
        <w:pStyle w:val="TextBody"/>
        <w:bidi w:val="0"/>
        <w:spacing w:before="0" w:after="0"/>
        <w:ind w:left="0" w:right="0" w:hanging="0"/>
        <w:jc w:val="both"/>
        <w:rPr>
          <w:caps w:val="false"/>
          <w:smallCaps w:val="false"/>
        </w:rPr>
      </w:pPr>
      <w:r>
        <w:rPr>
          <w:caps w:val="false"/>
          <w:smallCaps w:val="false"/>
        </w:rPr>
        <w:t> </w:t>
      </w:r>
    </w:p>
    <w:tbl>
      <w:tblPr>
        <w:tblW w:w="1590" w:type="dxa"/>
        <w:jc w:val="left"/>
        <w:tblInd w:w="0" w:type="dxa"/>
        <w:tblLayout w:type="fixed"/>
        <w:tblCellMar>
          <w:top w:w="0" w:type="dxa"/>
          <w:left w:w="0" w:type="dxa"/>
          <w:bottom w:w="0" w:type="dxa"/>
          <w:right w:w="0" w:type="dxa"/>
        </w:tblCellMar>
      </w:tblPr>
      <w:tblGrid>
        <w:gridCol w:w="515"/>
        <w:gridCol w:w="60"/>
        <w:gridCol w:w="140"/>
        <w:gridCol w:w="800"/>
        <w:gridCol w:w="75"/>
      </w:tblGrid>
      <w:tr>
        <w:trPr/>
        <w:tc>
          <w:tcPr>
            <w:tcW w:w="515"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245,000</w:t>
            </w:r>
          </w:p>
        </w:tc>
        <w:tc>
          <w:tcPr>
            <w:tcW w:w="75" w:type="dxa"/>
            <w:tcBorders/>
            <w:shd w:fill="CCEEFF" w:val="clear"/>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245,000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2022, two Directors, an affiliate of one of such Directors and one Executive Officer invested in $1.2 million of the Convertible Notes issued. In connection with the payment of interest on the Convertible Notes, 1,350 shares were issued to two Directors and an affiliate of one of the Directors. The Executive Officer resigned in June 2022 and the two directors resigned in March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Convertible Note holder, Mr. Ken Jisser, joined our Board of Directors on March 9, 2023. Mr. Jisser is the Founder and Chief Executive Officer of The Pipeline Group, Inc. (“TPG”), a technology-enabled services company that assists the Company with pipeline generation. On June 6, 2023, the Company entered into a services agreement with TPG. The agreement provides that TPG assist in providing outsourced sales including business development resources for outbound calling, provide support for automated dialing technology, classify customer data and other sales related services. In consideration of the services, the Company will pay TPG $47,000 per month during a one-year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pursuant to an Exchange Agreement, Mr. Jisser converted $100,000 of convertible notes payable and accrued interest of $1,463 into 24,628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pursuant to an Exchange Agreement, Mr. Stephen J. Garchik, who is a shareholder of the Company, converted $1,000,000 of convertible notes payable and $14,625 of accrued interest into 264,831 and 3,874 shares of common stock, respectively. As a result of such exchange, the issuance of shares in satisfaction of the Credit Facility referred to below and the purchase of additional shares of common stock in May 2023, (See Note 8 “Shareholders’ Equity”), Mr. Garchik is now a holder of more than 10% of the outstanding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6 “Convertible Notes Payable” and Note 8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Director and two Executive Officers invested $0.2 million in the common stock offering in the six months ended June 30, 2022. The Director and Officers resigned during the March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Messrs. Rhoniel Daguro, Ken Jisser, Michael Thompson, members of the Company’s Board of Directors and Joseph Trelin, the Chairman of the Board, each purchased 12,500 shares of Company’s common stock at a price of $50,000.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the Original Facility Agreement with an accredited investor Mr. Stephen Garchik, who is both a current shareholder of the Company and a Note Investor, pursuant to which the accredited investor agreed to provide a $10.0 million unsecured standby line of credit facility that will rank behind the Convertible Notes and may be drawn down in several tranches, subject to certain conditions described in the Original Facility Agreement. Pursuant to the Original Facility Agreement, the Company agreed to pay Mr. Garchik the Facility Commitment Fee of 12,500 shares of our common stock upon the effective date of the Original Facility Agreement. Upon request by Mr. Garchik and until the full amount due under the Original Agreement is repaid in full, the Company agreed to provide for the nomination of one designee specified in writing by Garchik for appointment to our board directors and for subsequent election to our board of directors and to recommend such nominee for election to our board of directors. On April 18, 2022, Joseph Trelin, as Garchik’s designee under the Original Facility Agreement, was appointed as a member of the Board of Directors of the Company. By virtue of such right of nomination Mr. Garchik considered himself a “director by deputization”.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5 “Working Capital Facility”, the Original Facility Agreement was amended and restated effective March 6, 2023 pursuant to which amendment the amount of the facility was reduced to $3.6 million, an initial advance of $900,000 was made and subsequent advances under the A&amp;R Facility Agreement are subject to various conditions including the granting of a security interest over substantially all the Company’s assets. Under the A&amp;R Facility Agreement Garchik had a one-time right for the nomination of four designees specified in writing by Garchik for appointment to our board of directors. On March 9, 2023 Rhoniel Daguro, Ken Jisser, Michael Thompson and Thomas Szoke as Garchik’s designees under the A&amp;R Facility Agreement, were appointed as members of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2023, the Company and Mr. Garchik agreed to cancel the Initial Promissory Note, terminated the A&amp;R Facility Agreement and Guaranty and satisfied and offset the outstanding balance of the Note in the principal amount of $900,000 and $29,250 accrued and unpaid interest with the purchase price of 245,634 and 7,983 shares of common stock, respectively. See Note 5 “Working Capital Facility” and Note 8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23, 2023, Mr. Thomas Thimot resigned as the Company’s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2023, the Company and Rhoniel A. Daguro, a director of the Company, entered an Offer Letter pursuant to which Mr. Daguro agreed to serve as Chief Executive Officer of the Company in consideration of an initial annual salary of $400,000. Mr. Daguro will be eligible for an annual target bonus of up to $375,000 based on performance milestones. For the period ending March 31, 2024, a bonus amount of $75,000 shall be payable upon the Company achieving increments of $1,000,000 in total contract value of all customer agreements less claw backs (“Bookings”) up to an aggregate of $5,000,000 in Bookings. For subsequent years, Mr. Daguro and the Compensation Committee of the Board will mutually agree as to the performance targets to be achieved, to earn the annual bonus. On April 10, 2023, the Company provided Mr. Daguro with an initial grant of options to purchase 306,875 shares of common stock at the exercise price of $3.176 per share for a period of ten years vesting subject to achievement of performance and service conditions. On June 28, 2023, the Company made an additional grant of options to Mr. Daguro to acquire 183,125 shares of common stock at the exercise price of $5.48 for a period of ten years vesting subject to achievement of performance and service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Mr. Daguro is at will and may be terminated at any time, with or without formal cause. 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17, 2022 Stuart Stoller resigned as Chief Financial Officer of the Company. In connection with his retirement, the Board of Directors approved the vesting of approximately 15,278 stock options which were unvested as of June 17, 2022. Additionally, the Board of Directors approved a consulting arrangement for Mr. Stoller to provide transitional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2022, Hang Pham and the Company entered an Offer Letter pursuant to which Ms. Pham agreed to serve as Chief Financial Officer with a planned employment date commencing June 20, 2022. Ms. Pham receives an annual salary of $275,000. The Company agreed to provide a bonus of 40% of the base salary based on achievement of performance milestones, calculated and payable in accordance with the corporate milestones approved by the Board for the year 2022. For subsequent fiscal years the bonus shall be subject to performance targets to be mutually agreed with the Compensation of the Board. In addition, Ms. Pham received a signing bonus in the amount of $25,000, which is fully refundable to the Company if Ms. Pham leaves her employment voluntarily or is terminated for cause prior to the first anniversary of the commencement of employment. Upon commencing employment, Ms. Pham was granted an option to acquire 43,750 shares of common stock at an exercise price of $19.28 with an exercise period of ten years subject to certain performance and market vesting requirements. On May 11, 2023, the Company entered a Retention Agreement with Ms. Pham, pursuant to which the Company agreed to provide specified retention bonus amounts subject to certain performance conditions in the aggregate amount of up to $240,625 and to accelerate the vesting on her equity awards upon termination. This Agreement replaces the previous Executive Retention Agreement dated April 25, 2022, which was terminated and a release granted in relation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2023, the Company entered an Offer Letter with Thomas R. Szoke, a director of the Company, pursuant to which Mr. Szoke agreed to serve as Chief Technology Officer in consideration of an initial annual salary of $250,000. Mr. Szoke received an initial signing bonus of $20,833 and will be eligible for an annual target bonus of up to $200,000 based on performance milestones. For the period ending March 31, 2024, a bonus amount of $40,000 shall be payable upon our company achieving increments of $1,000,000 in total contract value of all customer agreements less claw backs (“Bookings”) up to an aggregate of $5,000,000 in Bookings. For subsequent years, Mr. Szoke and the Compensation Committee of the Board will mutually agree as to the performance targets to be achieved, to earn the annual bonus. The vesting criteria of Mr. Szoke’s Stock Options to acquire 12,500 shares of common stock previously granted to Mr. Szoke on March 14, 2023 (the “Original Grant”) were amended pursuant to an Amended and Restated Stock Non-Statutory Option Agreement providing for vesting subject to achievement of performance and service conditions. All other terms of the Original Grant were not changed. On June 28, 2023, the Company made an additional grant of options to Mr. Szoke to acquire 50,000 shares of common stock at the exercise price of $5.48 per share for a period of ten years vesting subject to achievement of performance and service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Mr. Szoke is at will and may be terminated at any time, with or without formal cause. The Company also entered an Executive Retention Agreement with Mr. Szoke,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Szoke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Szoke for the cost of continuation of health coverage for Mr. Szoke and his eligible dependents pursuant to COBRA until the earlier of 12 months following the termination date, the date Mr. Szoke and his dependents are eligible for health coverage from a new employer or the date Mr. Szoke and his eligible dependents are no longer eligible for COBRA.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Thomas Thimot, Phillip L. Kumnick, Philip R. Broenniman, Michael A. Gorriz and Ms. Neepa Patel tendered their resignations from the Board of Directors of the Company on March 9, 2023. The Board of Directors appointed Joseph Trelin to the Company’s Compensation and Audit Committees. On March 9, 2023, the Board of Directors appointed Rhon Daguro, Ken Jisser, Michael Thompson and Thomas Szoke as additional directors of the Company and reduced the size of the Board of Directors from 8 directors to 7 directors. The Company granted Messrs. Jisser, Thompson and Szoke 12,500 options each at the exercise price of $2.64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the Company appointed Joseph Trelin as the Chairman of the Board, Michael Koehneman as Chairman of the Governance Committee and appointed Michael Thompson to the Company’s Compensation and Governance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the Company granted 15,625 options each at the exercise price of $5.48 per share to Messrs. Joseph Trelin, Michael Koehneman and Ms. Jacqueline White and 3,125 options each at the exercise price of $5.48 to Messrs. Jisser and Thompson, in accordance with the Company’s compensation policy for non-employee directors. Each such option vests over a period of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8</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2023, the Company filed a Certificate of Amendment to its Amended and Restated Certificate of Incorporation to effect a one-for-eight (1-for-8) reverse split (the “Reverse Split”) of the shares of the Company’s common stock. The Reverse Split became effective on July 7, 2023 (see Note 11 “Subsequent Event”). As a result of the Reverse Split, every eight shares of the Company’s issued and outstanding common stock automatically converted into one share of common stock, without any change in the par value per share, and began trading on a post-split basis under the Company’s existing trading symbol, “AUID”, when the market opened on July 10, 2023. The Reverse Split affected all holders of common stock uniformly and did not affect any common stockholder’s percentage ownership interest in the Company, except for de minimis changes as a result of the elimination of fractional shares. A total of 62,816,330 shares of common stock were issued and outstanding immediately prior to the Reverse Split, and 7,874,962 shares of common stock were issued and outstanding immediately after the Reverse Split. No fractional shares will be outstanding following the Reverse Split. Any holder who would have received a fractional share of common stock received an additional fraction of a share of common stock to round up their holding to the next whole share. In addition, effective as of the Reverse Split, proportionate adjustments were made to all then-outstanding options and warrants with respect to the number of shares of common stock subject to such options or warrants and the exercise prices thereof, as well as to the conversion price under the remaining Convertible Notes. The impact of this change in capital structure has been retroactively applied to all periods presented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2023, shares of common stock were issued as a result of the following transactions: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May 26, 2023, pursuant to Securities Purchase Agreements, the Company issued 1,989,676 shares of common stock for cash gross proceeds of approximately $7.3 million (or approximately $6.4 million, net of offering costs).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 May 26, 2023, pursuant to a Securities Purchase Agreement, Mr. Garchik capitalized the outstanding principal balance of $900,000 under the Initial Promissory Note, into 245,634 shares of common stock, respectively.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May 26, 2023, pursuant to an exchange agreement with Holders of Convertible Notes payable, the Company issued 2,348,347 shares of common stock in exchange for Convertible Notes in the gross principal amount of approximately $8.9 million (approximately $7.9 million, net of debt issuance costs and discount). In addition, the Company recorded approximately $7.5 million of expense on conversion of convertible notes.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issued 111,516 shares of common stock for approximately $388,000 of interest accrued under the Convertible Notes and Credit Facility. See Note 6 “Convertible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2022, shares of common stock were issued as a result of the following transactions: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18 and March 21, 2022, the Company entered into Subscription Agreements with an accredited investor and certain members of authID’s management team (the “PIPE Investors”), and, pursuant to the Subscription Agreements, sold to the PIPE Investors a total of 132,940 shares of our common stock at prices of $24.24 per share for an outside investor and $29.60 per share for the management investors (the “PIPE”). The aggregate gross proceeds from the PIPE are approximately $3.3 million.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issued a total of 3,562 shares of our common stock to the Note Investors as an additional origination fee. Additionally, on June 30, 2022, the Company issued 14,612 shares of common stock for approximately $251,000 of interest owed from the effective date of the Convertible Notes until June 30, 2022.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21, 2022, the Company entered into a Facility Agreement with a current shareholder and noteholder of the Company, pursuant to which the shareholder agreed to provide to the Company a $10.0 million unsecured standby line of credit facility. Pursuant to the Credit Facility, the Company paid a facility commitment fee of 12,500 shares of our common stock with a fair market value of $24.24 per share upon the effective date of the Credit Facility</w:t>
            </w:r>
          </w:p>
        </w:tc>
      </w:tr>
    </w:tbl>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warrant and stock option holders exercised their respective warrants and stock options by means of the cashless exercise feature and were issued approximately 23,311 common shares of the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May 12, 2023, in connection with certain recruitment services, the Company issued 187,500 common stock warrants to Madison III, LLC with a term of 5 years and an exercise price of $3.164 per share.</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May 26, 2023, in connection with their placement agent services, the Company issued 156,712 common stock warrants to Madison Global Partners, LLC, with a term of 5 years and an exercise price of $3.664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warrant activity for the six months ended June 30, 2023 (unaudited):</w:t>
      </w:r>
    </w:p>
    <w:p>
      <w:pPr>
        <w:pStyle w:val="TextBody"/>
        <w:bidi w:val="0"/>
        <w:spacing w:before="0" w:after="0"/>
        <w:ind w:left="0" w:right="0" w:hanging="0"/>
        <w:jc w:val="both"/>
        <w:rPr>
          <w:caps w:val="false"/>
          <w:smallCaps w:val="false"/>
        </w:rPr>
      </w:pPr>
      <w:r>
        <w:rPr>
          <w:caps w:val="false"/>
          <w:smallCaps w:val="false"/>
        </w:rPr>
        <w:t> </w:t>
      </w:r>
    </w:p>
    <w:tbl>
      <w:tblPr>
        <w:tblW w:w="6919" w:type="dxa"/>
        <w:jc w:val="left"/>
        <w:tblInd w:w="0" w:type="dxa"/>
        <w:tblLayout w:type="fixed"/>
        <w:tblCellMar>
          <w:top w:w="0" w:type="dxa"/>
          <w:left w:w="0" w:type="dxa"/>
          <w:bottom w:w="0" w:type="dxa"/>
          <w:right w:w="0" w:type="dxa"/>
        </w:tblCellMar>
      </w:tblPr>
      <w:tblGrid>
        <w:gridCol w:w="3350"/>
        <w:gridCol w:w="60"/>
        <w:gridCol w:w="78"/>
        <w:gridCol w:w="1051"/>
        <w:gridCol w:w="60"/>
        <w:gridCol w:w="60"/>
        <w:gridCol w:w="199"/>
        <w:gridCol w:w="796"/>
        <w:gridCol w:w="60"/>
        <w:gridCol w:w="60"/>
        <w:gridCol w:w="114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Weighted</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Average</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Remaining</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center"/>
              <w:rPr>
                <w:b/>
              </w:rPr>
            </w:pPr>
            <w:r>
              <w:rPr>
                <w:b/>
              </w:rPr>
              <w:t>Life</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2022</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153,683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36.96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2.96 Years</w:t>
            </w:r>
          </w:p>
        </w:tc>
      </w:tr>
      <w:tr>
        <w:trPr/>
        <w:tc>
          <w:tcPr>
            <w:tcW w:w="3350"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344,212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3.39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4.87 Years</w:t>
            </w:r>
          </w:p>
        </w:tc>
      </w:tr>
      <w:tr>
        <w:trPr/>
        <w:tc>
          <w:tcPr>
            <w:tcW w:w="3350" w:type="dxa"/>
            <w:tcBorders/>
            <w:shd w:fill="CCEEFF" w:val="clear"/>
            <w:vAlign w:val="center"/>
          </w:tcPr>
          <w:p>
            <w:pPr>
              <w:pStyle w:val="TableContents"/>
              <w:bidi w:val="0"/>
              <w:spacing w:before="0" w:after="283"/>
              <w:jc w:val="left"/>
              <w:rPr/>
            </w:pPr>
            <w:r>
              <w:rPr/>
              <w:t>Exercised/cancelled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1" w:type="dxa"/>
            <w:tcBorders>
              <w:bottom w:val="double" w:sz="10" w:space="0" w:color="000000"/>
            </w:tcBorders>
            <w:tcMar>
              <w:bottom w:w="28" w:type="dxa"/>
            </w:tcMar>
            <w:vAlign w:val="center"/>
          </w:tcPr>
          <w:p>
            <w:pPr>
              <w:pStyle w:val="TableContents"/>
              <w:bidi w:val="0"/>
              <w:spacing w:before="0" w:after="283"/>
              <w:jc w:val="right"/>
              <w:rPr/>
            </w:pPr>
            <w:r>
              <w:rPr/>
              <w:t>497,895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tcMar>
              <w:bottom w:w="28" w:type="dxa"/>
            </w:tcMar>
            <w:vAlign w:val="center"/>
          </w:tcPr>
          <w:p>
            <w:pPr>
              <w:pStyle w:val="TableContents"/>
              <w:bidi w:val="0"/>
              <w:spacing w:before="0" w:after="283"/>
              <w:jc w:val="right"/>
              <w:rPr/>
            </w:pPr>
            <w:r>
              <w:rPr/>
              <w:t>13.75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4.13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2023 the Company granted directors a total of 78,125 options at exercise prices ranging from $2.64 to $5.48 per share. During the six months ended June 30, 2023, the Company granted the Chief Executive Officer 490,000 options at exercise prices ranging from $3.18 to $5.48 per share. The Company also granted the Chief Technology Officer 62,500 options at exercise prices ranging from $2.64 to $5.48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grant date fair value of options granted for the six months ended June 30, 2023, using the Black Scholes Method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805"/>
        <w:gridCol w:w="60"/>
        <w:gridCol w:w="1820"/>
      </w:tblGrid>
      <w:tr>
        <w:trPr/>
        <w:tc>
          <w:tcPr>
            <w:tcW w:w="180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center"/>
              <w:rPr/>
            </w:pPr>
            <w:r>
              <w:rPr/>
              <w:t>120.32%-124.08%</w:t>
            </w:r>
          </w:p>
        </w:tc>
      </w:tr>
      <w:tr>
        <w:trPr/>
        <w:tc>
          <w:tcPr>
            <w:tcW w:w="1805" w:type="dxa"/>
            <w:tcBorders/>
            <w:vAlign w:val="center"/>
          </w:tcPr>
          <w:p>
            <w:pPr>
              <w:pStyle w:val="TableContents"/>
              <w:bidi w:val="0"/>
              <w:spacing w:before="0" w:after="283"/>
              <w:jc w:val="left"/>
              <w:rPr/>
            </w:pPr>
            <w:r>
              <w:rPr/>
              <w:t>Expected term</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5 years</w:t>
            </w:r>
          </w:p>
        </w:tc>
      </w:tr>
      <w:tr>
        <w:trPr/>
        <w:tc>
          <w:tcPr>
            <w:tcW w:w="1805" w:type="dxa"/>
            <w:tcBorders/>
            <w:shd w:fill="CCEEFF" w:val="clear"/>
            <w:vAlign w:val="center"/>
          </w:tcPr>
          <w:p>
            <w:pPr>
              <w:pStyle w:val="TableContents"/>
              <w:bidi w:val="0"/>
              <w:spacing w:before="0" w:after="283"/>
              <w:jc w:val="left"/>
              <w:rPr/>
            </w:pPr>
            <w:r>
              <w:rPr/>
              <w:t>Risk free rate</w:t>
            </w:r>
          </w:p>
        </w:tc>
        <w:tc>
          <w:tcPr>
            <w:tcW w:w="60"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center"/>
              <w:rPr/>
            </w:pPr>
            <w:r>
              <w:rPr/>
              <w:t>3.52% - 3.97%</w:t>
            </w:r>
          </w:p>
        </w:tc>
      </w:tr>
      <w:tr>
        <w:trPr/>
        <w:tc>
          <w:tcPr>
            <w:tcW w:w="1805" w:type="dxa"/>
            <w:tcBorders/>
            <w:vAlign w:val="center"/>
          </w:tcPr>
          <w:p>
            <w:pPr>
              <w:pStyle w:val="TableContents"/>
              <w:bidi w:val="0"/>
              <w:spacing w:before="0" w:after="283"/>
              <w:jc w:val="left"/>
              <w:rPr/>
            </w:pPr>
            <w:r>
              <w:rPr/>
              <w:t>Dividend rate</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related to stock options for the six months ended June 30, 2023 (unaudited), is summarized as follows:</w:t>
      </w:r>
    </w:p>
    <w:p>
      <w:pPr>
        <w:pStyle w:val="TextBody"/>
        <w:bidi w:val="0"/>
        <w:spacing w:before="0" w:after="0"/>
        <w:ind w:left="0" w:right="0" w:hanging="0"/>
        <w:jc w:val="left"/>
        <w:rPr>
          <w:caps w:val="false"/>
          <w:smallCaps w:val="false"/>
        </w:rPr>
      </w:pPr>
      <w:r>
        <w:rPr>
          <w:caps w:val="false"/>
          <w:smallCaps w:val="false"/>
        </w:rPr>
        <w:t> </w:t>
      </w:r>
    </w:p>
    <w:tbl>
      <w:tblPr>
        <w:tblW w:w="8374" w:type="dxa"/>
        <w:jc w:val="left"/>
        <w:tblInd w:w="0" w:type="dxa"/>
        <w:tblLayout w:type="fixed"/>
        <w:tblCellMar>
          <w:top w:w="0" w:type="dxa"/>
          <w:left w:w="0" w:type="dxa"/>
          <w:bottom w:w="0" w:type="dxa"/>
          <w:right w:w="0" w:type="dxa"/>
        </w:tblCellMar>
      </w:tblPr>
      <w:tblGrid>
        <w:gridCol w:w="3350"/>
        <w:gridCol w:w="60"/>
        <w:gridCol w:w="65"/>
        <w:gridCol w:w="1064"/>
        <w:gridCol w:w="95"/>
        <w:gridCol w:w="60"/>
        <w:gridCol w:w="199"/>
        <w:gridCol w:w="796"/>
        <w:gridCol w:w="60"/>
        <w:gridCol w:w="60"/>
        <w:gridCol w:w="149"/>
        <w:gridCol w:w="1101"/>
        <w:gridCol w:w="60"/>
        <w:gridCol w:w="60"/>
        <w:gridCol w:w="140"/>
        <w:gridCol w:w="980"/>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Aggregate</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Intrinsic</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Term (Yrs.)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2022</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1,291,595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46.48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center"/>
              <w:rPr/>
            </w:pPr>
            <w:r>
              <w:rPr/>
              <w:t> </w:t>
            </w:r>
          </w:p>
        </w:tc>
        <w:tc>
          <w:tcPr>
            <w:tcW w:w="1101" w:type="dxa"/>
            <w:tcBorders/>
            <w:shd w:fill="CCEEFF" w:val="clear"/>
            <w:vAlign w:val="center"/>
          </w:tcPr>
          <w:p>
            <w:pPr>
              <w:pStyle w:val="TableContents"/>
              <w:bidi w:val="0"/>
              <w:spacing w:before="0" w:after="283"/>
              <w:jc w:val="center"/>
              <w:rPr/>
            </w:pPr>
            <w:r>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630,625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4.19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center"/>
              <w:rPr/>
            </w:pPr>
            <w:r>
              <w:rPr/>
              <w:t> </w:t>
            </w:r>
          </w:p>
        </w:tc>
        <w:tc>
          <w:tcPr>
            <w:tcW w:w="1101"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1,847,765</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center"/>
              <w:rPr/>
            </w:pPr>
            <w:r>
              <w:rPr/>
              <w:t> </w:t>
            </w:r>
          </w:p>
        </w:tc>
        <w:tc>
          <w:tcPr>
            <w:tcW w:w="1101"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Forfeited/cancelled</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tcMar>
              <w:bottom w:w="28" w:type="dxa"/>
            </w:tcMar>
            <w:vAlign w:val="center"/>
          </w:tcPr>
          <w:p>
            <w:pPr>
              <w:pStyle w:val="TableContents"/>
              <w:bidi w:val="0"/>
              <w:spacing w:before="0" w:after="283"/>
              <w:jc w:val="right"/>
              <w:rPr/>
            </w:pPr>
            <w:r>
              <w:rPr/>
              <w:t>(361,150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w:t>
            </w:r>
          </w:p>
        </w:tc>
        <w:tc>
          <w:tcPr>
            <w:tcW w:w="796" w:type="dxa"/>
            <w:tcBorders>
              <w:bottom w:val="single" w:sz="12" w:space="0" w:color="000000"/>
            </w:tcBorders>
            <w:tcMar>
              <w:bottom w:w="28" w:type="dxa"/>
            </w:tcMar>
            <w:vAlign w:val="center"/>
          </w:tcPr>
          <w:p>
            <w:pPr>
              <w:pStyle w:val="TableContents"/>
              <w:bidi w:val="0"/>
              <w:spacing w:before="0" w:after="283"/>
              <w:jc w:val="right"/>
              <w:rPr/>
            </w:pPr>
            <w:r>
              <w:rPr/>
              <w:t>52.86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center"/>
              <w:rPr/>
            </w:pPr>
            <w:r>
              <w:rPr/>
              <w:t> </w:t>
            </w:r>
          </w:p>
        </w:tc>
        <w:tc>
          <w:tcPr>
            <w:tcW w:w="1101"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as of June 30, 2023</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1,561,070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shd w:fill="CCEEFF" w:val="clear"/>
            <w:tcMar>
              <w:bottom w:w="28" w:type="dxa"/>
            </w:tcMar>
            <w:vAlign w:val="center"/>
          </w:tcPr>
          <w:p>
            <w:pPr>
              <w:pStyle w:val="TableContents"/>
              <w:bidi w:val="0"/>
              <w:spacing w:before="0" w:after="283"/>
              <w:jc w:val="right"/>
              <w:rPr/>
            </w:pPr>
            <w:r>
              <w:rPr/>
              <w:t>28.19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center"/>
              <w:rPr/>
            </w:pPr>
            <w:r>
              <w:rPr/>
              <w:t> </w:t>
            </w:r>
          </w:p>
        </w:tc>
        <w:tc>
          <w:tcPr>
            <w:tcW w:w="1101" w:type="dxa"/>
            <w:tcBorders/>
            <w:shd w:fill="CCEEFF" w:val="clear"/>
            <w:vAlign w:val="center"/>
          </w:tcPr>
          <w:p>
            <w:pPr>
              <w:pStyle w:val="TableContents"/>
              <w:bidi w:val="0"/>
              <w:spacing w:before="0" w:after="283"/>
              <w:jc w:val="center"/>
              <w:rPr/>
            </w:pPr>
            <w:r>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1,881,165</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Exercisable as of June 30, 2023</w:t>
            </w:r>
          </w:p>
        </w:tc>
        <w:tc>
          <w:tcPr>
            <w:tcW w:w="60" w:type="dxa"/>
            <w:tcBorders/>
            <w:vAlign w:val="center"/>
          </w:tcPr>
          <w:p>
            <w:pPr>
              <w:pStyle w:val="TableContents"/>
              <w:bidi w:val="0"/>
              <w:spacing w:before="0" w:after="283"/>
              <w:jc w:val="left"/>
              <w:rPr/>
            </w:pPr>
            <w:r>
              <w:rPr/>
              <w:t> </w:t>
            </w:r>
          </w:p>
        </w:tc>
        <w:tc>
          <w:tcPr>
            <w:tcW w:w="6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tcMar>
              <w:bottom w:w="28" w:type="dxa"/>
            </w:tcMar>
            <w:vAlign w:val="center"/>
          </w:tcPr>
          <w:p>
            <w:pPr>
              <w:pStyle w:val="TableContents"/>
              <w:bidi w:val="0"/>
              <w:spacing w:before="0" w:after="283"/>
              <w:jc w:val="right"/>
              <w:rPr/>
            </w:pPr>
            <w:r>
              <w:rPr/>
              <w:t>810,268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tcMar>
              <w:bottom w:w="28" w:type="dxa"/>
            </w:tcMar>
            <w:vAlign w:val="center"/>
          </w:tcPr>
          <w:p>
            <w:pPr>
              <w:pStyle w:val="TableContents"/>
              <w:bidi w:val="0"/>
              <w:spacing w:before="0" w:after="283"/>
              <w:jc w:val="right"/>
              <w:rPr/>
            </w:pPr>
            <w:r>
              <w:rPr/>
              <w:t>40.28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center"/>
              <w:rPr/>
            </w:pPr>
            <w:r>
              <w:rPr/>
              <w:t> </w:t>
            </w:r>
          </w:p>
        </w:tc>
        <w:tc>
          <w:tcPr>
            <w:tcW w:w="1101" w:type="dxa"/>
            <w:tcBorders/>
            <w:vAlign w:val="center"/>
          </w:tcPr>
          <w:p>
            <w:pPr>
              <w:pStyle w:val="TableContents"/>
              <w:bidi w:val="0"/>
              <w:spacing w:before="0" w:after="283"/>
              <w:jc w:val="center"/>
              <w:rPr/>
            </w:pPr>
            <w:r>
              <w:rPr/>
              <w:t>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40,899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stock option information as of June 30, 2023 (unaudited): </w:t>
      </w:r>
    </w:p>
    <w:p>
      <w:pPr>
        <w:pStyle w:val="TextBody"/>
        <w:bidi w:val="0"/>
        <w:spacing w:before="0" w:after="0"/>
        <w:ind w:left="0" w:right="0" w:hanging="0"/>
        <w:jc w:val="left"/>
        <w:rPr>
          <w:caps w:val="false"/>
          <w:smallCaps w:val="false"/>
        </w:rPr>
      </w:pPr>
      <w:r>
        <w:rPr>
          <w:caps w:val="false"/>
          <w:smallCaps w:val="false"/>
        </w:rPr>
        <w:t> </w:t>
      </w:r>
    </w:p>
    <w:tbl>
      <w:tblPr>
        <w:tblW w:w="6575" w:type="dxa"/>
        <w:jc w:val="left"/>
        <w:tblInd w:w="0" w:type="dxa"/>
        <w:tblLayout w:type="fixed"/>
        <w:tblCellMar>
          <w:top w:w="0" w:type="dxa"/>
          <w:left w:w="0" w:type="dxa"/>
          <w:bottom w:w="0" w:type="dxa"/>
          <w:right w:w="0" w:type="dxa"/>
        </w:tblCellMar>
      </w:tblPr>
      <w:tblGrid>
        <w:gridCol w:w="2480"/>
        <w:gridCol w:w="60"/>
        <w:gridCol w:w="73"/>
        <w:gridCol w:w="1207"/>
        <w:gridCol w:w="60"/>
        <w:gridCol w:w="60"/>
        <w:gridCol w:w="197"/>
        <w:gridCol w:w="1053"/>
        <w:gridCol w:w="60"/>
        <w:gridCol w:w="60"/>
        <w:gridCol w:w="83"/>
        <w:gridCol w:w="1107"/>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480" w:type="dxa"/>
            <w:tcBorders>
              <w:bottom w:val="single" w:sz="12" w:space="0" w:color="000000"/>
            </w:tcBorders>
            <w:tcMar>
              <w:bottom w:w="28" w:type="dxa"/>
            </w:tcMar>
            <w:vAlign w:val="center"/>
          </w:tcPr>
          <w:p>
            <w:pPr>
              <w:pStyle w:val="TableContents"/>
              <w:bidi w:val="0"/>
              <w:spacing w:before="0" w:after="283"/>
              <w:jc w:val="left"/>
              <w:rPr>
                <w:b/>
              </w:rPr>
            </w:pPr>
            <w:r>
              <w:rPr>
                <w:b/>
              </w:rPr>
              <w:t>Exercise Price</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Term (Yrs.)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Exercisable</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Less than or equal $32.00</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1,155,716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center"/>
              <w:rPr/>
            </w:pPr>
            <w:r>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515,052</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$32.01 - $56.00</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17,917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center"/>
              <w:rPr/>
            </w:pPr>
            <w:r>
              <w:rPr/>
              <w:t>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17,917</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$56.01 - $80.00</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222,792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center"/>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131,820</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$80.01 - $128.00</w:t>
            </w:r>
          </w:p>
        </w:tc>
        <w:tc>
          <w:tcPr>
            <w:tcW w:w="60" w:type="dxa"/>
            <w:tcBorders/>
            <w:vAlign w:val="center"/>
          </w:tcPr>
          <w:p>
            <w:pPr>
              <w:pStyle w:val="TableContents"/>
              <w:bidi w:val="0"/>
              <w:spacing w:before="0" w:after="283"/>
              <w:jc w:val="left"/>
              <w:rPr/>
            </w:pPr>
            <w:r>
              <w:rPr/>
              <w:t> </w:t>
            </w:r>
          </w:p>
        </w:tc>
        <w:tc>
          <w:tcPr>
            <w:tcW w:w="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tcMar>
              <w:bottom w:w="28" w:type="dxa"/>
            </w:tcMar>
            <w:vAlign w:val="center"/>
          </w:tcPr>
          <w:p>
            <w:pPr>
              <w:pStyle w:val="TableContents"/>
              <w:bidi w:val="0"/>
              <w:spacing w:before="0" w:after="283"/>
              <w:jc w:val="right"/>
              <w:rPr/>
            </w:pPr>
            <w:r>
              <w:rPr/>
              <w:t>164,645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center"/>
              <w:rPr/>
            </w:pPr>
            <w:r>
              <w:rPr/>
              <w:t>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tcMar>
              <w:bottom w:w="28" w:type="dxa"/>
            </w:tcMar>
            <w:vAlign w:val="center"/>
          </w:tcPr>
          <w:p>
            <w:pPr>
              <w:pStyle w:val="TableContents"/>
              <w:bidi w:val="0"/>
              <w:spacing w:before="0" w:after="283"/>
              <w:jc w:val="right"/>
              <w:rPr/>
            </w:pPr>
            <w:r>
              <w:rPr/>
              <w:t>145,479</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1,561,070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center"/>
              <w:rPr/>
            </w:pPr>
            <w:r>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double" w:sz="10" w:space="0" w:color="000000"/>
            </w:tcBorders>
            <w:shd w:fill="CCEEFF" w:val="clear"/>
            <w:tcMar>
              <w:bottom w:w="28" w:type="dxa"/>
            </w:tcMar>
            <w:vAlign w:val="center"/>
          </w:tcPr>
          <w:p>
            <w:pPr>
              <w:pStyle w:val="TableContents"/>
              <w:bidi w:val="0"/>
              <w:spacing w:before="0" w:after="283"/>
              <w:jc w:val="right"/>
              <w:rPr/>
            </w:pPr>
            <w:r>
              <w:rPr/>
              <w:t>810,268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2023, the Company recognized approximately $1.9 million of stock option based compensation expense. As of June 30, 2023, there was approximately $4 million of unrecognized compensation costs related to stock options outstanding that will be expensed through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DISCONTINUED OPERATIONS AND ASSETS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authID considered it in the best interests of the Company to focus its business activities on providing biometric authentication products and services by means of our proprietary Verified platform.  Accordingly, on May 4, 2022, the Board approved a plan to exit from certain non-core activities comprising the MultiPay correspondent bank, payments services in Colombia and the Cards Plus cards manufacturing and printing business in South Africa.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Cards Plus business in South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Cards Plus are classified as a discontinued operation and an asset held for sale, as all required classification criteria under appropriate accounting standards were met as of June 30,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2022, the Company completed the sale of Cards Plus for a price of $300,000 of which $150,000 was received and the remaining balance of $150,000 recorded in other current asset is expected to be received within one year, less $3,272 in costs to sell, and recognized a loss of $188,247 from the transaction.</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MultiPay business in Colombia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exited the MultiPay business in Colombia in an orderly fashion, honoring our obligations to employees, customers and under applicable laws and regulations.  We maintain our customer support and operations team in Bogota, which performs essential functions to support the global operations of our Verified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all impacted employees had left the Company. MultiPay finalized the sale of the Company’s proprietary software to its major customer on June 30, 2023 for approximately $96,000 of sale consideration. The Company recorded the receivable under the sale in Other current assets, released foreign currency translation gain of approximately $155,000 and recognized a gain of $216,000 from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assets and liabilities of the MultiPay sale and the consideration received (unaudited):</w:t>
      </w:r>
    </w:p>
    <w:p>
      <w:pPr>
        <w:pStyle w:val="TextBody"/>
        <w:bidi w:val="0"/>
        <w:spacing w:before="0" w:after="0"/>
        <w:ind w:left="0" w:right="0" w:hanging="0"/>
        <w:jc w:val="both"/>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4670"/>
        <w:gridCol w:w="60"/>
        <w:gridCol w:w="140"/>
        <w:gridCol w:w="800"/>
        <w:gridCol w:w="110"/>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b/>
              </w:rPr>
            </w:pPr>
            <w:r>
              <w:rPr>
                <w:b/>
              </w:rPr>
              <w:t>Carrying value of net assets sold:</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Property and equipment write-off</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19,528</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Net assets write-off</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19,528</w:t>
            </w:r>
          </w:p>
        </w:tc>
        <w:tc>
          <w:tcPr>
            <w:tcW w:w="11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b/>
              </w:rPr>
            </w:pPr>
            <w:r>
              <w:rPr>
                <w:b/>
              </w:rPr>
              <w:t>Sale consideration on disposition of net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Sale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95,852</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Less: Value added tax</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(15,304</w:t>
            </w:r>
          </w:p>
        </w:tc>
        <w:tc>
          <w:tcPr>
            <w:tcW w:w="110" w:type="dxa"/>
            <w:tcBorders/>
            <w:vAlign w:val="center"/>
          </w:tcPr>
          <w:p>
            <w:pPr>
              <w:pStyle w:val="TableContents"/>
              <w:bidi w:val="0"/>
              <w:spacing w:before="0" w:after="283"/>
              <w:jc w:val="left"/>
              <w:rPr/>
            </w:pPr>
            <w:r>
              <w:rPr/>
              <w:t>)</w:t>
            </w:r>
          </w:p>
        </w:tc>
      </w:tr>
      <w:tr>
        <w:trPr/>
        <w:tc>
          <w:tcPr>
            <w:tcW w:w="4670" w:type="dxa"/>
            <w:tcBorders/>
            <w:shd w:fill="CCEEFF" w:val="clear"/>
            <w:vAlign w:val="center"/>
          </w:tcPr>
          <w:p>
            <w:pPr>
              <w:pStyle w:val="TableContents"/>
              <w:bidi w:val="0"/>
              <w:spacing w:before="0" w:after="283"/>
              <w:jc w:val="left"/>
              <w:rPr/>
            </w:pPr>
            <w:r>
              <w:rPr/>
              <w:t>Net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80,548</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b/>
              </w:rPr>
            </w:pPr>
            <w:r>
              <w:rPr>
                <w:b/>
              </w:rPr>
              <w:t xml:space="preserve">Foreign currency translation: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155,049</w:t>
            </w:r>
          </w:p>
        </w:tc>
        <w:tc>
          <w:tcPr>
            <w:tcW w:w="11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b/>
              </w:rPr>
            </w:pPr>
            <w:r>
              <w:rPr>
                <w:b/>
              </w:rPr>
              <w:t>Net gain on sale of a discontinued operation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216,069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Cards Plus and MultiPay for the three and six months ended June 30, 2023 and 2022 on a consolidated basis are below (unaudited):</w:t>
      </w:r>
    </w:p>
    <w:p>
      <w:pPr>
        <w:pStyle w:val="TextBody"/>
        <w:bidi w:val="0"/>
        <w:spacing w:before="0" w:after="0"/>
        <w:ind w:left="0" w:right="0" w:hanging="0"/>
        <w:jc w:val="left"/>
        <w:rPr>
          <w:caps w:val="false"/>
          <w:smallCaps w:val="false"/>
        </w:rPr>
      </w:pPr>
      <w:r>
        <w:rPr>
          <w:caps w:val="false"/>
          <w:smallCaps w:val="false"/>
        </w:rPr>
        <w:t> </w:t>
      </w:r>
    </w:p>
    <w:tbl>
      <w:tblPr>
        <w:tblW w:w="9462" w:type="dxa"/>
        <w:jc w:val="left"/>
        <w:tblInd w:w="0" w:type="dxa"/>
        <w:tblLayout w:type="fixed"/>
        <w:tblCellMar>
          <w:top w:w="0" w:type="dxa"/>
          <w:left w:w="0" w:type="dxa"/>
          <w:bottom w:w="0" w:type="dxa"/>
          <w:right w:w="0" w:type="dxa"/>
        </w:tblCellMar>
      </w:tblPr>
      <w:tblGrid>
        <w:gridCol w:w="4655"/>
        <w:gridCol w:w="60"/>
        <w:gridCol w:w="150"/>
        <w:gridCol w:w="860"/>
        <w:gridCol w:w="102"/>
        <w:gridCol w:w="64"/>
        <w:gridCol w:w="150"/>
        <w:gridCol w:w="941"/>
        <w:gridCol w:w="95"/>
        <w:gridCol w:w="60"/>
        <w:gridCol w:w="140"/>
        <w:gridCol w:w="800"/>
        <w:gridCol w:w="95"/>
        <w:gridCol w:w="60"/>
        <w:gridCol w:w="140"/>
        <w:gridCol w:w="980"/>
        <w:gridCol w:w="110"/>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u w:val="single"/>
              </w:rPr>
            </w:pPr>
            <w:r>
              <w:rPr>
                <w:u w:val="single"/>
              </w:rPr>
              <w:t>Discontinued Operations</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9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Total Revenues, net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15,259</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single" w:sz="12" w:space="0" w:color="000000"/>
            </w:tcBorders>
            <w:shd w:fill="CCEEFF" w:val="clear"/>
            <w:tcMar>
              <w:bottom w:w="28" w:type="dxa"/>
            </w:tcMar>
            <w:vAlign w:val="center"/>
          </w:tcPr>
          <w:p>
            <w:pPr>
              <w:pStyle w:val="TableContents"/>
              <w:bidi w:val="0"/>
              <w:spacing w:before="0" w:after="283"/>
              <w:jc w:val="right"/>
              <w:rPr/>
            </w:pPr>
            <w:r>
              <w:rPr/>
              <w:t>579,246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29,354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1,021,556</w:t>
            </w:r>
          </w:p>
        </w:tc>
        <w:tc>
          <w:tcPr>
            <w:tcW w:w="11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Cost of Sales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right"/>
              <w:rPr/>
            </w:pPr>
            <w:r>
              <w:rPr/>
              <w:t>-</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336,540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520,064</w:t>
            </w:r>
          </w:p>
        </w:tc>
        <w:tc>
          <w:tcPr>
            <w:tcW w:w="11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372,750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658,132</w:t>
            </w:r>
          </w:p>
        </w:tc>
        <w:tc>
          <w:tcPr>
            <w:tcW w:w="11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Impairment loss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right"/>
              <w:rPr/>
            </w:pPr>
            <w:r>
              <w:rPr/>
              <w:t>-</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67,984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211,703</w:t>
            </w:r>
          </w:p>
        </w:tc>
        <w:tc>
          <w:tcPr>
            <w:tcW w:w="11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4,157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CCEEFF" w:val="clear"/>
            <w:tcMar>
              <w:bottom w:w="28" w:type="dxa"/>
            </w:tcMar>
            <w:vAlign w:val="center"/>
          </w:tcPr>
          <w:p>
            <w:pPr>
              <w:pStyle w:val="TableContents"/>
              <w:bidi w:val="0"/>
              <w:spacing w:before="0" w:after="283"/>
              <w:jc w:val="right"/>
              <w:rPr/>
            </w:pPr>
            <w:r>
              <w:rPr/>
              <w:t>11,572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39,774</w:t>
            </w:r>
          </w:p>
        </w:tc>
        <w:tc>
          <w:tcPr>
            <w:tcW w:w="11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Total operating expenses</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pPr>
            <w:r>
              <w:rPr/>
              <w:t>4,157</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tcMar>
              <w:bottom w:w="28" w:type="dxa"/>
            </w:tcMar>
            <w:vAlign w:val="center"/>
          </w:tcPr>
          <w:p>
            <w:pPr>
              <w:pStyle w:val="TableContents"/>
              <w:bidi w:val="0"/>
              <w:spacing w:before="0" w:after="283"/>
              <w:jc w:val="right"/>
              <w:rPr/>
            </w:pPr>
            <w:r>
              <w:rPr/>
              <w:t>788,846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20,334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1,429,673</w:t>
            </w:r>
          </w:p>
        </w:tc>
        <w:tc>
          <w:tcPr>
            <w:tcW w:w="11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pPr>
            <w:r>
              <w:rPr/>
              <w:t>11,102</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tcMar>
              <w:bottom w:w="28" w:type="dxa"/>
            </w:tcMar>
            <w:vAlign w:val="center"/>
          </w:tcPr>
          <w:p>
            <w:pPr>
              <w:pStyle w:val="TableContents"/>
              <w:bidi w:val="0"/>
              <w:spacing w:before="0" w:after="283"/>
              <w:jc w:val="right"/>
              <w:rPr/>
            </w:pPr>
            <w:r>
              <w:rPr/>
              <w:t>(209,600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9,020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(408,117</w:t>
            </w:r>
          </w:p>
        </w:tc>
        <w:tc>
          <w:tcPr>
            <w:tcW w:w="110" w:type="dxa"/>
            <w:tcBorders/>
            <w:vAlign w:val="center"/>
          </w:tcPr>
          <w:p>
            <w:pPr>
              <w:pStyle w:val="TableContents"/>
              <w:bidi w:val="0"/>
              <w:spacing w:before="0" w:after="283"/>
              <w:jc w:val="left"/>
              <w:rPr/>
            </w:pPr>
            <w:r>
              <w:rPr/>
              <w:t>)</w:t>
            </w:r>
          </w:p>
        </w:tc>
      </w:tr>
      <w:tr>
        <w:trPr/>
        <w:tc>
          <w:tcPr>
            <w:tcW w:w="4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Other Income (Expense):</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(224</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4,334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8,029</w:t>
            </w:r>
          </w:p>
        </w:tc>
        <w:tc>
          <w:tcPr>
            <w:tcW w:w="11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Interest expense,  net</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0"/>
              <w:jc w:val="right"/>
              <w:rPr/>
            </w:pPr>
            <w:r>
              <w:rPr/>
              <w:t>-</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(364</w:t>
            </w:r>
          </w:p>
        </w:tc>
        <w:tc>
          <w:tcPr>
            <w:tcW w:w="110" w:type="dxa"/>
            <w:tcBorders/>
            <w:vAlign w:val="center"/>
          </w:tcPr>
          <w:p>
            <w:pPr>
              <w:pStyle w:val="TableContents"/>
              <w:bidi w:val="0"/>
              <w:spacing w:before="0" w:after="283"/>
              <w:jc w:val="left"/>
              <w:rPr/>
            </w:pPr>
            <w:r>
              <w:rPr/>
              <w:t>)</w:t>
            </w:r>
          </w:p>
        </w:tc>
      </w:tr>
      <w:tr>
        <w:trPr/>
        <w:tc>
          <w:tcPr>
            <w:tcW w:w="465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(224</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CCEEFF" w:val="clear"/>
            <w:tcMar>
              <w:bottom w:w="28" w:type="dxa"/>
            </w:tcMar>
            <w:vAlign w:val="center"/>
          </w:tcPr>
          <w:p>
            <w:pPr>
              <w:pStyle w:val="TableContents"/>
              <w:bidi w:val="0"/>
              <w:spacing w:before="0" w:after="283"/>
              <w:jc w:val="right"/>
              <w:rPr/>
            </w:pPr>
            <w:r>
              <w:rPr/>
              <w:t>4,334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7,665</w:t>
            </w:r>
          </w:p>
        </w:tc>
        <w:tc>
          <w:tcPr>
            <w:tcW w:w="11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10,878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(205,266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(400,452</w:t>
            </w:r>
          </w:p>
        </w:tc>
        <w:tc>
          <w:tcPr>
            <w:tcW w:w="110" w:type="dxa"/>
            <w:tcBorders/>
            <w:shd w:fill="CCEEFF" w:val="clear"/>
            <w:vAlign w:val="center"/>
          </w:tcPr>
          <w:p>
            <w:pPr>
              <w:pStyle w:val="TableContents"/>
              <w:bidi w:val="0"/>
              <w:spacing w:before="0" w:after="283"/>
              <w:jc w:val="left"/>
              <w:rPr/>
            </w:pPr>
            <w:r>
              <w:rPr/>
              <w:t>)</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(5,184</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CCEEFF" w:val="clear"/>
            <w:tcMar>
              <w:bottom w:w="28" w:type="dxa"/>
            </w:tcMar>
            <w:vAlign w:val="center"/>
          </w:tcPr>
          <w:p>
            <w:pPr>
              <w:pStyle w:val="TableContents"/>
              <w:bidi w:val="0"/>
              <w:spacing w:before="0" w:after="283"/>
              <w:jc w:val="right"/>
              <w:rPr/>
            </w:pPr>
            <w:r>
              <w:rPr/>
              <w:t>(1,041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(5,581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(6,578</w:t>
            </w:r>
          </w:p>
        </w:tc>
        <w:tc>
          <w:tcPr>
            <w:tcW w:w="110" w:type="dxa"/>
            <w:tcBorders/>
            <w:shd w:fill="CCEEFF" w:val="clear"/>
            <w:vAlign w:val="center"/>
          </w:tcPr>
          <w:p>
            <w:pPr>
              <w:pStyle w:val="TableContents"/>
              <w:bidi w:val="0"/>
              <w:spacing w:before="0" w:after="283"/>
              <w:jc w:val="left"/>
              <w:rPr/>
            </w:pPr>
            <w:r>
              <w:rPr/>
              <w:t>)</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Income (loss) from discontinued operations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5,694</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(206,307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(407,030</w:t>
            </w:r>
          </w:p>
        </w:tc>
        <w:tc>
          <w:tcPr>
            <w:tcW w:w="110" w:type="dxa"/>
            <w:tcBorders/>
            <w:shd w:fill="CCEEFF" w:val="clear"/>
            <w:vAlign w:val="center"/>
          </w:tcPr>
          <w:p>
            <w:pPr>
              <w:pStyle w:val="TableContents"/>
              <w:bidi w:val="0"/>
              <w:spacing w:before="0" w:after="283"/>
              <w:jc w:val="left"/>
              <w:rPr/>
            </w:pPr>
            <w:r>
              <w:rPr/>
              <w:t>)</w:t>
            </w:r>
          </w:p>
        </w:tc>
      </w:tr>
      <w:tr>
        <w:trPr/>
        <w:tc>
          <w:tcPr>
            <w:tcW w:w="4655" w:type="dxa"/>
            <w:tcBorders/>
            <w:vAlign w:val="center"/>
          </w:tcPr>
          <w:p>
            <w:pPr>
              <w:pStyle w:val="TableContents"/>
              <w:bidi w:val="0"/>
              <w:spacing w:before="0" w:after="283"/>
              <w:jc w:val="left"/>
              <w:rPr/>
            </w:pPr>
            <w:r>
              <w:rPr/>
              <w:t>Gain from sale of discontinued operations</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pPr>
            <w:r>
              <w:rPr/>
              <w:t>216,069</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216,069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Total income (loss) from discontinued operations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pPr>
            <w:r>
              <w:rPr/>
              <w:t>221,763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double" w:sz="10" w:space="0" w:color="000000"/>
            </w:tcBorders>
            <w:shd w:fill="CCEEFF" w:val="clear"/>
            <w:tcMar>
              <w:bottom w:w="28" w:type="dxa"/>
            </w:tcMar>
            <w:vAlign w:val="center"/>
          </w:tcPr>
          <w:p>
            <w:pPr>
              <w:pStyle w:val="TableContents"/>
              <w:bidi w:val="0"/>
              <w:spacing w:before="0" w:after="283"/>
              <w:jc w:val="right"/>
              <w:rPr/>
            </w:pPr>
            <w:r>
              <w:rPr/>
              <w:t>(206,307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219,508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(407,030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262" w:type="dxa"/>
        <w:jc w:val="left"/>
        <w:tblInd w:w="0" w:type="dxa"/>
        <w:tblLayout w:type="fixed"/>
        <w:tblCellMar>
          <w:top w:w="0" w:type="dxa"/>
          <w:left w:w="0" w:type="dxa"/>
          <w:bottom w:w="0" w:type="dxa"/>
          <w:right w:w="0" w:type="dxa"/>
        </w:tblCellMar>
      </w:tblPr>
      <w:tblGrid>
        <w:gridCol w:w="3290"/>
        <w:gridCol w:w="60"/>
        <w:gridCol w:w="215"/>
        <w:gridCol w:w="423"/>
        <w:gridCol w:w="92"/>
        <w:gridCol w:w="92"/>
        <w:gridCol w:w="215"/>
        <w:gridCol w:w="1231"/>
        <w:gridCol w:w="95"/>
        <w:gridCol w:w="60"/>
        <w:gridCol w:w="168"/>
        <w:gridCol w:w="332"/>
        <w:gridCol w:w="71"/>
        <w:gridCol w:w="71"/>
        <w:gridCol w:w="166"/>
        <w:gridCol w:w="1166"/>
        <w:gridCol w:w="51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51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4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51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u w:val="single"/>
              </w:rPr>
            </w:pPr>
            <w:r>
              <w:rPr>
                <w:u w:val="single"/>
              </w:rPr>
              <w:t>Cards Plus</w:t>
            </w:r>
          </w:p>
        </w:tc>
        <w:tc>
          <w:tcPr>
            <w:tcW w:w="60" w:type="dxa"/>
            <w:tcBorders/>
            <w:vAlign w:val="center"/>
          </w:tcPr>
          <w:p>
            <w:pPr>
              <w:pStyle w:val="TableContents"/>
              <w:bidi w:val="0"/>
              <w:spacing w:before="0" w:after="283"/>
              <w:jc w:val="left"/>
              <w:rPr/>
            </w:pPr>
            <w:r>
              <w:rPr/>
              <w:t> </w:t>
            </w:r>
          </w:p>
        </w:tc>
        <w:tc>
          <w:tcPr>
            <w:tcW w:w="638"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44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32"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51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Total Revenues, net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23"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510,142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32"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883,300</w:t>
            </w:r>
          </w:p>
        </w:tc>
        <w:tc>
          <w:tcPr>
            <w:tcW w:w="51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51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51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Cost of Sales</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0"/>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336,540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0"/>
              <w:jc w:val="right"/>
              <w:rPr/>
            </w:pPr>
            <w:r>
              <w:rPr/>
              <w:t>-</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520,064</w:t>
            </w:r>
          </w:p>
        </w:tc>
        <w:tc>
          <w:tcPr>
            <w:tcW w:w="515" w:type="dxa"/>
            <w:tcBorders/>
            <w:vAlign w:val="center"/>
          </w:tcPr>
          <w:p>
            <w:pPr>
              <w:pStyle w:val="TableContents"/>
              <w:bidi w:val="0"/>
              <w:spacing w:before="0" w:after="283"/>
              <w:ind w:left="0" w:right="0" w:hanging="0"/>
              <w:jc w:val="left"/>
              <w:rPr/>
            </w:pPr>
            <w:r>
              <w:rPr/>
              <w:t> </w:t>
            </w:r>
          </w:p>
        </w:tc>
      </w:tr>
      <w:tr>
        <w:trPr/>
        <w:tc>
          <w:tcPr>
            <w:tcW w:w="32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0"/>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167,390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322,699</w:t>
            </w:r>
          </w:p>
        </w:tc>
        <w:tc>
          <w:tcPr>
            <w:tcW w:w="51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Impairment loss</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0"/>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67,984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0"/>
              <w:jc w:val="right"/>
              <w:rPr/>
            </w:pPr>
            <w:r>
              <w:rPr/>
              <w:t>-</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211,703</w:t>
            </w:r>
          </w:p>
        </w:tc>
        <w:tc>
          <w:tcPr>
            <w:tcW w:w="515" w:type="dxa"/>
            <w:tcBorders/>
            <w:vAlign w:val="center"/>
          </w:tcPr>
          <w:p>
            <w:pPr>
              <w:pStyle w:val="TableContents"/>
              <w:bidi w:val="0"/>
              <w:spacing w:before="0" w:after="283"/>
              <w:ind w:left="0" w:right="0" w:hanging="0"/>
              <w:jc w:val="left"/>
              <w:rPr/>
            </w:pPr>
            <w:r>
              <w:rPr/>
              <w:t> </w:t>
            </w:r>
          </w:p>
        </w:tc>
      </w:tr>
      <w:tr>
        <w:trPr/>
        <w:tc>
          <w:tcPr>
            <w:tcW w:w="329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4,667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25,897</w:t>
            </w:r>
          </w:p>
        </w:tc>
        <w:tc>
          <w:tcPr>
            <w:tcW w:w="515" w:type="dxa"/>
            <w:tcBorders/>
            <w:shd w:fill="CCEEFF" w:val="clear"/>
            <w:vAlign w:val="center"/>
          </w:tcPr>
          <w:p>
            <w:pPr>
              <w:pStyle w:val="TableContents"/>
              <w:bidi w:val="0"/>
              <w:spacing w:before="0" w:after="283"/>
              <w:ind w:left="0" w:right="0" w:firstLine="440"/>
              <w:jc w:val="left"/>
              <w:rPr/>
            </w:pPr>
            <w:r>
              <w:rPr/>
              <w:t> </w:t>
            </w:r>
          </w:p>
        </w:tc>
      </w:tr>
      <w:tr>
        <w:trPr/>
        <w:tc>
          <w:tcPr>
            <w:tcW w:w="3290" w:type="dxa"/>
            <w:tcBorders/>
            <w:vAlign w:val="center"/>
          </w:tcPr>
          <w:p>
            <w:pPr>
              <w:pStyle w:val="TableContents"/>
              <w:bidi w:val="0"/>
              <w:spacing w:before="0" w:after="283"/>
              <w:jc w:val="left"/>
              <w:rPr/>
            </w:pPr>
            <w:r>
              <w:rPr/>
              <w:t>Total operating expenses</w:t>
            </w:r>
          </w:p>
        </w:tc>
        <w:tc>
          <w:tcPr>
            <w:tcW w:w="6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0"/>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tcMar>
              <w:bottom w:w="28" w:type="dxa"/>
            </w:tcMar>
            <w:vAlign w:val="center"/>
          </w:tcPr>
          <w:p>
            <w:pPr>
              <w:pStyle w:val="TableContents"/>
              <w:bidi w:val="0"/>
              <w:spacing w:before="0" w:after="283"/>
              <w:jc w:val="right"/>
              <w:rPr/>
            </w:pPr>
            <w:r>
              <w:rPr/>
              <w:t>576,581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bottom w:val="single" w:sz="12" w:space="0" w:color="000000"/>
            </w:tcBorders>
            <w:tcMar>
              <w:bottom w:w="28" w:type="dxa"/>
            </w:tcMar>
            <w:vAlign w:val="center"/>
          </w:tcPr>
          <w:p>
            <w:pPr>
              <w:pStyle w:val="TableContents"/>
              <w:bidi w:val="0"/>
              <w:spacing w:before="0" w:after="283"/>
              <w:jc w:val="left"/>
              <w:rPr/>
            </w:pPr>
            <w:r>
              <w:rPr/>
              <w:t> </w:t>
            </w:r>
          </w:p>
        </w:tc>
        <w:tc>
          <w:tcPr>
            <w:tcW w:w="332" w:type="dxa"/>
            <w:tcBorders>
              <w:bottom w:val="single" w:sz="12" w:space="0" w:color="000000"/>
            </w:tcBorders>
            <w:tcMar>
              <w:bottom w:w="28" w:type="dxa"/>
            </w:tcMar>
            <w:vAlign w:val="center"/>
          </w:tcPr>
          <w:p>
            <w:pPr>
              <w:pStyle w:val="TableContents"/>
              <w:bidi w:val="0"/>
              <w:spacing w:before="0" w:after="0"/>
              <w:jc w:val="right"/>
              <w:rPr/>
            </w:pPr>
            <w:r>
              <w:rPr/>
              <w:t>-</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1,080,363</w:t>
            </w:r>
          </w:p>
        </w:tc>
        <w:tc>
          <w:tcPr>
            <w:tcW w:w="51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515" w:type="dxa"/>
            <w:tcBorders/>
            <w:shd w:fill="CCEEFF" w:val="clear"/>
            <w:vAlign w:val="center"/>
          </w:tcPr>
          <w:p>
            <w:pPr>
              <w:pStyle w:val="TableContents"/>
              <w:bidi w:val="0"/>
              <w:spacing w:before="0" w:after="283"/>
              <w:ind w:left="0" w:right="0" w:hanging="0"/>
              <w:jc w:val="left"/>
              <w:rPr/>
            </w:pPr>
            <w:r>
              <w:rPr/>
              <w:t> </w:t>
            </w:r>
          </w:p>
        </w:tc>
      </w:tr>
      <w:tr>
        <w:trPr/>
        <w:tc>
          <w:tcPr>
            <w:tcW w:w="3290" w:type="dxa"/>
            <w:tcBorders/>
            <w:vAlign w:val="center"/>
          </w:tcPr>
          <w:p>
            <w:pPr>
              <w:pStyle w:val="TableContents"/>
              <w:bidi w:val="0"/>
              <w:spacing w:before="0" w:after="283"/>
              <w:jc w:val="left"/>
              <w:rPr/>
            </w:pPr>
            <w:r>
              <w:rPr/>
              <w:t>Income (loss) from operations</w:t>
            </w:r>
          </w:p>
        </w:tc>
        <w:tc>
          <w:tcPr>
            <w:tcW w:w="6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0"/>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tcMar>
              <w:bottom w:w="28" w:type="dxa"/>
            </w:tcMar>
            <w:vAlign w:val="center"/>
          </w:tcPr>
          <w:p>
            <w:pPr>
              <w:pStyle w:val="TableContents"/>
              <w:bidi w:val="0"/>
              <w:spacing w:before="0" w:after="283"/>
              <w:jc w:val="right"/>
              <w:rPr/>
            </w:pPr>
            <w:r>
              <w:rPr/>
              <w:t>(66,439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8" w:type="dxa"/>
            <w:tcBorders>
              <w:bottom w:val="single" w:sz="12" w:space="0" w:color="000000"/>
            </w:tcBorders>
            <w:tcMar>
              <w:bottom w:w="28" w:type="dxa"/>
            </w:tcMar>
            <w:vAlign w:val="center"/>
          </w:tcPr>
          <w:p>
            <w:pPr>
              <w:pStyle w:val="TableContents"/>
              <w:bidi w:val="0"/>
              <w:spacing w:before="0" w:after="283"/>
              <w:jc w:val="left"/>
              <w:rPr/>
            </w:pPr>
            <w:r>
              <w:rPr/>
              <w:t> </w:t>
            </w:r>
          </w:p>
        </w:tc>
        <w:tc>
          <w:tcPr>
            <w:tcW w:w="332" w:type="dxa"/>
            <w:tcBorders>
              <w:bottom w:val="single" w:sz="12" w:space="0" w:color="000000"/>
            </w:tcBorders>
            <w:tcMar>
              <w:bottom w:w="28" w:type="dxa"/>
            </w:tcMar>
            <w:vAlign w:val="center"/>
          </w:tcPr>
          <w:p>
            <w:pPr>
              <w:pStyle w:val="TableContents"/>
              <w:bidi w:val="0"/>
              <w:spacing w:before="0" w:after="0"/>
              <w:jc w:val="right"/>
              <w:rPr/>
            </w:pPr>
            <w:r>
              <w:rPr/>
              <w:t>-</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(197,063</w:t>
            </w:r>
          </w:p>
        </w:tc>
        <w:tc>
          <w:tcPr>
            <w:tcW w:w="515" w:type="dxa"/>
            <w:tcBorders/>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51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Other Income (Expense):</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51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0"/>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3,468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6,816</w:t>
            </w:r>
          </w:p>
        </w:tc>
        <w:tc>
          <w:tcPr>
            <w:tcW w:w="51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Interest expense,  net</w:t>
            </w:r>
          </w:p>
        </w:tc>
        <w:tc>
          <w:tcPr>
            <w:tcW w:w="6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423" w:type="dxa"/>
            <w:tcBorders>
              <w:bottom w:val="single" w:sz="12" w:space="0" w:color="000000"/>
            </w:tcBorders>
            <w:tcMar>
              <w:bottom w:w="28" w:type="dxa"/>
            </w:tcMar>
            <w:vAlign w:val="center"/>
          </w:tcPr>
          <w:p>
            <w:pPr>
              <w:pStyle w:val="TableContents"/>
              <w:bidi w:val="0"/>
              <w:spacing w:before="0" w:after="0"/>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bottom w:val="single" w:sz="12" w:space="0" w:color="000000"/>
            </w:tcBorders>
            <w:tcMar>
              <w:bottom w:w="28" w:type="dxa"/>
            </w:tcMar>
            <w:vAlign w:val="center"/>
          </w:tcPr>
          <w:p>
            <w:pPr>
              <w:pStyle w:val="TableContents"/>
              <w:bidi w:val="0"/>
              <w:spacing w:before="0" w:after="283"/>
              <w:jc w:val="left"/>
              <w:rPr/>
            </w:pPr>
            <w:r>
              <w:rPr/>
              <w:t> </w:t>
            </w:r>
          </w:p>
        </w:tc>
        <w:tc>
          <w:tcPr>
            <w:tcW w:w="332" w:type="dxa"/>
            <w:tcBorders>
              <w:bottom w:val="single" w:sz="12" w:space="0" w:color="000000"/>
            </w:tcBorders>
            <w:tcMar>
              <w:bottom w:w="28" w:type="dxa"/>
            </w:tcMar>
            <w:vAlign w:val="center"/>
          </w:tcPr>
          <w:p>
            <w:pPr>
              <w:pStyle w:val="TableContents"/>
              <w:bidi w:val="0"/>
              <w:spacing w:before="0" w:after="0"/>
              <w:jc w:val="right"/>
              <w:rPr/>
            </w:pPr>
            <w:r>
              <w:rPr/>
              <w:t>-</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(364</w:t>
            </w:r>
          </w:p>
        </w:tc>
        <w:tc>
          <w:tcPr>
            <w:tcW w:w="515" w:type="dxa"/>
            <w:tcBorders/>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3,468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6,452</w:t>
            </w:r>
          </w:p>
        </w:tc>
        <w:tc>
          <w:tcPr>
            <w:tcW w:w="51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51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0"/>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(62,971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(190,611</w:t>
            </w:r>
          </w:p>
        </w:tc>
        <w:tc>
          <w:tcPr>
            <w:tcW w:w="515" w:type="dxa"/>
            <w:tcBorders/>
            <w:shd w:fill="CCEEFF" w:val="clear"/>
            <w:vAlign w:val="center"/>
          </w:tcPr>
          <w:p>
            <w:pPr>
              <w:pStyle w:val="TableContents"/>
              <w:bidi w:val="0"/>
              <w:spacing w:before="0" w:after="283"/>
              <w:jc w:val="left"/>
              <w:rPr/>
            </w:pPr>
            <w:r>
              <w:rPr/>
              <w:t>)</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51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(4,681</w:t>
            </w:r>
          </w:p>
        </w:tc>
        <w:tc>
          <w:tcPr>
            <w:tcW w:w="515" w:type="dxa"/>
            <w:tcBorders/>
            <w:shd w:fill="CCEEFF" w:val="clear"/>
            <w:vAlign w:val="center"/>
          </w:tcPr>
          <w:p>
            <w:pPr>
              <w:pStyle w:val="TableContents"/>
              <w:bidi w:val="0"/>
              <w:spacing w:before="0" w:after="283"/>
              <w:jc w:val="left"/>
              <w:rPr/>
            </w:pPr>
            <w:r>
              <w:rPr/>
              <w:t>)</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51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from discontinued operations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23"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1" w:type="dxa"/>
            <w:tcBorders>
              <w:bottom w:val="double" w:sz="10" w:space="0" w:color="000000"/>
            </w:tcBorders>
            <w:shd w:fill="CCEEFF" w:val="clear"/>
            <w:tcMar>
              <w:bottom w:w="28" w:type="dxa"/>
            </w:tcMar>
            <w:vAlign w:val="center"/>
          </w:tcPr>
          <w:p>
            <w:pPr>
              <w:pStyle w:val="TableContents"/>
              <w:bidi w:val="0"/>
              <w:spacing w:before="0" w:after="283"/>
              <w:jc w:val="right"/>
              <w:rPr/>
            </w:pPr>
            <w:r>
              <w:rPr/>
              <w:t>(62,971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3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(195,292</w:t>
            </w:r>
          </w:p>
        </w:tc>
        <w:tc>
          <w:tcPr>
            <w:tcW w:w="5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9381" w:type="dxa"/>
        <w:jc w:val="left"/>
        <w:tblInd w:w="0" w:type="dxa"/>
        <w:tblLayout w:type="fixed"/>
        <w:tblCellMar>
          <w:top w:w="0" w:type="dxa"/>
          <w:left w:w="0" w:type="dxa"/>
          <w:bottom w:w="0" w:type="dxa"/>
          <w:right w:w="0" w:type="dxa"/>
        </w:tblCellMar>
      </w:tblPr>
      <w:tblGrid>
        <w:gridCol w:w="4115"/>
        <w:gridCol w:w="60"/>
        <w:gridCol w:w="146"/>
        <w:gridCol w:w="837"/>
        <w:gridCol w:w="99"/>
        <w:gridCol w:w="62"/>
        <w:gridCol w:w="146"/>
        <w:gridCol w:w="916"/>
        <w:gridCol w:w="95"/>
        <w:gridCol w:w="60"/>
        <w:gridCol w:w="140"/>
        <w:gridCol w:w="800"/>
        <w:gridCol w:w="95"/>
        <w:gridCol w:w="60"/>
        <w:gridCol w:w="140"/>
        <w:gridCol w:w="875"/>
        <w:gridCol w:w="73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3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3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u w:val="single"/>
              </w:rPr>
            </w:pPr>
            <w:r>
              <w:rPr>
                <w:u w:val="single"/>
              </w:rPr>
              <w:t>MultiPay</w:t>
            </w:r>
          </w:p>
        </w:tc>
        <w:tc>
          <w:tcPr>
            <w:tcW w:w="60" w:type="dxa"/>
            <w:tcBorders/>
            <w:vAlign w:val="center"/>
          </w:tcPr>
          <w:p>
            <w:pPr>
              <w:pStyle w:val="TableContents"/>
              <w:bidi w:val="0"/>
              <w:spacing w:before="0" w:after="283"/>
              <w:jc w:val="left"/>
              <w:rPr/>
            </w:pPr>
            <w:r>
              <w:rPr/>
              <w:t> </w:t>
            </w:r>
          </w:p>
        </w:tc>
        <w:tc>
          <w:tcPr>
            <w:tcW w:w="983" w:type="dxa"/>
            <w:gridSpan w:val="2"/>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62"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w:t>
            </w:r>
          </w:p>
        </w:tc>
        <w:tc>
          <w:tcPr>
            <w:tcW w:w="73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 w:type="dxa"/>
            <w:gridSpan w:val="2"/>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62"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w:t>
            </w:r>
          </w:p>
        </w:tc>
        <w:tc>
          <w:tcPr>
            <w:tcW w:w="73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Total Revenues, net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pPr>
            <w:r>
              <w:rPr/>
              <w:t>15,259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6" w:type="dxa"/>
            <w:tcBorders>
              <w:bottom w:val="single" w:sz="12" w:space="0" w:color="000000"/>
            </w:tcBorders>
            <w:shd w:fill="CCEEFF" w:val="clear"/>
            <w:tcMar>
              <w:bottom w:w="28" w:type="dxa"/>
            </w:tcMar>
            <w:vAlign w:val="center"/>
          </w:tcPr>
          <w:p>
            <w:pPr>
              <w:pStyle w:val="TableContents"/>
              <w:bidi w:val="0"/>
              <w:spacing w:before="0" w:after="283"/>
              <w:jc w:val="right"/>
              <w:rPr/>
            </w:pPr>
            <w:r>
              <w:rPr/>
              <w:t>69,104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29,354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138,256</w:t>
            </w:r>
          </w:p>
        </w:tc>
        <w:tc>
          <w:tcPr>
            <w:tcW w:w="73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73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35" w:type="dxa"/>
            <w:tcBorders/>
            <w:shd w:fill="CCEEFF" w:val="clear"/>
            <w:vAlign w:val="center"/>
          </w:tcPr>
          <w:p>
            <w:pPr>
              <w:pStyle w:val="TableContents"/>
              <w:bidi w:val="0"/>
              <w:spacing w:before="0" w:after="283"/>
              <w:ind w:left="0" w:right="0" w:firstLine="220"/>
              <w:jc w:val="left"/>
              <w:rPr/>
            </w:pPr>
            <w:r>
              <w:rPr/>
              <w:t> </w:t>
            </w:r>
          </w:p>
        </w:tc>
      </w:tr>
      <w:tr>
        <w:trPr/>
        <w:tc>
          <w:tcPr>
            <w:tcW w:w="4115" w:type="dxa"/>
            <w:tcBorders/>
            <w:vAlign w:val="center"/>
          </w:tcPr>
          <w:p>
            <w:pPr>
              <w:pStyle w:val="TableContents"/>
              <w:bidi w:val="0"/>
              <w:spacing w:before="0" w:after="283"/>
              <w:jc w:val="left"/>
              <w:rPr/>
            </w:pPr>
            <w:r>
              <w:rPr/>
              <w:t>General and administrative</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0"/>
              <w:jc w:val="right"/>
              <w:rPr/>
            </w:pPr>
            <w:r>
              <w:rPr/>
              <w:t>-</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205,360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12,268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335,433</w:t>
            </w:r>
          </w:p>
        </w:tc>
        <w:tc>
          <w:tcPr>
            <w:tcW w:w="735" w:type="dxa"/>
            <w:tcBorders/>
            <w:vAlign w:val="center"/>
          </w:tcPr>
          <w:p>
            <w:pPr>
              <w:pStyle w:val="TableContents"/>
              <w:bidi w:val="0"/>
              <w:spacing w:before="0" w:after="283"/>
              <w:ind w:left="0" w:right="0" w:firstLine="220"/>
              <w:jc w:val="left"/>
              <w:rPr/>
            </w:pPr>
            <w:r>
              <w:rPr/>
              <w:t> </w:t>
            </w:r>
          </w:p>
        </w:tc>
      </w:tr>
      <w:tr>
        <w:trPr/>
        <w:tc>
          <w:tcPr>
            <w:tcW w:w="411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pPr>
            <w:r>
              <w:rPr/>
              <w:t>4,157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center"/>
          </w:tcPr>
          <w:p>
            <w:pPr>
              <w:pStyle w:val="TableContents"/>
              <w:bidi w:val="0"/>
              <w:spacing w:before="0" w:after="283"/>
              <w:jc w:val="right"/>
              <w:rPr/>
            </w:pPr>
            <w:r>
              <w:rPr/>
              <w:t>6,905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13,877</w:t>
            </w:r>
          </w:p>
        </w:tc>
        <w:tc>
          <w:tcPr>
            <w:tcW w:w="735" w:type="dxa"/>
            <w:tcBorders/>
            <w:shd w:fill="CCEEFF" w:val="clear"/>
            <w:vAlign w:val="center"/>
          </w:tcPr>
          <w:p>
            <w:pPr>
              <w:pStyle w:val="TableContents"/>
              <w:bidi w:val="0"/>
              <w:spacing w:before="0" w:after="283"/>
              <w:ind w:left="0" w:right="0" w:firstLine="440"/>
              <w:jc w:val="left"/>
              <w:rPr/>
            </w:pPr>
            <w:r>
              <w:rPr/>
              <w:t> </w:t>
            </w:r>
          </w:p>
        </w:tc>
      </w:tr>
      <w:tr>
        <w:trPr/>
        <w:tc>
          <w:tcPr>
            <w:tcW w:w="4115" w:type="dxa"/>
            <w:tcBorders/>
            <w:vAlign w:val="center"/>
          </w:tcPr>
          <w:p>
            <w:pPr>
              <w:pStyle w:val="TableContents"/>
              <w:bidi w:val="0"/>
              <w:spacing w:before="0" w:after="283"/>
              <w:jc w:val="left"/>
              <w:rPr/>
            </w:pPr>
            <w:r>
              <w:rPr/>
              <w:t>Total operating expenses</w:t>
            </w:r>
          </w:p>
        </w:tc>
        <w:tc>
          <w:tcPr>
            <w:tcW w:w="6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before="0" w:after="283"/>
              <w:jc w:val="right"/>
              <w:rPr/>
            </w:pPr>
            <w:r>
              <w:rPr/>
              <w:t>4,157</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tcMar>
              <w:bottom w:w="28" w:type="dxa"/>
            </w:tcMar>
            <w:vAlign w:val="center"/>
          </w:tcPr>
          <w:p>
            <w:pPr>
              <w:pStyle w:val="TableContents"/>
              <w:bidi w:val="0"/>
              <w:spacing w:before="0" w:after="283"/>
              <w:jc w:val="right"/>
              <w:rPr/>
            </w:pPr>
            <w:r>
              <w:rPr/>
              <w:t>212,265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20,334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349,310</w:t>
            </w:r>
          </w:p>
        </w:tc>
        <w:tc>
          <w:tcPr>
            <w:tcW w:w="73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35" w:type="dxa"/>
            <w:tcBorders/>
            <w:shd w:fill="CCEEFF" w:val="clear"/>
            <w:vAlign w:val="center"/>
          </w:tcPr>
          <w:p>
            <w:pPr>
              <w:pStyle w:val="TableContents"/>
              <w:bidi w:val="0"/>
              <w:spacing w:before="0" w:after="283"/>
              <w:ind w:left="0" w:right="0" w:firstLine="660"/>
              <w:jc w:val="left"/>
              <w:rPr/>
            </w:pPr>
            <w:r>
              <w:rPr/>
              <w:t> </w:t>
            </w:r>
          </w:p>
        </w:tc>
      </w:tr>
      <w:tr>
        <w:trPr/>
        <w:tc>
          <w:tcPr>
            <w:tcW w:w="4115" w:type="dxa"/>
            <w:tcBorders/>
            <w:vAlign w:val="center"/>
          </w:tcPr>
          <w:p>
            <w:pPr>
              <w:pStyle w:val="TableContents"/>
              <w:bidi w:val="0"/>
              <w:spacing w:before="0" w:after="283"/>
              <w:jc w:val="left"/>
              <w:rPr/>
            </w:pPr>
            <w:r>
              <w:rPr/>
              <w:t>Income (Loss) from operations</w:t>
            </w:r>
          </w:p>
        </w:tc>
        <w:tc>
          <w:tcPr>
            <w:tcW w:w="6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before="0" w:after="283"/>
              <w:jc w:val="right"/>
              <w:rPr/>
            </w:pPr>
            <w:r>
              <w:rPr/>
              <w:t>11,102</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tcMar>
              <w:bottom w:w="28" w:type="dxa"/>
            </w:tcMar>
            <w:vAlign w:val="center"/>
          </w:tcPr>
          <w:p>
            <w:pPr>
              <w:pStyle w:val="TableContents"/>
              <w:bidi w:val="0"/>
              <w:spacing w:before="0" w:after="283"/>
              <w:jc w:val="right"/>
              <w:rPr/>
            </w:pPr>
            <w:r>
              <w:rPr/>
              <w:t>(143,161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9,020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(211,054</w:t>
            </w:r>
          </w:p>
        </w:tc>
        <w:tc>
          <w:tcPr>
            <w:tcW w:w="735" w:type="dxa"/>
            <w:tcBorders/>
            <w:vAlign w:val="center"/>
          </w:tcPr>
          <w:p>
            <w:pPr>
              <w:pStyle w:val="TableContents"/>
              <w:bidi w:val="0"/>
              <w:spacing w:before="0" w:after="283"/>
              <w:jc w:val="left"/>
              <w:rPr/>
            </w:pPr>
            <w:r>
              <w:rPr/>
              <w:t>)</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3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Other Income (Expense):</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735" w:type="dxa"/>
            <w:tcBorders/>
            <w:vAlign w:val="center"/>
          </w:tcPr>
          <w:p>
            <w:pPr>
              <w:pStyle w:val="TableContents"/>
              <w:bidi w:val="0"/>
              <w:spacing w:before="0" w:after="283"/>
              <w:ind w:left="0" w:right="0" w:firstLine="220"/>
              <w:jc w:val="left"/>
              <w:rPr/>
            </w:pPr>
            <w:r>
              <w:rPr/>
              <w:t> </w:t>
            </w:r>
          </w:p>
        </w:tc>
      </w:tr>
      <w:tr>
        <w:trPr/>
        <w:tc>
          <w:tcPr>
            <w:tcW w:w="411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pPr>
            <w:r>
              <w:rPr/>
              <w:t>(224</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center"/>
          </w:tcPr>
          <w:p>
            <w:pPr>
              <w:pStyle w:val="TableContents"/>
              <w:bidi w:val="0"/>
              <w:spacing w:before="0" w:after="283"/>
              <w:jc w:val="right"/>
              <w:rPr/>
            </w:pPr>
            <w:r>
              <w:rPr/>
              <w:t>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1,213</w:t>
            </w:r>
          </w:p>
        </w:tc>
        <w:tc>
          <w:tcPr>
            <w:tcW w:w="73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Other income (expense), net</w:t>
            </w:r>
          </w:p>
        </w:tc>
        <w:tc>
          <w:tcPr>
            <w:tcW w:w="6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before="0" w:after="283"/>
              <w:jc w:val="right"/>
              <w:rPr/>
            </w:pPr>
            <w:r>
              <w:rPr/>
              <w:t>(224</w:t>
            </w:r>
          </w:p>
        </w:tc>
        <w:tc>
          <w:tcPr>
            <w:tcW w:w="99" w:type="dxa"/>
            <w:tcBorders/>
            <w:vAlign w:val="center"/>
          </w:tcPr>
          <w:p>
            <w:pPr>
              <w:pStyle w:val="TableContents"/>
              <w:bidi w:val="0"/>
              <w:spacing w:before="0" w:after="283"/>
              <w:jc w:val="left"/>
              <w:rPr/>
            </w:pPr>
            <w:r>
              <w:rPr/>
              <w:t>)</w:t>
            </w:r>
          </w:p>
        </w:tc>
        <w:tc>
          <w:tcPr>
            <w:tcW w:w="62"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tcMar>
              <w:bottom w:w="28" w:type="dxa"/>
            </w:tcMar>
            <w:vAlign w:val="center"/>
          </w:tcPr>
          <w:p>
            <w:pPr>
              <w:pStyle w:val="TableContents"/>
              <w:bidi w:val="0"/>
              <w:spacing w:before="0" w:after="283"/>
              <w:jc w:val="right"/>
              <w:rPr/>
            </w:pPr>
            <w:r>
              <w:rPr/>
              <w:t>866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1,213</w:t>
            </w:r>
          </w:p>
        </w:tc>
        <w:tc>
          <w:tcPr>
            <w:tcW w:w="73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3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Income (loss) before income taxes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10,878</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(142,295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9,020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(209,841</w:t>
            </w:r>
          </w:p>
        </w:tc>
        <w:tc>
          <w:tcPr>
            <w:tcW w:w="735" w:type="dxa"/>
            <w:tcBorders/>
            <w:vAlign w:val="center"/>
          </w:tcPr>
          <w:p>
            <w:pPr>
              <w:pStyle w:val="TableContents"/>
              <w:bidi w:val="0"/>
              <w:spacing w:before="0" w:after="283"/>
              <w:jc w:val="left"/>
              <w:rPr/>
            </w:pPr>
            <w:r>
              <w:rPr/>
              <w:t>)</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3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Income tax expense</w:t>
            </w:r>
          </w:p>
        </w:tc>
        <w:tc>
          <w:tcPr>
            <w:tcW w:w="6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tcMar>
              <w:bottom w:w="28" w:type="dxa"/>
            </w:tcMar>
            <w:vAlign w:val="center"/>
          </w:tcPr>
          <w:p>
            <w:pPr>
              <w:pStyle w:val="TableContents"/>
              <w:bidi w:val="0"/>
              <w:spacing w:before="0" w:after="283"/>
              <w:jc w:val="right"/>
              <w:rPr/>
            </w:pPr>
            <w:r>
              <w:rPr/>
              <w:t>(5,184</w:t>
            </w:r>
          </w:p>
        </w:tc>
        <w:tc>
          <w:tcPr>
            <w:tcW w:w="99" w:type="dxa"/>
            <w:tcBorders/>
            <w:vAlign w:val="center"/>
          </w:tcPr>
          <w:p>
            <w:pPr>
              <w:pStyle w:val="TableContents"/>
              <w:bidi w:val="0"/>
              <w:spacing w:before="0" w:after="283"/>
              <w:jc w:val="left"/>
              <w:rPr/>
            </w:pPr>
            <w:r>
              <w:rPr/>
              <w:t>)</w:t>
            </w:r>
          </w:p>
        </w:tc>
        <w:tc>
          <w:tcPr>
            <w:tcW w:w="62"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tcMar>
              <w:bottom w:w="28" w:type="dxa"/>
            </w:tcMar>
            <w:vAlign w:val="center"/>
          </w:tcPr>
          <w:p>
            <w:pPr>
              <w:pStyle w:val="TableContents"/>
              <w:bidi w:val="0"/>
              <w:spacing w:before="0" w:after="283"/>
              <w:jc w:val="right"/>
              <w:rPr/>
            </w:pPr>
            <w:r>
              <w:rPr/>
              <w:t>(1,041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(5,581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(1,897</w:t>
            </w:r>
          </w:p>
        </w:tc>
        <w:tc>
          <w:tcPr>
            <w:tcW w:w="735" w:type="dxa"/>
            <w:tcBorders/>
            <w:vAlign w:val="center"/>
          </w:tcPr>
          <w:p>
            <w:pPr>
              <w:pStyle w:val="TableContents"/>
              <w:bidi w:val="0"/>
              <w:spacing w:before="0" w:after="283"/>
              <w:jc w:val="left"/>
              <w:rPr/>
            </w:pPr>
            <w:r>
              <w:rPr/>
              <w:t>)</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3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Income (loss) from discontinued operations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5,694</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(143,336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3,439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(211,738</w:t>
            </w:r>
          </w:p>
        </w:tc>
        <w:tc>
          <w:tcPr>
            <w:tcW w:w="735" w:type="dxa"/>
            <w:tcBorders/>
            <w:vAlign w:val="center"/>
          </w:tcPr>
          <w:p>
            <w:pPr>
              <w:pStyle w:val="TableContents"/>
              <w:bidi w:val="0"/>
              <w:spacing w:before="0" w:after="283"/>
              <w:jc w:val="left"/>
              <w:rPr/>
            </w:pPr>
            <w:r>
              <w:rPr/>
              <w:t>)</w:t>
            </w:r>
          </w:p>
        </w:tc>
      </w:tr>
      <w:tr>
        <w:trPr/>
        <w:tc>
          <w:tcPr>
            <w:tcW w:w="4115" w:type="dxa"/>
            <w:tcBorders/>
            <w:shd w:fill="CCEEFF" w:val="clear"/>
            <w:vAlign w:val="center"/>
          </w:tcPr>
          <w:p>
            <w:pPr>
              <w:pStyle w:val="TableContents"/>
              <w:bidi w:val="0"/>
              <w:spacing w:before="0" w:after="283"/>
              <w:jc w:val="left"/>
              <w:rPr/>
            </w:pPr>
            <w:r>
              <w:rPr/>
              <w:t>Gain from sale of discontinued operations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pPr>
            <w:r>
              <w:rPr/>
              <w:t>216,069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216,069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3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Income (loss) from discontinued operations</w:t>
            </w:r>
          </w:p>
        </w:tc>
        <w:tc>
          <w:tcPr>
            <w:tcW w:w="60" w:type="dxa"/>
            <w:tcBorders/>
            <w:vAlign w:val="center"/>
          </w:tcPr>
          <w:p>
            <w:pPr>
              <w:pStyle w:val="TableContents"/>
              <w:bidi w:val="0"/>
              <w:spacing w:before="0" w:after="283"/>
              <w:jc w:val="left"/>
              <w:rPr/>
            </w:pPr>
            <w:r>
              <w:rPr/>
              <w:t> </w:t>
            </w:r>
          </w:p>
        </w:tc>
        <w:tc>
          <w:tcPr>
            <w:tcW w:w="146" w:type="dxa"/>
            <w:tcBorders>
              <w:bottom w:val="double" w:sz="10" w:space="0" w:color="000000"/>
            </w:tcBorders>
            <w:tcMar>
              <w:bottom w:w="28" w:type="dxa"/>
            </w:tcMar>
            <w:vAlign w:val="center"/>
          </w:tcPr>
          <w:p>
            <w:pPr>
              <w:pStyle w:val="TableContents"/>
              <w:bidi w:val="0"/>
              <w:spacing w:before="0" w:after="283"/>
              <w:jc w:val="left"/>
              <w:rPr/>
            </w:pPr>
            <w:r>
              <w:rPr/>
              <w:t>$</w:t>
            </w:r>
          </w:p>
        </w:tc>
        <w:tc>
          <w:tcPr>
            <w:tcW w:w="837" w:type="dxa"/>
            <w:tcBorders>
              <w:bottom w:val="double" w:sz="10" w:space="0" w:color="000000"/>
            </w:tcBorders>
            <w:tcMar>
              <w:bottom w:w="28" w:type="dxa"/>
            </w:tcMar>
            <w:vAlign w:val="center"/>
          </w:tcPr>
          <w:p>
            <w:pPr>
              <w:pStyle w:val="TableContents"/>
              <w:bidi w:val="0"/>
              <w:spacing w:before="0" w:after="283"/>
              <w:jc w:val="right"/>
              <w:rPr/>
            </w:pPr>
            <w:r>
              <w:rPr/>
              <w:t>221,763</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bottom w:val="double" w:sz="10" w:space="0" w:color="000000"/>
            </w:tcBorders>
            <w:tcMar>
              <w:bottom w:w="28" w:type="dxa"/>
            </w:tcMar>
            <w:vAlign w:val="center"/>
          </w:tcPr>
          <w:p>
            <w:pPr>
              <w:pStyle w:val="TableContents"/>
              <w:bidi w:val="0"/>
              <w:spacing w:before="0" w:after="283"/>
              <w:jc w:val="left"/>
              <w:rPr/>
            </w:pPr>
            <w:r>
              <w:rPr/>
              <w:t>$</w:t>
            </w:r>
          </w:p>
        </w:tc>
        <w:tc>
          <w:tcPr>
            <w:tcW w:w="916" w:type="dxa"/>
            <w:tcBorders>
              <w:bottom w:val="double" w:sz="10" w:space="0" w:color="000000"/>
            </w:tcBorders>
            <w:tcMar>
              <w:bottom w:w="28" w:type="dxa"/>
            </w:tcMar>
            <w:vAlign w:val="center"/>
          </w:tcPr>
          <w:p>
            <w:pPr>
              <w:pStyle w:val="TableContents"/>
              <w:bidi w:val="0"/>
              <w:spacing w:before="0" w:after="283"/>
              <w:jc w:val="right"/>
              <w:rPr/>
            </w:pPr>
            <w:r>
              <w:rPr/>
              <w:t>(143,336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219,508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(211,738</w:t>
            </w:r>
          </w:p>
        </w:tc>
        <w:tc>
          <w:tcPr>
            <w:tcW w:w="73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meeting the discontinued operations/assets held for sale criteria for Cards Plus and the MultiPay operations, the assets and liabilities have been reclassified as assets held for sale as of the respective balance sheet date as follows:</w:t>
      </w:r>
    </w:p>
    <w:p>
      <w:pPr>
        <w:pStyle w:val="TextBody"/>
        <w:bidi w:val="0"/>
        <w:spacing w:before="0" w:after="0"/>
        <w:ind w:left="0" w:right="0" w:hanging="0"/>
        <w:jc w:val="both"/>
        <w:rPr>
          <w:caps w:val="false"/>
          <w:smallCaps w:val="false"/>
        </w:rPr>
      </w:pPr>
      <w:r>
        <w:rPr>
          <w:caps w:val="false"/>
          <w:smallCaps w:val="false"/>
        </w:rPr>
        <w:t> </w:t>
      </w:r>
    </w:p>
    <w:tbl>
      <w:tblPr>
        <w:tblW w:w="6763" w:type="dxa"/>
        <w:jc w:val="left"/>
        <w:tblInd w:w="0" w:type="dxa"/>
        <w:tblLayout w:type="fixed"/>
        <w:tblCellMar>
          <w:top w:w="0" w:type="dxa"/>
          <w:left w:w="0" w:type="dxa"/>
          <w:bottom w:w="0" w:type="dxa"/>
          <w:right w:w="0" w:type="dxa"/>
        </w:tblCellMar>
      </w:tblPr>
      <w:tblGrid>
        <w:gridCol w:w="3845"/>
        <w:gridCol w:w="60"/>
        <w:gridCol w:w="365"/>
        <w:gridCol w:w="884"/>
        <w:gridCol w:w="60"/>
        <w:gridCol w:w="60"/>
        <w:gridCol w:w="209"/>
        <w:gridCol w:w="1205"/>
        <w:gridCol w:w="7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 xml:space="preserve">June 30, </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u w:val="single"/>
              </w:rPr>
            </w:pPr>
            <w:r>
              <w:rPr>
                <w:u w:val="single"/>
              </w:rPr>
              <w:t>Discontinued Operations</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0"/>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2,703</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Accounts receivable, net</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105,194</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3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10,562</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Current assets held for sale</w:t>
            </w:r>
          </w:p>
        </w:tc>
        <w:tc>
          <w:tcPr>
            <w:tcW w:w="60" w:type="dxa"/>
            <w:tcBorders/>
            <w:vAlign w:val="center"/>
          </w:tcPr>
          <w:p>
            <w:pPr>
              <w:pStyle w:val="TableContents"/>
              <w:bidi w:val="0"/>
              <w:spacing w:before="0" w:after="283"/>
              <w:jc w:val="left"/>
              <w:rPr/>
            </w:pPr>
            <w:r>
              <w:rPr/>
              <w:t> </w:t>
            </w:r>
          </w:p>
        </w:tc>
        <w:tc>
          <w:tcPr>
            <w:tcW w:w="3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118,459</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Noncurrent Assets:</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3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27,595</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Noncurrent assets held for sale</w:t>
            </w:r>
          </w:p>
        </w:tc>
        <w:tc>
          <w:tcPr>
            <w:tcW w:w="60" w:type="dxa"/>
            <w:tcBorders/>
            <w:vAlign w:val="center"/>
          </w:tcPr>
          <w:p>
            <w:pPr>
              <w:pStyle w:val="TableContents"/>
              <w:bidi w:val="0"/>
              <w:spacing w:before="0" w:after="283"/>
              <w:jc w:val="left"/>
              <w:rPr/>
            </w:pPr>
            <w:r>
              <w:rPr/>
              <w:t> </w:t>
            </w:r>
          </w:p>
        </w:tc>
        <w:tc>
          <w:tcPr>
            <w:tcW w:w="3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27,595</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Total assets held for sale</w:t>
            </w:r>
          </w:p>
        </w:tc>
        <w:tc>
          <w:tcPr>
            <w:tcW w:w="60" w:type="dxa"/>
            <w:tcBorders/>
            <w:vAlign w:val="center"/>
          </w:tcPr>
          <w:p>
            <w:pPr>
              <w:pStyle w:val="TableContents"/>
              <w:bidi w:val="0"/>
              <w:spacing w:before="0" w:after="283"/>
              <w:jc w:val="left"/>
              <w:rPr/>
            </w:pPr>
            <w:r>
              <w:rPr/>
              <w:t> </w:t>
            </w:r>
          </w:p>
        </w:tc>
        <w:tc>
          <w:tcPr>
            <w:tcW w:w="365" w:type="dxa"/>
            <w:tcBorders>
              <w:bottom w:val="double" w:sz="10" w:space="0" w:color="000000"/>
            </w:tcBorders>
            <w:tcMar>
              <w:bottom w:w="28" w:type="dxa"/>
            </w:tcMar>
            <w:vAlign w:val="center"/>
          </w:tcPr>
          <w:p>
            <w:pPr>
              <w:pStyle w:val="TableContents"/>
              <w:bidi w:val="0"/>
              <w:spacing w:before="0" w:after="283"/>
              <w:jc w:val="left"/>
              <w:rPr/>
            </w:pPr>
            <w:r>
              <w:rPr/>
              <w:t>$</w:t>
            </w:r>
          </w:p>
        </w:tc>
        <w:tc>
          <w:tcPr>
            <w:tcW w:w="884" w:type="dxa"/>
            <w:tcBorders>
              <w:bottom w:val="double" w:sz="10"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146,054</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36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8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13,759</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Total liabilities held for sale</w:t>
            </w:r>
          </w:p>
        </w:tc>
        <w:tc>
          <w:tcPr>
            <w:tcW w:w="60" w:type="dxa"/>
            <w:tcBorders/>
            <w:vAlign w:val="center"/>
          </w:tcPr>
          <w:p>
            <w:pPr>
              <w:pStyle w:val="TableContents"/>
              <w:bidi w:val="0"/>
              <w:spacing w:before="0" w:after="283"/>
              <w:jc w:val="left"/>
              <w:rPr/>
            </w:pPr>
            <w:r>
              <w:rPr/>
              <w:t> </w:t>
            </w:r>
          </w:p>
        </w:tc>
        <w:tc>
          <w:tcPr>
            <w:tcW w:w="365" w:type="dxa"/>
            <w:tcBorders>
              <w:bottom w:val="double" w:sz="10" w:space="0" w:color="000000"/>
            </w:tcBorders>
            <w:tcMar>
              <w:bottom w:w="28" w:type="dxa"/>
            </w:tcMar>
            <w:vAlign w:val="center"/>
          </w:tcPr>
          <w:p>
            <w:pPr>
              <w:pStyle w:val="TableContents"/>
              <w:bidi w:val="0"/>
              <w:spacing w:before="0" w:after="283"/>
              <w:jc w:val="left"/>
              <w:rPr/>
            </w:pPr>
            <w:r>
              <w:rPr/>
              <w:t>$</w:t>
            </w:r>
          </w:p>
        </w:tc>
        <w:tc>
          <w:tcPr>
            <w:tcW w:w="884" w:type="dxa"/>
            <w:tcBorders>
              <w:bottom w:val="double" w:sz="10"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13,759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meeting the discontinued operations/assets held for sale criteria for Cards Plus and the MultiPay operations, the cash flow activity related to discontinued operations is presented separately on the statement of cash flows as summarized below (unaudited):</w:t>
      </w:r>
    </w:p>
    <w:p>
      <w:pPr>
        <w:pStyle w:val="TextBody"/>
        <w:bidi w:val="0"/>
        <w:spacing w:before="0" w:after="0"/>
        <w:ind w:left="0" w:right="0" w:hanging="0"/>
        <w:jc w:val="both"/>
        <w:rPr>
          <w:caps w:val="false"/>
          <w:smallCaps w:val="false"/>
        </w:rPr>
      </w:pPr>
      <w:r>
        <w:rPr>
          <w:caps w:val="false"/>
          <w:smallCaps w:val="false"/>
        </w:rPr>
        <w:t> </w:t>
      </w:r>
    </w:p>
    <w:tbl>
      <w:tblPr>
        <w:tblW w:w="8570" w:type="dxa"/>
        <w:jc w:val="left"/>
        <w:tblInd w:w="0" w:type="dxa"/>
        <w:tblLayout w:type="fixed"/>
        <w:tblCellMar>
          <w:top w:w="0" w:type="dxa"/>
          <w:left w:w="0" w:type="dxa"/>
          <w:bottom w:w="0" w:type="dxa"/>
          <w:right w:w="0" w:type="dxa"/>
        </w:tblCellMar>
      </w:tblPr>
      <w:tblGrid>
        <w:gridCol w:w="6290"/>
        <w:gridCol w:w="60"/>
        <w:gridCol w:w="140"/>
        <w:gridCol w:w="800"/>
        <w:gridCol w:w="95"/>
        <w:gridCol w:w="60"/>
        <w:gridCol w:w="140"/>
        <w:gridCol w:w="875"/>
        <w:gridCol w:w="11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CASH FLOWS FROM OPERATING ACTIVITIES: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(407,030</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vAlign w:val="center"/>
          </w:tcPr>
          <w:p>
            <w:pPr>
              <w:pStyle w:val="TableContents"/>
              <w:bidi w:val="0"/>
              <w:spacing w:before="0" w:after="283"/>
              <w:jc w:val="left"/>
              <w:rPr/>
            </w:pPr>
            <w:r>
              <w:rPr/>
              <w:t>Adjustments to reconcile net loss with cash flows from operations: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39,774</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Impairment of intangible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211,703</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Accounts receivable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105,194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6,332</w:t>
            </w:r>
          </w:p>
        </w:tc>
        <w:tc>
          <w:tcPr>
            <w:tcW w:w="110" w:type="dxa"/>
            <w:tcBorders/>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Net investment in direct financing lease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(17,306</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Other current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10,562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106,920</w:t>
            </w:r>
          </w:p>
        </w:tc>
        <w:tc>
          <w:tcPr>
            <w:tcW w:w="110" w:type="dxa"/>
            <w:tcBorders/>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(140,653</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vAlign w:val="center"/>
          </w:tcPr>
          <w:p>
            <w:pPr>
              <w:pStyle w:val="TableContents"/>
              <w:bidi w:val="0"/>
              <w:spacing w:before="0" w:after="283"/>
              <w:jc w:val="left"/>
              <w:rPr/>
            </w:pPr>
            <w:r>
              <w:rPr/>
              <w:t>Accounts payable and accrued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(13,759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(11,425</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227,078</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Adjustments relating to discontinued operations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110,064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422,423</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Cashflows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113,503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15,393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Cards Plus – The Company recognized revenue for the design and production of cards at the point in time when products are shipped, or services have been performed due to the short-term nature of the contracts. Additionally, the cards produced by the Company have no alternative use and the Company has an enforceable right to payment for work performed should the contract be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MultiPay recognized revenue for variable fees generated for payment processing solutions that are earned on a usage fee over time based on monthly transaction volumes or on a monthly flat fee rate. Additionally, MultiPay also sells certain equipment from time to time for which revenue is recognized upon delivery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our business. While any litigation contains an element of uncertainty, we have no reason to believe the outcome of such proceedings will have a material adverse effect on the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rented office space in Long Beach, New York at a monthly cost of $2,500 in 2022. The agreement was month to month and could be terminated on 30 days notice. The lease agreement was terminated in July 2022. The agreement was between the Company and Bridgeworks LLC, an entity principally owned by Mr. Beck, the Company’s former CEO and Director and his family.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the Company signed a new lease agreement for one year and moved its headquarters to Denver, Colorado. The office monthly lease cost is approximately $1,500 per month. The Company did not renew the lease agreement after July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included in general and administrative on the Consolidated Statements of Operations for the six months ended June 30, 2023 was approximately $8,000. For the six months ended June 30, 2022, rent expense was approximately $80,000, inclusive of short-term leases of which $13,000 was for continuing operations and $67,000 for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SUBSEQUENT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2023 the Company filed a Certificate of Amendment to its Amended and Restated Certificate of Incorporations to effect a one-for-eight (1-for-8) reverse split which became effective on July 7, 2023 (See Note 8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Split, the Company received notice on July 24, 2023 from the Nasdaq Stock Market that the Company is now in compliance with the minimum bid price requirement under Nasdaq Listing Rule 5550(a)(2) and the matter raised by their letter of January 25, 2023 is now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authID Inc. is a leading provider of secure, authentication solutions delivered by our easy to integrate Verified platform. Our Verified platform binds strong passwordless authentication with biometric identity, which offers our customers a streamlined path to zero trust architecture. Verified FIDO2 passwordless authentication is certified by the FIDO Alliance to be compliant and interoperable with FIDO specifications.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explosive growth in online and mobile commerce, telemedicine, remote working and digital activities of all descriptions is self-evident to everyone who lived through the Covid 19 pandemic since 2020. Identity theft, phishing attacks, spear-phishing, password vulnerabilities, account takeovers, benefits fraud - it seems like these words have entered our daily lexicon overnight. These are significant impediments to the operations and growth of any business or organization, and dealing with the risks and consequences of these criminal activities has created significant friction in both time, cost and lost opportunity. Consider all the outdated methods that organizations have implemented in order to prevent fraud. The requests to receive and enter one-time passwords, that can be easily hijacked. The vulnerable security questions you get asked – whether on-line or when reaching out to a call center – what was your first pet’s name? who was your best friend in high school? These steps all add up to friction, making it difficult for consumers to login, transact and execute daily tasks, with little added protection from fraud. Surely there is a better way to address these challenges? authID believes there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provides secure, facial biometric, identity verification, and strong customer authentication. We maintain a global, cloud-based Verified platform for our enterprise customers or employees to enable their users to easily verify and authenticate their identity through a mobile device or desktop (with camera) of their choosing (without requiring dedicated hardware, or authentication apps). We can help our customers establish a proven identity, creating a root of trust that ensures the highest level of assurance for our passwordless login and step-up verification products. Our system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transformation across all market segments requires trusted identity. Our identity platform offers innovative solutions that are flexible, fast and easy to integrate and offer seamless user experiences. authID’s products help advance digital transformation efforts without the fear of identity fraud, while delivering frictionless user experiences. We believe that it is also essential that electronic transactions have an audit trail, proving that the identity of the individual was duly authenticated. Our platform provides biometric and multi-factor identity software, which are intended to establish, authenticate and verify identity across a wide range of use cases and electronic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products focus on the broad requirement for enabling frictionless commerce by allowing an entity to instantly “Recognise their Customer”, their Employee or their Member. Organizations of all descriptions require cost-effective and secure means of growing their business while mitigating identity fraud. We aim to offer our enterprise customers products that can be integrated easily into each of their business and organizational operations, in order to facilitate their adoption and enhance the end user customer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believes that some of the advantages of our Verified Platform approach are the ability to leverage the platform to support a variety of vertical markets and the adaptability of the platform to the requirements of new markets and new products requiring cost-effective, secure, and configurable mobile solutions. Our target markets include cybersecurity, workforce, banking, fintech and other disrupters of traditional commerce, small and medium sized businesses, and system integrators working with government and Fortune 1000 enterprises. At its core, the Company’s offering, combining its proprietary and acquired biometric and artificial intelligence technologies (or AI), is intended to facilitate frictionless commerce, whether in the physical or digital world. The Company intends to increase its investment in developing, patenting and acquiring the various elements necessary to enhance the platform, which are intended to allow us to achieve our goals. One of the principal intended areas of investment is to enhance and expand our use of artificial intelligence in proprietary software, that we believe will increase our value to enterprise customers and stockholders alike.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is dedicated to developing advanced methods of protecting consumer privacy and deploying ethical and socially responsible AI. authID is developing a culture that proactively encourages and rewards our employees for considering the ethical implications of our products. 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owns an entity in Colombia, MultiPay. On May 4, 2022, the Board approved a plan to exit from certain non-core activities comprising the MultiPay correspondent bank, payments services in Colombia and the Cards Plus cards manufacturing and printing business in South Africa. On August 29, 2022 the Company completed the sale of Cards Plus business. On June 30, 2023, the Company completed the exit of the MultiPay business. See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State of Delaware on September 21, 2011 and changed our name to authID Inc. on July 18,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under the trading symbol “AUID”. Our main address is 1580 North Logan Street, Suite 660, Unit 51767, Denver, CO 80203 and our main phone number is (516) 274-8700. We maintain a website at www.authID.ai. The information contained on, or that can be accessed through, our websites is not incorporated by reference into this prospectus and is intended for informational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financial statements included in this Quarterly Report have been prepared in accordance with United States GAAP assuming the Company will continue on a going concern basis, which implies the Company will continue to meet its obligations and continue its operations for the next year following the issuance date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the Company had an accumulated deficit of approximately $156.0 million. For the six months ended June 30, 2023, the Company earned revenue of approximately $0.07 million, used $4.2 million to fund its operations, and incurred a net loss from continuing operations of approximately $10.9 million. 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2023, the Company has secured additional financing of approximately $6.4 million net, which provides funding for its current operations as it continues to invest in its product, people, and technology. Although there is no guarantee, the Company projects that the investments will lead to revenue expansion thereby reducing liquidity needs. However,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profitable) and raise sufficient capital to maintain operations, there is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 Adjusted EBITDA is a non-GAAP financial measure that represents GAAP net income (loss) adjusted to exclude (1) interest expense and debt discount and debt issuance costs amortization expense, (2) interest income, (3) provision for income taxes, (4) depreciation and amortization, (5) stock-based compensation expense (stock options) and (6) loss on debt extinguishment, and conversion expense on exchange of Convertible Notes and certain other items management believes affect the comparability of operating results. 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Adjusted EBITDA has limitations as an analytical tool, and you should not consider it in isolation from, or as a substitute for, analysis of our results as reported under GAAP.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 does not reflect our cash expenditures or future requirements for capital expenditures or contractual commitments;</w:t>
            </w:r>
          </w:p>
        </w:tc>
      </w:tr>
    </w:tbl>
    <w:p>
      <w:pPr>
        <w:pStyle w:val="TextBody"/>
        <w:bidi w:val="0"/>
        <w:spacing w:before="0" w:after="0"/>
        <w:ind w:left="0" w:right="0" w:hanging="0"/>
        <w:jc w:val="both"/>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 does not reflect changes in, or cash requirements for, our working capital needs;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Although depreciation and amortization are non-cash charges, the assets being depreciated and amortized will often have to be replaced in the future, and Adjusted EBITDA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 does not include the impact of certain charges or gains resulting from matters we consider not to be indicative of our ongoing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Loss from Continuing Operations to Adjusted EBITDA Continuing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30"/>
        <w:gridCol w:w="60"/>
        <w:gridCol w:w="140"/>
        <w:gridCol w:w="1175"/>
        <w:gridCol w:w="95"/>
        <w:gridCol w:w="60"/>
        <w:gridCol w:w="140"/>
        <w:gridCol w:w="1055"/>
        <w:gridCol w:w="95"/>
        <w:gridCol w:w="60"/>
        <w:gridCol w:w="140"/>
        <w:gridCol w:w="1175"/>
        <w:gridCol w:w="95"/>
        <w:gridCol w:w="60"/>
        <w:gridCol w:w="140"/>
        <w:gridCol w:w="1175"/>
        <w:gridCol w:w="110"/>
      </w:tblGrid>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w:t>
              <w:br/>
              <w:t>Six Months Ended</w:t>
            </w:r>
          </w:p>
        </w:tc>
        <w:tc>
          <w:tcPr>
            <w:tcW w:w="11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(10,900,320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(6,366,520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(16,120,559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(11,466,525</w:t>
            </w:r>
          </w:p>
        </w:tc>
        <w:tc>
          <w:tcPr>
            <w:tcW w:w="110" w:type="dxa"/>
            <w:tcBorders/>
            <w:shd w:fill="CCEEFF" w:val="clear"/>
            <w:vAlign w:val="center"/>
          </w:tcPr>
          <w:p>
            <w:pPr>
              <w:pStyle w:val="TableContents"/>
              <w:bidi w:val="0"/>
              <w:spacing w:before="0" w:after="283"/>
              <w:jc w:val="left"/>
              <w:rPr/>
            </w:pPr>
            <w:r>
              <w:rPr/>
              <w:t>)</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Addback: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282,109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459,262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1,082,182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493,904</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Other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(1,160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(1,160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(3,240</w:t>
            </w:r>
          </w:p>
        </w:tc>
        <w:tc>
          <w:tcPr>
            <w:tcW w:w="110" w:type="dxa"/>
            <w:tcBorders/>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283"/>
              <w:jc w:val="left"/>
              <w:rPr/>
            </w:pPr>
            <w:r>
              <w:rPr/>
              <w:t>Loss on debt extinguishment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380,741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380,741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Conversion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7,476,000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7,476,000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Severance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811,041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150,000</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Depreciation and amortization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76,019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244,448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152,036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460,833</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8,100</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Non-cash recruiting fees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(54,000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438,000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1,055,690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2,632,118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1,895,711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4,499,107</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Adjusted EBITDA continuing operations (Non-GAAP)</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(1,681,666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(3,023,376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(3,882,753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(5,857,821</w:t>
            </w:r>
          </w:p>
        </w:tc>
        <w:tc>
          <w:tcPr>
            <w:tcW w:w="11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2023 and June 30, 2022 –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2023, the Company’s revenues from Verified software licenses were approximately $36,000 and $72,000 compared to approximately $51,000 and $87,000 in the three and six months ended June 30, 2022. Verified software license revenue decreased due to certain one-time revenue customers in prior year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authentication services revenues were approximately $1,000 and $3,000, respectively during the three months and six months ended June 30, 2023 compared to approximately $15,000 and $145,000, respectively for the three months and six months ended June 30, 2022. Revenue from Legacy authentication services dropped significantly as the Company phased out older product offerings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2023 compared to the three and six months ended June 30, 2022, general and administrative expense decreased by approximately $2.1 million and $2.5 million principally due to the Company’s Labor Reduction Plan and other cost saving measures resulting in lower headcount costs and lower third party vendors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three-month and six-month periods ended June 30, 2023 compared to June 30, 2022, research and development expenses decreased by approximately $0.9 million and $1.2 million as the Company implemented the Labor Reduction Plan and decreased staffing and third party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 and amortization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2023 compared to June 30, 2022, depreciation and amortization expense was approximately $0.2 and $0.3 million less as the Company reduced the value of certain legacy business asset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expense,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includes interest expense, debt issuance and discount amortization expense. Interest expense decreased by approximately $0.2 million during the three month period ended June 30, 2023 compared to June 30, 2022 principally due to the exchange of Convertible Notes for common stock in May 2023. Interest expense increased by approximately $0.6 million during the six months ended June 30, 2023 due to the issuance of $9.2 million of Convertible Notes in late March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on debt extinguishment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2023, loss on debt extinguishment increased by approximately $0.4 million due to the write-off of unamortized debt issuance costs related to the Initial Promissory Note as the note balance was capitalized and extinguished in the periods. See Note 5 to the unaudited condensed consolidated financial statements “Working Capital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2023, conversion expense was approximately $7.5 million compared to $0 for the three and six months ended June 30, 2022 as a result of the additional shares issued by the Company in exchange for the Convertible Notes, above the number of shares that the Holders would have received upon conversion at the original conversion price under the Convertible Notes. See Note 6 to the unaudited condensed consolidated financial statements “Convertible Notes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2023 and June 30, 2022 –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2022, the Board approved a plan to exit from certain non-core activities comprising the MultiPay correspondent bank, payments services in Colombia and the Card Plus cards manufacturing and printing business in South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Cards Plus business in South Africa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2022, the Company completed the sale of Cards Plus business for a price of $300,000, less $3,272 in costs to sell, and recognized a loss of $188,247 from the transaction. Of the $300,000 gross proceeds, $150,000 was paid on closing and the remaining $150,000 is expected to be paid in a year, which is currently recorded in other current assets as of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MultiPay business in Colombia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2023, the Company completed the sale of MultiPay business software for a price of approximately $96,000 including VAT, less $20,000 in fixed assets write-off, and recognized approximately $216,000 net gain from the transaction. The gross proceeds is currently recorded in other current assets as of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approximately $6.0 million of cash on hand and approximately $5.5 million of working capital as of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approximately $4.2 million and $6.5 million in the six months ended June 30, 2023 and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 for the six months ended June 30, 2023 was $0 and cash used in investing activities for the six months ended June 30, 2022 was $30,000 for certain fixed assets and intangible assets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in the six months ended June 30, 2023 consisted of approximately $6.4 million in proceeds from the sale of common stock, net of offering costs, and $0.5 million initial drawdown net of debt issuance costs under the Company’s A&amp;R Facility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in the six months ended June 30, 2022 consisted of approximately $3.1 million net proceeds from sale of common stock, net of offering costs and approximately $8 million net proceeds from issuance of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Covid 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Covid-19 emerged globally in December 2019, and it has been declared a pandemic. Covid-19 is still impacting customers, business, results and financial condition throughout the world. The Company’s day-to-day operations have been impacted differently depending on geographic location and services that are being performed. The Company cannot predict the potential impact of any future pandemics.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Ukraine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war in Ukraine may impact the Company and its operations in a number of different ways, which are yet to be fully assessed and are therefore causing uncertainty. The Company works with third party sub-contractors for outsourced services, including software engineering and development, some of whom are based in Eastern Europe, including Ukraine. The Company also works with outsourced engineers and developers and third-party providers in other parts of the world, including the United States, Eastern Europe and Pakistan. While the continuing impact of this conflict and the response of the United States and other countries to it by means of trade and economic sanctions, or other actions is still unknown, any disruption of our ability to work with such contractors caused by this conflict could require the Company to seek alternative sub-contractors at short notice, which may give rise to additional costs and delays in delivering software and product upgrades.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impacting and potential interruption in energy and other supply chains resulting from military hostilities in Europe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Russia or other countries may prompt enterprises to adopt additional security measures such as those offered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hostilities continue and perhaps even thereafter as the situation in Europe unfolds, we may see increased volatility in financial markets which may make it more difficult for the Company to raise additional capital at the time when it needs to do so, or for financing to be available on acceptable terms. All or any of these risks separately, or in combination, could have a material adverse effect on our business,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material accounting policies that may be the most critical to understanding of the financial results and conditions are discussed in Note 1 of the unaudited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include disclosure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June 30, 2023, as a result of a material weakness discussed below, the Company’s disclosure controls and procedures were not effective to ensure that the information required to be disclosed by the Company in the report that it files or submits under the Exchange Act is recorded, processed, summarized, and reported within the time periods specified in SEC rules and 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Weakness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2023, the Company identified a material weakness in its internal control over financial reporting related to the review of accounting treatment for the Convertible Notes conversion transaction, which occurred during the period. The Convertible Note conversion transaction which gave rise to this issue (See Note 6 “Convertible Notes Payable”) was a complex and infrequent transaction, which requires particular accounting treatment. The correct accounting treatment was not immediately identified by the Company, due to the Company’s limited resources available for advanced technical analysis and advice, similar to other companies of our size. The correct accounting treatment was identified and reflected prior to filing of the quarterly report on Form 10-Q for the quarter ended June 30, 2023 and no previously published financial statements were impacted by this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 to remediate this material weakness is to undertake a review of the Company’s activities during each quarter in order to identify any potential complex accounting matters and then to engage a CPA advisory firm to review the proposed accounting treatment on any complex accounting matters that may arise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that term is defined in Rules 13a-15(f) and 15d-15(f) under the Exchange Act) that occurred during the six months ended June 30, 2023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 describing the major risks to our business can be found under Item 1A, “Risk Factors”, in our Annual Report on Form 10-K for the year ended December 31, 2022. Except as set forth below, which discusses a material weakness in our control over financial reporting as of June 30, 2023, there has been no material change in our risk factors from those previously discussed in the Annual Report on Form 10-K. We operate in a business environment that is sensitive to political, economic and regulatory uncertainty, including with respect to cybersecurity and infrastructure investment, all of which may also be compounded by any future global impact from the COVID-19 pandemic, the continuing war in Ukraine and inflationary pressures, rising energy prices and increases in interest rates (see “</w:t>
      </w:r>
      <w:r>
        <w:rPr>
          <w:rFonts w:ascii="Times New Roman;Times;Serif" w:hAnsi="Times New Roman;Times;Serif"/>
          <w:b w:val="false"/>
          <w:i/>
          <w:caps w:val="false"/>
          <w:smallCaps w:val="false"/>
          <w:sz w:val="20"/>
        </w:rPr>
        <w:t>Covid 19</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Ukraine</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is subject to changing regulations regarding corporate governance, disclosure controls, internal control over financial reporting and other compliance areas that will increase both our costs and the risk of noncompliance. If we fail to comply with these regulations, we could face difficulties in preparing and filing timely and accurate financial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Securities Exchange Act of 1934, as amended, or the Exchange Act, the Sarbanes-Oxley Act and the Dodd-Frank Act. We are also subject to the corporate governance and other listing rules of the Nasdaq Stock Market. Maintaining compliance with these rules and regulations, particularly after we cease to be an emerging growth company, will increase our legal, accounting and financial compliance costs, will make some activities more difficult, time-consuming and costly and may also place increased strain on our personnel, systems and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requires, among other things, that we maintain effective disclosure controls and procedures and at the time we cease to be an emerging growth company and a smaller reporting company, we will be required to provide attestation that we maintain effective disclosure controls and procedures by our registered public accounting firm. Any failure to develop or maintain effective controls, or any difficulties encountered in their implementation or improvement, could harm our operating results or cause us to fail to meet our reporting obligations. Any failure to implement and maintain effective internal control also could adversely affect the results of periodic management evaluations regarding the effectiveness of our internal control over financial reporting that are required to include in our periodic reports filed with the SEC, under Section 404(a) of the Sarbanes-Oxley Act or the annual auditor attestation reports regarding effectiveness of our internal controls over financial reporting that we will be required to include in our periodic reports filed with the SEC upon our ceasing to be an emerging growth company and a smaller reporting company, unless, under the JOBS Act, we meet certain criteria that would require such reports to be included prior to then, under Section 404(b) of the Sarbanes-Oxley Act. Ineffective disclosure controls and procedures and internal control over financial reporting could also cause investors to lose confidence in our reported financial and other information, which would likely have a negative effect on the trading price of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the effectiveness of our disclosure controls and procedures and internal control over financial reporting going forward, we will need to expend significant resources and provide significant management oversight. There is a substantial effort involved in continuing to implement appropriate processes, document our system of internal control over relevant processes, assess their design, remediate any deficiencies identified and test their operation. As a result, management’s attention may be diverted from other business concerns, which could harm our business, operating results and financial condition. These efforts will also involve substantial accounting-related costs. We may experience difficulty in meeting these reporting requirements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Item 4 of this Quarterly Report, we had a material weakness in our control over financial reporting as of June 30, 2023.  Management has taken action to implement a plan to remediate the various elements of this material weakness, with immediate effect in relation to the financial statement for the quarter ending September 30, 2023. The remediation plan is to undertake a review of the Company’s activities during each quarter in order to identify any potential complex accounting matters and then to engage a CPA advisory firm to review the proposed accounting treatment on any complex accounting matters that may arise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appropriately implement and maintain this remediation plan and maintain any other necessary controls currently in place or that we implement in the future and pending such implementation, or if any difficulties are encountered in their implementation or improvement, (1) our management might not be able to certify, and our independent registered public accounting firm might not be able to report on, the adequacy of our internal control over financial reporting, which would cause us to fail to meet our reporting obligations, (2) misstatements in our financial statements may occur that may not be prevented or detected on a timely basis and (3) we may be deemed to have significant deficiencies or material weaknesses, any of which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our internal controls are perceived as inadequate or that we are unable to produce timely or accurate financial statements, our stock price could decline and we could be subject to sanctions or investigations by the SEC or other regulatory authorities, which would require additional financial and management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23, 2023,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entered into a securities purchase agreement with accredited investors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pursuant to which the Company agreed to issue and sell, in a public offering an aggregate of 1,113,809 shares (the “</w:t>
      </w:r>
      <w:r>
        <w:rPr>
          <w:rFonts w:ascii="Times New Roman;Times;Serif" w:hAnsi="Times New Roman;Times;Serif"/>
          <w:b w:val="false"/>
          <w:i w:val="false"/>
          <w:caps w:val="false"/>
          <w:smallCaps w:val="false"/>
          <w:sz w:val="20"/>
          <w:u w:val="single"/>
        </w:rPr>
        <w:t>Registered Shares</w:t>
      </w:r>
      <w:r>
        <w:rPr>
          <w:rFonts w:ascii="Times New Roman;Times;Serif" w:hAnsi="Times New Roman;Times;Serif"/>
          <w:b w:val="false"/>
          <w:i w:val="false"/>
          <w:caps w:val="false"/>
          <w:smallCaps w:val="false"/>
          <w:sz w:val="20"/>
        </w:rPr>
        <w:t>”) of the Company’s common stock and in a concurrent private placement 1,120,351 shares (the “PIPE Shares”) of Common Stock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at a of $3.664 per share (or $4.00 if the purchaser is a director of the Company). The purchasers under the Purchase Agreement included Stephen J. Garchik (“</w:t>
      </w:r>
      <w:r>
        <w:rPr>
          <w:rFonts w:ascii="Times New Roman;Times;Serif" w:hAnsi="Times New Roman;Times;Serif"/>
          <w:b w:val="false"/>
          <w:i w:val="false"/>
          <w:caps w:val="false"/>
          <w:smallCaps w:val="false"/>
          <w:sz w:val="20"/>
          <w:u w:val="single"/>
        </w:rPr>
        <w:t>Garchik</w:t>
      </w:r>
      <w:r>
        <w:rPr>
          <w:rFonts w:ascii="Times New Roman;Times;Serif" w:hAnsi="Times New Roman;Times;Serif"/>
          <w:b w:val="false"/>
          <w:i w:val="false"/>
          <w:caps w:val="false"/>
          <w:smallCaps w:val="false"/>
          <w:sz w:val="20"/>
        </w:rPr>
        <w:t>”) and four directors of the Company, including the Chief Executive Officer and Chairman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Garchik, who is a Holder (as defined below), the collateral agent for the Convertible Notes and a shareholder of the Company, entered into that certain Amended and Restated Facility Agreement, dated March 8, 2023 (the “</w:t>
      </w:r>
      <w:r>
        <w:rPr>
          <w:rFonts w:ascii="Times New Roman;Times;Serif" w:hAnsi="Times New Roman;Times;Serif"/>
          <w:b w:val="false"/>
          <w:i w:val="false"/>
          <w:caps w:val="false"/>
          <w:smallCaps w:val="false"/>
          <w:sz w:val="20"/>
          <w:u w:val="single"/>
        </w:rPr>
        <w:t>A&amp;R Facility Agreement</w:t>
      </w:r>
      <w:r>
        <w:rPr>
          <w:rFonts w:ascii="Times New Roman;Times;Serif" w:hAnsi="Times New Roman;Times;Serif"/>
          <w:b w:val="false"/>
          <w:i w:val="false"/>
          <w:caps w:val="false"/>
          <w:smallCaps w:val="false"/>
          <w:sz w:val="20"/>
        </w:rPr>
        <w:t>”), with the Company and pursuant to the A&amp;R Facility Agreement, loaned $900,000 to the Company on March 9, 2023, pursuant to a promissory note in favor of Garchik (the “</w:t>
      </w:r>
      <w:r>
        <w:rPr>
          <w:rFonts w:ascii="Times New Roman;Times;Serif" w:hAnsi="Times New Roman;Times;Serif"/>
          <w:b w:val="false"/>
          <w:i w:val="false"/>
          <w:caps w:val="false"/>
          <w:smallCaps w:val="false"/>
          <w:sz w:val="20"/>
          <w:u w:val="single"/>
        </w:rPr>
        <w:t>Initial Promissory Note</w:t>
      </w:r>
      <w:r>
        <w:rPr>
          <w:rFonts w:ascii="Times New Roman;Times;Serif" w:hAnsi="Times New Roman;Times;Serif"/>
          <w:b w:val="false"/>
          <w:i w:val="false"/>
          <w:caps w:val="false"/>
          <w:smallCaps w:val="false"/>
          <w:sz w:val="20"/>
        </w:rPr>
        <w:t>”). In the Offering, the Company and Garchik agreed that the Company would offset the purchase price of certain shares that Garchik agreed to purchase pursuant to the Purchase Agreement against the Company’s obligations under, and the cancellation of, the A&amp;R Facility Agreement and the Initial Promissory Note and the related obligations of the Company’s subsidiaries ID Solutions, Inc., FIN Holdings, Inc. and Innovation in Motion, Inc.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under the guaranty that that the Guarantors had entered into as a condition to Garchik lending under the Initial Promissory Note. Accordingly, Garchik agreed that upon the closing of the Offering, the A&amp;R Facility Agreement, the Initial Promissory Note and the Guaranty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the Company entered into an exchange agreement with certain holders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of the March 2022 Senior Secured Convertible Notes (the “</w:t>
      </w:r>
      <w:r>
        <w:rPr>
          <w:rFonts w:ascii="Times New Roman;Times;Serif" w:hAnsi="Times New Roman;Times;Serif"/>
          <w:b w:val="false"/>
          <w:i w:val="false"/>
          <w:caps w:val="false"/>
          <w:smallCaps w:val="false"/>
          <w:sz w:val="20"/>
          <w:u w:val="single"/>
        </w:rPr>
        <w:t>Convertible Notes</w:t>
      </w:r>
      <w:r>
        <w:rPr>
          <w:rFonts w:ascii="Times New Roman;Times;Serif" w:hAnsi="Times New Roman;Times;Serif"/>
          <w:b w:val="false"/>
          <w:i w:val="false"/>
          <w:caps w:val="false"/>
          <w:smallCaps w:val="false"/>
          <w:sz w:val="20"/>
        </w:rPr>
        <w:t>”) of the Company (the “</w:t>
      </w:r>
      <w:r>
        <w:rPr>
          <w:rFonts w:ascii="Times New Roman;Times;Serif" w:hAnsi="Times New Roman;Times;Serif"/>
          <w:b w:val="false"/>
          <w:i w:val="false"/>
          <w:caps w:val="false"/>
          <w:smallCaps w:val="false"/>
          <w:sz w:val="20"/>
          <w:u w:val="single"/>
        </w:rPr>
        <w:t>Exchange Agreement</w:t>
      </w:r>
      <w:r>
        <w:rPr>
          <w:rFonts w:ascii="Times New Roman;Times;Serif" w:hAnsi="Times New Roman;Times;Serif"/>
          <w:b w:val="false"/>
          <w:i w:val="false"/>
          <w:caps w:val="false"/>
          <w:smallCaps w:val="false"/>
          <w:sz w:val="20"/>
        </w:rPr>
        <w:t>”), pursuant to which the Company issued 2,380,435 shares (the “</w:t>
      </w:r>
      <w:r>
        <w:rPr>
          <w:rFonts w:ascii="Times New Roman;Times;Serif" w:hAnsi="Times New Roman;Times;Serif"/>
          <w:b w:val="false"/>
          <w:i w:val="false"/>
          <w:caps w:val="false"/>
          <w:smallCaps w:val="false"/>
          <w:sz w:val="20"/>
          <w:u w:val="single"/>
        </w:rPr>
        <w:t>Exchange Shares</w:t>
      </w:r>
      <w:r>
        <w:rPr>
          <w:rFonts w:ascii="Times New Roman;Times;Serif" w:hAnsi="Times New Roman;Times;Serif"/>
          <w:b w:val="false"/>
          <w:i w:val="false"/>
          <w:caps w:val="false"/>
          <w:smallCaps w:val="false"/>
          <w:sz w:val="20"/>
        </w:rPr>
        <w:t>”) of common stock to the Holders in exchange for the Holders’ Convertible Notes principal balance and accrued interest (the “</w:t>
      </w:r>
      <w:r>
        <w:rPr>
          <w:rFonts w:ascii="Times New Roman;Times;Serif" w:hAnsi="Times New Roman;Times;Serif"/>
          <w:b w:val="false"/>
          <w:i w:val="false"/>
          <w:caps w:val="false"/>
          <w:smallCaps w:val="false"/>
          <w:sz w:val="20"/>
          <w:u w:val="single"/>
        </w:rPr>
        <w:t>Note Exchange</w:t>
      </w:r>
      <w:r>
        <w:rPr>
          <w:rFonts w:ascii="Times New Roman;Times;Serif" w:hAnsi="Times New Roman;Times;Serif"/>
          <w:b w:val="false"/>
          <w:i w:val="false"/>
          <w:caps w:val="false"/>
          <w:smallCaps w:val="false"/>
          <w:sz w:val="20"/>
        </w:rPr>
        <w:t>”) at a price of $3.776 per share or $4.12 if the Holder is a director, officer or insider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7, 2023, the Company entered into a further Securities Purchase Agreement and Exchange Agreement with an accredited investor pursuant to which the Company agreed to issue and sell 1,154 PIPE Shares at a price of $5.632 per share and issued 2,283 Exchange Shares in exchange for the Holder’s Convertible Note principal balance and accrued interest at a price of $5.80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Shares and the Exchange Shares were offered and sold in reliance upon exemption from the registration requirements under Section 4(a)(2) under the Securities Act of 1933, as amended, and/or Regulation D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Engagement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2023, the Company entered into an engagement agreement (the “</w:t>
      </w:r>
      <w:r>
        <w:rPr>
          <w:rFonts w:ascii="Times New Roman;Times;Serif" w:hAnsi="Times New Roman;Times;Serif"/>
          <w:b w:val="false"/>
          <w:i w:val="false"/>
          <w:caps w:val="false"/>
          <w:smallCaps w:val="false"/>
          <w:sz w:val="20"/>
          <w:u w:val="single"/>
        </w:rPr>
        <w:t>Engagement Agreement</w:t>
      </w:r>
      <w:r>
        <w:rPr>
          <w:rFonts w:ascii="Times New Roman;Times;Serif" w:hAnsi="Times New Roman;Times;Serif"/>
          <w:b w:val="false"/>
          <w:i w:val="false"/>
          <w:caps w:val="false"/>
          <w:smallCaps w:val="false"/>
          <w:sz w:val="20"/>
        </w:rPr>
        <w:t>”) with Madison Global Partners, LLC (“</w:t>
      </w:r>
      <w:r>
        <w:rPr>
          <w:rFonts w:ascii="Times New Roman;Times;Serif" w:hAnsi="Times New Roman;Times;Serif"/>
          <w:b w:val="false"/>
          <w:i w:val="false"/>
          <w:caps w:val="false"/>
          <w:smallCaps w:val="false"/>
          <w:sz w:val="20"/>
          <w:u w:val="single"/>
        </w:rPr>
        <w:t>Madison</w:t>
      </w:r>
      <w:r>
        <w:rPr>
          <w:rFonts w:ascii="Times New Roman;Times;Serif" w:hAnsi="Times New Roman;Times;Serif"/>
          <w:b w:val="false"/>
          <w:i w:val="false"/>
          <w:caps w:val="false"/>
          <w:smallCaps w:val="false"/>
          <w:sz w:val="20"/>
        </w:rPr>
        <w:t>”), pursuant to which Madison agreed to serve as non-exclusive exclusive placement agent for the issuance and sale of the Registered Shares and the PIPE Shares. The Company paid Madison an aggregate cash fee equal to 7.0% of the gross proceeds received by the Company from the sale of the securities in the Offering, $80,000 cash retainer fee and issued stock purchase warrants (the “</w:t>
      </w:r>
      <w:r>
        <w:rPr>
          <w:rFonts w:ascii="Times New Roman;Times;Serif" w:hAnsi="Times New Roman;Times;Serif"/>
          <w:b w:val="false"/>
          <w:i w:val="false"/>
          <w:caps w:val="false"/>
          <w:smallCaps w:val="false"/>
          <w:sz w:val="20"/>
          <w:u w:val="single"/>
        </w:rPr>
        <w:t>Madison Warrants</w:t>
      </w:r>
      <w:r>
        <w:rPr>
          <w:rFonts w:ascii="Times New Roman;Times;Serif" w:hAnsi="Times New Roman;Times;Serif"/>
          <w:b w:val="false"/>
          <w:i w:val="false"/>
          <w:caps w:val="false"/>
          <w:smallCaps w:val="false"/>
          <w:sz w:val="20"/>
        </w:rPr>
        <w:t>”) to purchase up to 156,712 shares of common stock of the Company at an exercise price of $3.664 per share, which equal to 7.0% of the aggregate number of Shares placed in the Offering. Pursuant to the Engagement Agreement, the Company reimbursed Madison $60,000 for fees and expenses of legal counsel and other out-of-pocket expenses. The Engagement Agreement has indemnity and other customary provisions for transactions of this nature. On May 12, 2023, in connection with certain recruitment services, the Company issued 187,500 common stock warrants to Madison III, LLC, an affiliate of Madison with a term of 5 years and an exercise price of $3.164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&amp; Executive Officer Stock Option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the Company made a grant of options to each of Messrs. Koehneman and Trelin and to Ms. White to acquire 15,625 shares of common stock and to each of Messrs. Jisser and Thompson to acquire 3,125 shares of common stock. Each such option is at the exercise price of $5.48 per share, exercisable for a period of ten years, vesting over a period of twelve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the Company made an additional grant of options to Mr. Szoke to acquire 50,000 shares of common stock at the exercise price of $5.48 per share, exercisable for a period of ten years, vesting subject to achievement of performance and service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the Company made an additional grant of options to Mr. Daguro to acquire 183,125 shares of common stock at an exercise price of $5.48 per share, exercisable for a period of ten years, vesting subject to achievement of performance and service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offers and sales of securities listed above were made to accredited investors. The issuance of the above securities is exempt from the registration requirements under Rule 4(a)(2) of the Securities Act of 1933, as amended, and/or Rule 506 as promulgated under Regulation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Engagement of Thomas R. Szoke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2023, the Company and Thomas R. Szoke, a director of the Company, entered an Offer Letter pursuant to which Mr. Szoke agreed to serve as Chief Technology Officer of the Company in consideration of an initial annual salary of $250,000. Mr. Szoke received an initial signing bonus of $20,833 and will be eligible for an annual target bonus of up to $200,000 based on performance milestones. For the period ending March 31, 2024, a bonus amount of $40,000 shall be payable upon the Company achieving increments of $1,000,000 in total contract value of all customer agreements less claw backs (“Bookings”) up to an aggregate of $5,000,000 in Bookings. For subsequent years, Mr. Szoke and the Compensation Committee of the Board will mutually agree as to the performance targets to earn for the annual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vesting criteria of Mr. Szoke’s Stock Options to acquire 12,500 shares of common stock at $2.64 exercise price previously granted to Mr. Szoke on March 14, 2023 (the “Original Grant”) were amended pursuant to an Amended and Restated Stock Non-Statutory Option Agreement providing for vesting subject to achievement of performance and service conditions. All other terms of the Original Grant were not changed. On June 28, 2023 the Company granted additional options to Mr. Szoke to acquire 50,000 shares of common stock at exercise price of $5.48 per share for a period of ten years vesting subject to achievement of performance and service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Mr. Szoke is at will and may be terminated at any time, with or without formal cause. The Company also entered an Executive Retention Agreement with Mr. Szoke,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Szoke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Szoke for the cost of continuation of health coverage for Mr. Szoke and his eligible dependents pursuant to COBRA until the earlier of 12 months following the termination date, the date Mr. Szoke and his dependents are eligible for health coverage from a new employer or the date Mr. Szoke and his eligible dependents are no longer eligible for COBRA.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Retention Agreement – Hang Thi Bich Pham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the Company entered a Retention Agreement with Ms. Pham, pursuant to which we agreed to provide specified retention bonus amounts subject to certain performance conditions in the aggregate amount of up to $240,625 and to accelerate the vesting on her equity awards upon termination. This Agreement replaces the previous Executive Retention Agreement dated April 25, 2022, which was terminated and a release granted in relation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2023 the Company received a notice letter from the Listing Qualifications staff of the NASDAQ Stock Market LLC (“Nasdaq”) that it was not in compliance with the Nasdaq Listing Rule 5550(a)(2) that the Company maintain a bid price for the Company’s common stock above $1.00 per share (the “Bid Price Requirement”). On April 4, 2023, the Company received a notice letter from the Listing Qualifications staff of Nasdaq indicating that the Company was not in compliance with Nasdaq Listing Rule 5550(b)(1) (“Rule 5550(b)(1)”) as the Company’s stockholders’ equity of $283,536, as reported on the Company’s Annual Report on Form 10-K for the period ended December 31, 2022, was below $2.5 million, which is the minimum stockholders’ equity required for compliance with Rule 5550(b)(1). Further, as of April 3, 2023, the Company did not meet the alternative compliance standards relating to the market value of listed securities, or net income from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result of the closing of the Offering and the Note Exchange in May 2023, the Company’s total stockholder equity is approximately $9.6 million, as reported on the Company’s form 10-Q for the period ended June 30, 2023. On May 30, 2023, the Company received notice from Nasdaq, that Nasdaq Staff has determined, that the Company complies with Rule 5550(b)(1), subject to its review of this quarterly report on Form 10-Q.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Split, the Company received notice on July 24, 2023 from Nasdaq that the Company is now in compliance with the Bid Price Requirement and the matter raised by their letter of January 25, 2023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Engagement of Rhoniel A. Daguro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2023, the Company and Rhoniel A. Daguro, a director of the Company, entered an Offer Letter pursuant to which Mr. Daguro agreed to serve as Chief Executive Officer of the Company in consideration of an initial annual salary of $400,000. Mr. Daguro will be eligible for an annual target bonus of up to $375,000 based on performance milestones. For the period ending March 31, 2024, a bonus amount of $75,000 shall be payable upon the Company achieving increments of $1,000,000 in total contract value of all customer agreements less claw backs (“Bookings”) up to an aggregate of $5,000,000 in Bookings. For subsequent years, Mr. Daguro and the Compensation Committee of the Board will mutually agree as to the performance targets to earn for the annual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2023 the Company provided Mr. Daguro with an initial grant of options (“Initial Grant”) to purchase 306,875 shares of common stock for a period of ten years vesting subject to achievement of performance and service conditions, at an exercise price of $3.176. On June 28, 2023 the Company made an additional grant of options to Mr. Daguro to acquire 183,125 shares of common stock at an exercise price of $5.48 per share for a period of ten years vesting subject to achievement of performance and service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Mr. Daguro is at will and may be terminated at any time, with or without formal cause. 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Separation – Thomas Thimot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23, 2023, the Company and Thomas Thimot entered into a Confidential Separation Agreement and General Release for the purposes of separation of Mr. Thimot from the Company as Chief Executive Officer and an employee by mutual consent and settling, compromising and resolving all claims between them. Mr. Thimot’s resignation was effective March 23, 2023. In addition to the Company paying all accrued but unpaid salary and providing reimbursement for all outstanding expenses, the Company has agreed to pay Mr. Thimot $325,000 which shall be deferred until the earlier of April 1, 2025 and a change of control of the Company and is subordinated to the initial advance in the amount of $900,000 made pursuant to the Amended &amp; Restated Facility Agreement entered into as of March 8, 2023 between the Company and Stephen Garchik, as well as to all present and future secured indebtedness of the Company under the Senior Convertible Notes issued by the Company as of March 21, 2022 and pursuant to such Facility Agreement. Mr. Thimot will also be eligible for certain health benefits. The exercise period with respect to Mr. Thimot’s stock option to acquire 32,813 shares of common stock at an exercise price of $62.4 per share was extended through March 23, 2027. All unvested grants or other equity awards lapsed and are no longer exercisable as of the separation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Garchik Facility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Facility Agreement with Stephen J. Garchik, who was and is a shareholder of the Company(“Garchik”), pursuant to which Garchik agreed to provide to the Company a $10.0 million unsecured standby line of credit facility that could be drawn down in several tranches, subject to certain conditions described in the Facility Agreement (the “Original Facility Agreement”). Pursuant to the Original Facility Agreement, the Company paid Garchik a facility commitment fee of 12,500 shares of our common stock (the “Facility Commitment Fee”) upon the effective date of the Original Facility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8, 2023, the Company entered into an Amended and Restated Facility Agreement with Garchik, pursuant to which the Company and Garchik amended and restated the Original Facility Agreement in its entirety (the “A&amp;R Facility Agreement”), to replace the credit facility contemplated by the Original Facility Agreement with (i) an initial credit facility to the Company in an amount of $900,000 (the “Initial Funding”) and (ii) the parties to use their reasonable best efforts after the Initial Funding to negotiate the terms of a subsequent credit facility in the aggregate amount of $2,700,000 (the “Subsequent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2023, pursuant to the A&amp;R Facility Agreement, the Company entered into a promissory note in favor of Garchik, pursuant to which Garchik loaned $900,000 to the Company. At the same time, as a condition to Garchik providing the Amount, certain of the Company’s subsidiaries, ID Solutions, Inc., FIN Holdings, Inc. and Innovation in Motion, Inc. entered into a guaranty of the Initial Promissory Note with Garchik. In connection with the A&amp;R Facility Agreement, on March 9, 2023, the Company and Garchik entered into the Release Agreement, pursuant to which the Company and Garchik mutually agreed to release any and all rights to make a claim against the other and any existing claims against the other arising out of or relating to the Original Facility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2023, the Company and Garchik agreed to cancel the Initial Promissory Note, terminate the A&amp;R Facility Agreement and Guaranty and satisfy and offset the outstanding balance of the Initial Promissory Note, plus accrued and unpaid interest in the amount of $929,250 against the purchase price of certain shares of common stock of the Company. All unamortized debt issuance costs related to the Initial Promissory Note and the A&amp;R Facility Agreement were recorded as a reduction of the additional paid in capital. See Note 8 to the unaudited Condensed Consolidated Financial Statements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2023, Mr. Thimot tendered his resignation as Chief Executive Officer to the Company, which became effective upon the appointment of his successor on March 23, 2023. Before the A&amp;R Facility Agreement was entered into, Mr. Thimot, Phillip L. Kumnick, Philip R. Broenniman, Michael A. Gorriz and Neepa Patel (the “Retiring Directors”) tendered their resignations from the Board of Directors of the Company which became effective upon the Initial Funding. The Company thanks the Retiring Directors for their dedicated service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2023, the Board of Directors appointed Joseph Trelin to the Company’s Compensation and Audit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Nomination Right under the A&amp;R Facility Agreement, Mr. Garchik nominated Mr. Daguro, Ken Jisser, Michael Thompson and Thomas Szoke for appointment to the Board of Directors. On March 9, 2023, the Board of Directors appointed Messrs. Daguro, Jisser, Thompson and Szoke as additional directors of the Company (the “Additional Directors”) and reduced the size of the Board of Directors from 8 directors to 7 directors, with effect from the resignations of the Retiring Directors. Under the terms of the A&amp;R Facility Agreement, the Nomination Right expired upon the appointment of the four (4) Additional Directors to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Budget – Labor Reduction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2023, the Company’s Board of Directors resolved to implement a revised budget for 2023 in order to reduce expenses and cash requirements and as part of such revised budget decided to re-balance staffing levels to better align with the evolving needs of the Company (the “Labor Reduction Plan”). Under the Labor Reduction Plan, 12 employees and 6 contractors have left the Company. The Company has also given termination notice to certain vendors and contractors that provide services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Cecil N. Smith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Cecil N. Smith III ceased to be an employee, and the President and Chief Technology Officer of the Company pursuant to the Labor Reduction Plan. The Company had entered into an Executive Retention Agreement with Mr. Smith dated as of June 14, 2021, which provides for certain benefits upon termination of Mr. Smith’s employment and Mr. Smith subsequently signed a release of all prior claims in consideration of the payments to be made by the Company under the Executive Retention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Resignation of </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Annie Pham and Engagement of Edward Sellitto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Annie Pham resigned as Chief Financial Officer effective August 15, 2023. On July 31, 2023, the Company and Edward Sellitto entered an Offer Letter pursuant to which Mr. Sellitto agreed to serve as Chief Financial Officer of the Company commencing August 15, 2023 in consideration of an annual salary of $250,000. Annie Pham will continue to assist the Company during the transition on a consulting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65"/>
        <w:gridCol w:w="60"/>
        <w:gridCol w:w="9080"/>
      </w:tblGrid>
      <w:tr>
        <w:trPr/>
        <w:tc>
          <w:tcPr>
            <w:tcW w:w="106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both"/>
              <w:rPr/>
            </w:pPr>
            <w:r>
              <w:rPr/>
              <w:t> </w:t>
            </w:r>
          </w:p>
        </w:tc>
        <w:tc>
          <w:tcPr>
            <w:tcW w:w="9080"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 (1)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Amended &amp; Restated Certificate of Incorporation</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 (19)</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Amended &amp; Restated Bylaws as of July 18, 2022</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Certificate of Amendment dated June 1, 2021</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3.4 (19)</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Certificate of Amendment to Amended and Restated Certificate of Incorporation as of July 18, 2022</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 (20)</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Certificate of Amendment to Amended and Restated Certificate of Incorporation as of September 21, 2022</w:t>
              </w:r>
            </w:hyperlink>
          </w:p>
        </w:tc>
      </w:tr>
      <w:tr>
        <w:trPr/>
        <w:tc>
          <w:tcPr>
            <w:tcW w:w="1065" w:type="dxa"/>
            <w:tcBorders/>
            <w:tcMar>
              <w:bottom w:w="0" w:type="dxa"/>
            </w:tcMar>
            <w:vAlign w:val="center"/>
          </w:tcPr>
          <w:p>
            <w:pPr>
              <w:pStyle w:val="TableContents"/>
              <w:bidi w:val="0"/>
              <w:spacing w:before="0" w:after="283"/>
              <w:jc w:val="both"/>
              <w:rPr/>
            </w:pPr>
            <w:r>
              <w:rPr/>
              <w:t>3.6 (29)</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8">
              <w:r>
                <w:rPr>
                  <w:rStyle w:val="InternetLink"/>
                </w:rPr>
                <w:t>Certificate of Amendment to the Amended and Restated Certificate of Incorporation dates June 26, 2023</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 (3)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Form of Stock Option</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 (4)</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Form of 8.0% Convertible Note</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 (5)</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Form of 15.0% Convertible Note</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 (5)</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Amended and Restated Promissory Note issued to The Theodore Stern Revocable Trust</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 (6)</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Paycheck Protection Program Term Note dated May 6, 2020</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 (7)</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Paycheck Protection Program Term Note dated February 1, 2021</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 (23)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Description of the Registrant’s Securities</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 (3)</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Form of Director Agreement</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 (3)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Form of Indemnification Agreement</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10.5 (9)</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2017 Incentive Stock Plan</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10.7 (3)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Executive Retention Agreement entered between the Company and Thomas L. Thimot dated June 14, 2021</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10.8 (3)</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Executive Retention Agreement entered between the Company and Cecil N. Smith III dated June 14, 2021</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10.9 (3)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Letter Agreement between the Company and Thomas L. Thimot dated June 14, 2021</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10.10 (3)</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Letter Agreement between the Company and Cecil N. Smith III dated June 14, 2021</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10.11 (13)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Letter Agreement between the Company and Phillip L. Kumnick dated as November 5, 2021</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10.12 (13)</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Letter Agreement between the Company and Philip R. Broenniman dated as November 5, 2021</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10.13 (14)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AuthID Inc. 2021 Equity Incentive Plan</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10.14 (16)</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sz w:val="20"/>
                </w:rPr>
                <w:t>Letter Agreement between AuthID Inc. and Thomas Szoke dated November 19, 2021</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10.15 (15)</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sz w:val="20"/>
                </w:rPr>
                <w:t>Form of Securities Purchase Agreement entered into between the Company and the Note Investors dated March 21, 2022.</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10.16 (15)</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sz w:val="20"/>
                </w:rPr>
                <w:t>Form of Senior Secured Convertible Note issued by the Company to the Note Investors dated March 21, 2022.</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10.17 (15)</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sz w:val="20"/>
                </w:rPr>
                <w:t>Security and Pledge Agreement entered into between the Company and Stephen J. Garchik as Collateral Agent dated March 21, 2022.</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10.19 (15)</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sz w:val="20"/>
                </w:rPr>
                <w:t>Form of Registration Rights Agreement entered into between the Company and the Note Investors dated March 21, 2022.</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10.20 (15)</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sz w:val="20"/>
                </w:rPr>
                <w:t>Facility Agreement entered into between the Company and Stephen J. Garchik dated March 21, 2022.</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10.21 (15)</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sz w:val="20"/>
                </w:rPr>
                <w:t>Form of Subscription Agreement entered into between the Company and the PIPE Investors dated March 21, 2022.</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10.22 (17)</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sz w:val="20"/>
                </w:rPr>
                <w:t>Letter Agreement between Joseph Trelin and AuthID Inc. dated April 18, 2022</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10.23 (18)</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sz w:val="20"/>
                </w:rPr>
                <w:t>Letter Agreement between Annie Pham and AuthID Inc. dated April 18, 2022</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10.24 (21)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sz w:val="20"/>
                </w:rPr>
                <w:t>Amended and Restated Facility Agreement between the Company and Stephen J. Garchik dated March 8, 2023.</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10.25 (21)</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sz w:val="20"/>
                </w:rPr>
                <w:t>Promissory Note between the Company and Stephen J. Garchik dated March 9, 2023.</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10.26 (21)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sz w:val="20"/>
                </w:rPr>
                <w:t>Guaranty Agreement by FIN Holdings Inc., Innovation in Motion, Inc. and ID Solutions, Inc. in favor of Stephen J. Garchik dated March 9, 2023.</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10.27 (21)</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sz w:val="20"/>
                </w:rPr>
                <w:t>Release Agreement between the Company and Stephen J. Garchik dated March 9, 2023.</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10.28 (22)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sz w:val="20"/>
                </w:rPr>
                <w:t>Letter Agreement between Rhoniel Daguro  and AuthID Inc. dated March 23, 2023</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10.29 (22)</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sz w:val="20"/>
                </w:rPr>
                <w:t>Executive Retention  Agreement between Rhoniel Daguro  and AuthID Inc. dated March 23, 2023</w:t>
              </w:r>
            </w:hyperlink>
          </w:p>
        </w:tc>
      </w:tr>
      <w:tr>
        <w:trPr/>
        <w:tc>
          <w:tcPr>
            <w:tcW w:w="1065" w:type="dxa"/>
            <w:tcBorders/>
            <w:shd w:fill="CCEEFF" w:val="clear"/>
            <w:tcMar>
              <w:bottom w:w="0" w:type="dxa"/>
            </w:tcMar>
            <w:vAlign w:val="center"/>
          </w:tcPr>
          <w:p>
            <w:pPr>
              <w:pStyle w:val="TableContents"/>
              <w:bidi w:val="0"/>
              <w:spacing w:before="0" w:after="283"/>
              <w:jc w:val="both"/>
              <w:rPr/>
            </w:pPr>
            <w:r>
              <w:rPr/>
              <w:t>10.30 (22)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Confidential Separation Agreement and General Release between Thomas Thimot and authID Inc. Dated March 23, 2023</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10.31 (24)</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42">
              <w:r>
                <w:rPr>
                  <w:rStyle w:val="InternetLink"/>
                </w:rPr>
                <w:t>Letter Agreement between Thomas Szoke and AuthID Inc. dated April 12, 2023</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10.32 (24)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sz w:val="20"/>
                </w:rPr>
                <w:t>Executive Retention  Agreement between Thomas Szoke and AuthID Inc. dated April 12, 2023</w:t>
              </w:r>
            </w:hyperlink>
          </w:p>
        </w:tc>
      </w:tr>
      <w:tr>
        <w:trPr/>
        <w:tc>
          <w:tcPr>
            <w:tcW w:w="1065" w:type="dxa"/>
            <w:tcBorders/>
            <w:tcMar>
              <w:bottom w:w="0" w:type="dxa"/>
            </w:tcMar>
            <w:vAlign w:val="center"/>
          </w:tcPr>
          <w:p>
            <w:pPr>
              <w:pStyle w:val="TableContents"/>
              <w:bidi w:val="0"/>
              <w:spacing w:before="0" w:after="283"/>
              <w:jc w:val="both"/>
              <w:rPr/>
            </w:pPr>
            <w:r>
              <w:rPr/>
              <w:t>10.33 (26)</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44">
              <w:r>
                <w:rPr>
                  <w:rStyle w:val="InternetLink"/>
                </w:rPr>
                <w:t>Executive Retention Agreement between Annie Pham and AuthID Inc. dated May 11, 2023</w:t>
              </w:r>
            </w:hyperlink>
          </w:p>
        </w:tc>
      </w:tr>
      <w:tr>
        <w:trPr/>
        <w:tc>
          <w:tcPr>
            <w:tcW w:w="1065" w:type="dxa"/>
            <w:tcBorders/>
            <w:shd w:fill="CCEEFF" w:val="clear"/>
            <w:tcMar>
              <w:bottom w:w="0" w:type="dxa"/>
            </w:tcMar>
            <w:vAlign w:val="center"/>
          </w:tcPr>
          <w:p>
            <w:pPr>
              <w:pStyle w:val="TableContents"/>
              <w:bidi w:val="0"/>
              <w:spacing w:before="0" w:after="283"/>
              <w:jc w:val="both"/>
              <w:rPr/>
            </w:pPr>
            <w:r>
              <w:rPr/>
              <w:t>10.34 (27)**</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45">
              <w:r>
                <w:rPr>
                  <w:rStyle w:val="InternetLink"/>
                </w:rPr>
                <w:t>Form of Securities Purchase Agreement dated as of May 23, 2023 between the Company and accredited investors</w:t>
              </w:r>
            </w:hyperlink>
          </w:p>
        </w:tc>
      </w:tr>
      <w:tr>
        <w:trPr/>
        <w:tc>
          <w:tcPr>
            <w:tcW w:w="1065" w:type="dxa"/>
            <w:tcBorders/>
            <w:tcMar>
              <w:bottom w:w="0" w:type="dxa"/>
            </w:tcMar>
            <w:vAlign w:val="center"/>
          </w:tcPr>
          <w:p>
            <w:pPr>
              <w:pStyle w:val="TableContents"/>
              <w:bidi w:val="0"/>
              <w:spacing w:before="0" w:after="283"/>
              <w:jc w:val="both"/>
              <w:rPr/>
            </w:pPr>
            <w:r>
              <w:rPr/>
              <w:t>10.35 (27)</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46">
              <w:r>
                <w:rPr>
                  <w:rStyle w:val="InternetLink"/>
                </w:rPr>
                <w:t>Engagement Agreement dates as of April 20, 2023 between the Company and Madison Global Partners LLC</w:t>
              </w:r>
            </w:hyperlink>
          </w:p>
        </w:tc>
      </w:tr>
      <w:tr>
        <w:trPr/>
        <w:tc>
          <w:tcPr>
            <w:tcW w:w="1065" w:type="dxa"/>
            <w:tcBorders/>
            <w:shd w:fill="CCEEFF" w:val="clear"/>
            <w:tcMar>
              <w:bottom w:w="0" w:type="dxa"/>
            </w:tcMar>
            <w:vAlign w:val="center"/>
          </w:tcPr>
          <w:p>
            <w:pPr>
              <w:pStyle w:val="TableContents"/>
              <w:bidi w:val="0"/>
              <w:spacing w:before="0" w:after="283"/>
              <w:jc w:val="both"/>
              <w:rPr/>
            </w:pPr>
            <w:r>
              <w:rPr/>
              <w:t>10.36 (27)</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47">
              <w:r>
                <w:rPr>
                  <w:rStyle w:val="InternetLink"/>
                </w:rPr>
                <w:t>Stock Purchase Warrant dated May 26, 2023 issued to Madison Global Partners LLC</w:t>
              </w:r>
            </w:hyperlink>
          </w:p>
        </w:tc>
      </w:tr>
      <w:tr>
        <w:trPr/>
        <w:tc>
          <w:tcPr>
            <w:tcW w:w="1065" w:type="dxa"/>
            <w:tcBorders/>
            <w:tcMar>
              <w:bottom w:w="0" w:type="dxa"/>
            </w:tcMar>
            <w:vAlign w:val="center"/>
          </w:tcPr>
          <w:p>
            <w:pPr>
              <w:pStyle w:val="TableContents"/>
              <w:bidi w:val="0"/>
              <w:spacing w:before="0" w:after="283"/>
              <w:jc w:val="both"/>
              <w:rPr/>
            </w:pPr>
            <w:r>
              <w:rPr/>
              <w:t>10.37 (27)**</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48">
              <w:r>
                <w:rPr>
                  <w:rStyle w:val="InternetLink"/>
                </w:rPr>
                <w:t>Form of Exchange Agreement dates as of May 23, 2023 between the Company and certain Holders</w:t>
              </w:r>
            </w:hyperlink>
          </w:p>
        </w:tc>
      </w:tr>
      <w:tr>
        <w:trPr/>
        <w:tc>
          <w:tcPr>
            <w:tcW w:w="1065" w:type="dxa"/>
            <w:tcBorders/>
            <w:shd w:fill="CCEEFF" w:val="clear"/>
            <w:tcMar>
              <w:bottom w:w="0" w:type="dxa"/>
            </w:tcMar>
            <w:vAlign w:val="center"/>
          </w:tcPr>
          <w:p>
            <w:pPr>
              <w:pStyle w:val="TableContents"/>
              <w:bidi w:val="0"/>
              <w:spacing w:before="0" w:after="283"/>
              <w:jc w:val="both"/>
              <w:rPr/>
            </w:pPr>
            <w:r>
              <w:rPr/>
              <w:t>10.38 (30)</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49">
              <w:r>
                <w:rPr>
                  <w:rStyle w:val="InternetLink"/>
                </w:rPr>
                <w:t>Letter Agreement between Edward Sellitto and authID Inc. dated July 31, 2023</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14.1 (10)</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r:id="rId50">
              <w:r>
                <w:rPr>
                  <w:rStyle w:val="InternetLink"/>
                  <w:rFonts w:ascii="Times New Roman;Times;Serif" w:hAnsi="Times New Roman;Times;Serif"/>
                  <w:sz w:val="20"/>
                </w:rPr>
                <w:t>Code of Ethics</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 (25)</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r:id="rId51">
              <w:r>
                <w:rPr>
                  <w:rStyle w:val="InternetLink"/>
                  <w:rFonts w:ascii="Times New Roman;Times;Serif" w:hAnsi="Times New Roman;Times;Serif"/>
                  <w:sz w:val="20"/>
                </w:rPr>
                <w:t>List of Subsidiaries</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w:anchor="f10q0623ex31-1_authidinc.htm">
              <w:r>
                <w:rPr>
                  <w:rStyle w:val="InternetLink"/>
                  <w:rFonts w:ascii="Times New Roman;Times;Serif" w:hAnsi="Times New Roman;Times;Serif"/>
                  <w:sz w:val="20"/>
                </w:rPr>
                <w:t>Certification of Chief Executive Officer pursuant to Rule 13a-14(a)/15d-14(a) of the Securities Exchange Act</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pPr>
            <w:hyperlink w:anchor="f10q0623ex31-2_authidinc.htm">
              <w:r>
                <w:rPr>
                  <w:rStyle w:val="InternetLink"/>
                  <w:rFonts w:ascii="Times New Roman;Times;Serif" w:hAnsi="Times New Roman;Times;Serif"/>
                  <w:sz w:val="20"/>
                </w:rPr>
                <w:t>Certification of Chief Financial Officer pursuant to Rule 13a-14(a)/15d-14(a) of the Securities Exchange Act</w:t>
              </w:r>
            </w:hyperlink>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32.1*</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pPr>
            <w:hyperlink w:anchor="f10q0623ex32-1_authidinc.htm">
              <w:r>
                <w:rPr>
                  <w:rStyle w:val="InternetLink"/>
                  <w:rFonts w:ascii="Times New Roman;Times;Serif" w:hAnsi="Times New Roman;Times;Serif"/>
                  <w:sz w:val="20"/>
                </w:rPr>
                <w:t>Certification of Chief Executive Officer and Chief Financial Officer pursuant to 18 U.S.C. §1350, as adopted pursuant to Section 906 of the Sarbanes-Oxley Act of 2002</w:t>
              </w:r>
            </w:hyperlink>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 *</w:t>
            </w:r>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101.SCH</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 *</w:t>
            </w:r>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 *</w:t>
            </w:r>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101.DEF</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 *</w:t>
            </w:r>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 *</w:t>
            </w:r>
          </w:p>
        </w:tc>
      </w:tr>
      <w:tr>
        <w:trPr/>
        <w:tc>
          <w:tcPr>
            <w:tcW w:w="10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101.PRE</w:t>
            </w:r>
          </w:p>
        </w:tc>
        <w:tc>
          <w:tcPr>
            <w:tcW w:w="60" w:type="dxa"/>
            <w:tcBorders/>
            <w:tcMar>
              <w:bottom w:w="0" w:type="dxa"/>
            </w:tcMar>
            <w:vAlign w:val="center"/>
          </w:tcPr>
          <w:p>
            <w:pPr>
              <w:pStyle w:val="TableContents"/>
              <w:bidi w:val="0"/>
              <w:spacing w:before="0" w:after="283"/>
              <w:jc w:val="both"/>
              <w:rPr/>
            </w:pPr>
            <w:r>
              <w:rPr/>
              <w:t> </w:t>
            </w:r>
          </w:p>
        </w:tc>
        <w:tc>
          <w:tcPr>
            <w:tcW w:w="908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 *</w:t>
            </w:r>
          </w:p>
        </w:tc>
      </w:tr>
      <w:tr>
        <w:trPr/>
        <w:tc>
          <w:tcPr>
            <w:tcW w:w="10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schedules and exhibits to this agreement have been omitted pursuant to Instruction 4 to Item 1.01 of Form 8-K. A copy of any omitted schedule or exhibit will be furnished to the SEC upon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March 23, 2021.</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January 22, 2021.</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June 15, 2021.</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December 16, 2019.</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February 18, 2020.</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May 13, 2020.</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10-Q Quarterly Report filed with the Securities Exchange Commission on May 6, 2021.</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February 6, 2017.</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10-Q Quarterly Report filed with the Securities Exchange Commission on May 4, 2018.</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10-K Annual Report filed with the Securities Exchange Commission on July 12, 2017.</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February 1, 2017.</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S-1/A Amendment No. 1 to the S-1 Registration Statement filed with the Securities Exchange Commission on July 16, 2021.</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10-Q Quarterly Report filed with the Securities Exchange Commission on November 8, 2021.</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S-8 Registration Statement filed with the Securities Exchange Commission on February 1, 2022.</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March 21, 2022.</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10-K Annual Report filed with the Securities Exchange Commission on March 22, 2022.</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April 18, 2022.</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Incorporated by reference to the Form 8-K Current Report filed with the Securities Exchange Commission on April 27, 2022. </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Incorporated by reference to the Form 8-K Current Report filed with the Securities Exchange Commission on July 19, 2022. </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September 21, 2022.</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March 10, 2023.</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March 28, 2023.</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10-K Annual Report filed with the Securities Exchange Commission on March 30, 2023.</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April 18, 2023.</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10-Q Quarterly Report filed with the Securities Exchange Commission on May 11, 2023.</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(26)</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May 16, 2023.</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May 26, 2023.</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June 13, 2023.</w:t>
            </w:r>
          </w:p>
        </w:tc>
      </w:tr>
      <w:tr>
        <w:trPr/>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June 27, 2023.</w:t>
            </w:r>
          </w:p>
        </w:tc>
      </w:tr>
      <w:tr>
        <w:trPr/>
        <w:tc>
          <w:tcPr>
            <w:tcW w:w="403" w:type="dxa"/>
            <w:tcBorders/>
            <w:vAlign w:val="center"/>
          </w:tcPr>
          <w:p>
            <w:pPr>
              <w:pStyle w:val="TableContents"/>
              <w:bidi w:val="0"/>
              <w:spacing w:before="0" w:after="283"/>
              <w:jc w:val="both"/>
              <w:rPr/>
            </w:pPr>
            <w:r>
              <w:rPr/>
              <w:t>(30)</w:t>
            </w:r>
          </w:p>
        </w:tc>
        <w:tc>
          <w:tcPr>
            <w:tcW w:w="9802" w:type="dxa"/>
            <w:tcBorders/>
            <w:vAlign w:val="center"/>
          </w:tcPr>
          <w:p>
            <w:pPr>
              <w:pStyle w:val="TableContents"/>
              <w:bidi w:val="0"/>
              <w:spacing w:before="0" w:after="283"/>
              <w:jc w:val="both"/>
              <w:rPr/>
            </w:pPr>
            <w:r>
              <w:rPr/>
              <w:t>Incorporated by reference to the Form 8-K Current Report filed with the Securities Exchange Commission on August 3,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648"/>
        <w:jc w:val="left"/>
        <w:rPr>
          <w:caps w:val="false"/>
          <w:smallCaps w:val="false"/>
        </w:rPr>
      </w:pPr>
      <w:r>
        <w:rPr>
          <w:caps w:val="false"/>
          <w:smallCaps w:val="false"/>
        </w:rPr>
        <w:t> </w:t>
      </w:r>
    </w:p>
    <w:tbl>
      <w:tblPr>
        <w:tblW w:w="1055" w:type="dxa"/>
        <w:jc w:val="left"/>
        <w:tblInd w:w="0" w:type="dxa"/>
        <w:tblLayout w:type="fixed"/>
        <w:tblCellMar>
          <w:top w:w="0" w:type="dxa"/>
          <w:left w:w="0" w:type="dxa"/>
          <w:bottom w:w="0" w:type="dxa"/>
          <w:right w:w="0" w:type="dxa"/>
        </w:tblCellMar>
      </w:tblPr>
      <w:tblGrid>
        <w:gridCol w:w="75"/>
        <w:gridCol w:w="980"/>
      </w:tblGrid>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authID Inc.</w:t>
            </w:r>
          </w:p>
        </w:tc>
      </w:tr>
    </w:tbl>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1970"/>
        <w:gridCol w:w="320"/>
        <w:gridCol w:w="3650"/>
      </w:tblGrid>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Rhoniel Daguro</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Rhoniel A. Daguro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Hang Thi Bich Pham</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 Thi Bich Pham</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10, 2023</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pPr>
      <w:bookmarkStart w:id="21" w:name="f10q0623ex31-1_authidinc.htm"/>
      <w:bookmarkStart w:id="22" w:name="ksf10q0623ex311_authidinc"/>
      <w:bookmarkEnd w:id="21"/>
      <w:bookmarkEnd w:id="2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CERTIFICATION OF PRINCIPAL EXECUTIVE OFFICER</w:t>
        <w:br/>
        <w:t>PURSUANT TO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Rhoniel Daguro, Chief Executive Officer certify that:</w:t>
      </w:r>
    </w:p>
    <w:p>
      <w:pPr>
        <w:pStyle w:val="TextBody"/>
        <w:bidi w:val="0"/>
        <w:spacing w:before="0" w:after="0"/>
        <w:ind w:left="0" w:right="0" w:hanging="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authID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65"/>
        <w:gridCol w:w="2360"/>
      </w:tblGrid>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10, 2023</w:t>
            </w:r>
          </w:p>
        </w:tc>
        <w:tc>
          <w:tcPr>
            <w:tcW w:w="2360"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Rhoniel Daguro</w:t>
            </w:r>
          </w:p>
        </w:tc>
      </w:tr>
      <w:tr>
        <w:trPr/>
        <w:tc>
          <w:tcPr>
            <w:tcW w:w="18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Rhoniel Daguro</w:t>
            </w:r>
          </w:p>
        </w:tc>
      </w:tr>
      <w:tr>
        <w:trPr/>
        <w:tc>
          <w:tcPr>
            <w:tcW w:w="18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pPr>
      <w:bookmarkStart w:id="23" w:name="f10q0623ex31-2_authidinc.htm"/>
      <w:bookmarkStart w:id="24" w:name="ksf10q0623ex312_authidinc"/>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AND ACCOUNTING OFFICER</w:t>
        <w:br/>
        <w:t>PURSUANT TO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Hang Thi Bich Pham Chief Financial Officer, certify that:</w:t>
      </w:r>
    </w:p>
    <w:p>
      <w:pPr>
        <w:pStyle w:val="TextBody"/>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85"/>
        <w:gridCol w:w="534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authID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865"/>
        <w:gridCol w:w="3650"/>
      </w:tblGrid>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10, 2023</w:t>
            </w:r>
          </w:p>
        </w:tc>
        <w:tc>
          <w:tcPr>
            <w:tcW w:w="3650"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Hang Thi Bich Pham</w:t>
            </w:r>
          </w:p>
        </w:tc>
      </w:tr>
      <w:tr>
        <w:trPr/>
        <w:tc>
          <w:tcPr>
            <w:tcW w:w="18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 Thi Bich Pham</w:t>
            </w:r>
          </w:p>
        </w:tc>
      </w:tr>
      <w:tr>
        <w:trPr/>
        <w:tc>
          <w:tcPr>
            <w:tcW w:w="18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f10q0623ex32-1_authidinc.htm"/>
      <w:bookmarkStart w:id="26" w:name="ksf10q0623ex321_authidinc"/>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authID Inc. (the “Company”) on Form 10-Q for the quarter ended June 30, 2023 as filed with the Securities and Exchange Commission (the “Report”), I, Rhoniel Daguro, Chief Executive Officer of the Company, and, Hang Thi Bich Pham, Chief Financial Officer of the Company, certify, pursuant to 18 U.S.C. SS. 1350, as adopted pursuant to SS.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1385"/>
        <w:gridCol w:w="2360"/>
      </w:tblGrid>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2023</w:t>
            </w:r>
          </w:p>
        </w:tc>
        <w:tc>
          <w:tcPr>
            <w:tcW w:w="2360"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Rhoniel Daguro</w:t>
            </w:r>
          </w:p>
        </w:tc>
      </w:tr>
      <w:tr>
        <w:trPr/>
        <w:tc>
          <w:tcPr>
            <w:tcW w:w="138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Rhoniel Daguro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38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385"/>
        <w:gridCol w:w="3680"/>
      </w:tblGrid>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2023</w:t>
            </w:r>
          </w:p>
        </w:tc>
        <w:tc>
          <w:tcPr>
            <w:tcW w:w="3680"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Hang Thi Bich Pham</w:t>
            </w:r>
          </w:p>
        </w:tc>
      </w:tr>
      <w:tr>
        <w:trPr/>
        <w:tc>
          <w:tcPr>
            <w:tcW w:w="138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 Thi Bich Pham, Chief Financial Officer</w:t>
            </w:r>
          </w:p>
        </w:tc>
      </w:tr>
      <w:tr>
        <w:trPr/>
        <w:tc>
          <w:tcPr>
            <w:tcW w:w="138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34154/000121390021017290/ea138222ex3-1_ipsidyinc.htm" TargetMode="External"/><Relationship Id="rId4" Type="http://schemas.openxmlformats.org/officeDocument/2006/relationships/hyperlink" Target="https://www.sec.gov/Archives/edgar/data/1534154/000121390022040296/ea162935ex3-2_authid.htm" TargetMode="External"/><Relationship Id="rId5" Type="http://schemas.openxmlformats.org/officeDocument/2006/relationships/hyperlink" Target="http://www.sec.gov/Archives/edgar/data/1534154/000121390021032569/ea142763ex3-1_ipsidyinc.htm" TargetMode="External"/><Relationship Id="rId6" Type="http://schemas.openxmlformats.org/officeDocument/2006/relationships/hyperlink" Target="http://www.sec.gov/Archives/edgar/data/1534154/000121390022040296/ea162935ex3-1_authid.htm" TargetMode="External"/><Relationship Id="rId7" Type="http://schemas.openxmlformats.org/officeDocument/2006/relationships/hyperlink" Target="https://www.sec.gov/Archives/edgar/data/1534154/000121390022057553/ea166087ex3-1_authid.htm" TargetMode="External"/><Relationship Id="rId8" Type="http://schemas.openxmlformats.org/officeDocument/2006/relationships/hyperlink" Target="http://www.sec.gov/Archives/edgar/data/1534154/000121390023052128/ea180976ex3-1_authidinc.htm" TargetMode="External"/><Relationship Id="rId9" Type="http://schemas.openxmlformats.org/officeDocument/2006/relationships/hyperlink" Target="http://www.sec.gov/Archives/edgar/data/1534154/000121390021032569/ea142763ex4-1_ipsidyinc.htm" TargetMode="External"/><Relationship Id="rId10" Type="http://schemas.openxmlformats.org/officeDocument/2006/relationships/hyperlink" Target="https://www.sec.gov/Archives/edgar/data/1534154/000121390019026249/f8k121019ex4-3_ipsidy.htm" TargetMode="External"/><Relationship Id="rId11" Type="http://schemas.openxmlformats.org/officeDocument/2006/relationships/hyperlink" Target="https://www.sec.gov/Archives/edgar/data/1534154/000121390020004127/f8k021420ex4-1_ipsidyinc.htm" TargetMode="External"/><Relationship Id="rId12" Type="http://schemas.openxmlformats.org/officeDocument/2006/relationships/hyperlink" Target="https://www.sec.gov/Archives/edgar/data/1534154/000121390020004127/f8k021420ex4-2_ipsidyinc.htm" TargetMode="External"/><Relationship Id="rId13" Type="http://schemas.openxmlformats.org/officeDocument/2006/relationships/hyperlink" Target="https://www.sec.gov/Archives/edgar/data/1534154/000121390020011887/ea121728ex4-1_ipsidyinc.htm" TargetMode="External"/><Relationship Id="rId14" Type="http://schemas.openxmlformats.org/officeDocument/2006/relationships/hyperlink" Target="https://www.sec.gov/Archives/edgar/data/1534154/000121390021024897/f10q0321ex4-15_ipsidyinc.htm" TargetMode="External"/><Relationship Id="rId15" Type="http://schemas.openxmlformats.org/officeDocument/2006/relationships/hyperlink" Target="https://www.sec.gov/Archives/edgar/data/1534154/000121390023024677/f10k2022ex4-7_authidinc.htm" TargetMode="External"/><Relationship Id="rId16" Type="http://schemas.openxmlformats.org/officeDocument/2006/relationships/hyperlink" Target="https://www.sec.gov/Archives/edgar/data/1534154/000121390021032569/ea142763ex10-6_ipsidyinc.htm" TargetMode="External"/><Relationship Id="rId17" Type="http://schemas.openxmlformats.org/officeDocument/2006/relationships/hyperlink" Target="https://www.sec.gov/Archives/edgar/data/1534154/000121390021032569/ea142763ex10-5_ipsidyinc.htm" TargetMode="External"/><Relationship Id="rId18" Type="http://schemas.openxmlformats.org/officeDocument/2006/relationships/hyperlink" Target="https://www.sec.gov/Archives/edgar/data/1534154/000161577418003344/s109839_ex10-27.htm" TargetMode="External"/><Relationship Id="rId19" Type="http://schemas.openxmlformats.org/officeDocument/2006/relationships/hyperlink" Target="http://www.sec.gov/Archives/edgar/data/1534154/000121390021032569/ea142763ex10-1_ipsidyinc.htm" TargetMode="External"/><Relationship Id="rId20" Type="http://schemas.openxmlformats.org/officeDocument/2006/relationships/hyperlink" Target="http://www.sec.gov/Archives/edgar/data/1534154/000121390021032569/ea142763ex10-2_ipsidyinc.htm" TargetMode="External"/><Relationship Id="rId21" Type="http://schemas.openxmlformats.org/officeDocument/2006/relationships/hyperlink" Target="http://www.sec.gov/Archives/edgar/data/1534154/000121390021032569/ea142763ex10-3_ipsidyinc.htm" TargetMode="External"/><Relationship Id="rId22" Type="http://schemas.openxmlformats.org/officeDocument/2006/relationships/hyperlink" Target="http://www.sec.gov/Archives/edgar/data/1534154/000121390021032569/ea142763ex10-4_ipsidyinc.htm" TargetMode="External"/><Relationship Id="rId23" Type="http://schemas.openxmlformats.org/officeDocument/2006/relationships/hyperlink" Target="https://www.sec.gov/Archives/edgar/data/1534154/000121390021057337/f10q0921ex10-11_ipsidyinc.htm" TargetMode="External"/><Relationship Id="rId24" Type="http://schemas.openxmlformats.org/officeDocument/2006/relationships/hyperlink" Target="https://www.sec.gov/Archives/edgar/data/1534154/000121390021057337/f10q0921ex10-12_ipsidyinc.htm" TargetMode="External"/><Relationship Id="rId25" Type="http://schemas.openxmlformats.org/officeDocument/2006/relationships/hyperlink" Target="https://www.sec.gov/Archives/edgar/data/1534154/000121390022004803/ea154748ex4-1_ipsidyinc.htm" TargetMode="External"/><Relationship Id="rId26" Type="http://schemas.openxmlformats.org/officeDocument/2006/relationships/hyperlink" Target="https://www.sec.gov/Archives/edgar/data/1534154/000121390022014214/f10k2021ex10-14_ipsidyinc.htm" TargetMode="External"/><Relationship Id="rId27" Type="http://schemas.openxmlformats.org/officeDocument/2006/relationships/hyperlink" Target="https://www.sec.gov/Archives/edgar/data/1534154/000121390022013739/ea157152ex10-1_ipsidyinc.htm" TargetMode="External"/><Relationship Id="rId28" Type="http://schemas.openxmlformats.org/officeDocument/2006/relationships/hyperlink" Target="https://www.sec.gov/Archives/edgar/data/1534154/000121390022013739/ea157152ex10-2_ipsidyinc.htm" TargetMode="External"/><Relationship Id="rId29" Type="http://schemas.openxmlformats.org/officeDocument/2006/relationships/hyperlink" Target="https://www.sec.gov/Archives/edgar/data/1534154/000121390022013739/ea157152ex10-3_ipsidyinc.htm" TargetMode="External"/><Relationship Id="rId30" Type="http://schemas.openxmlformats.org/officeDocument/2006/relationships/hyperlink" Target="https://www.sec.gov/Archives/edgar/data/1534154/000121390022013739/ea157152ex10-5_ipsidyinc.htm" TargetMode="External"/><Relationship Id="rId31" Type="http://schemas.openxmlformats.org/officeDocument/2006/relationships/hyperlink" Target="https://www.sec.gov/Archives/edgar/data/1534154/000121390022013739/ea157152ex10-6_ipsidyinc.htm" TargetMode="External"/><Relationship Id="rId32" Type="http://schemas.openxmlformats.org/officeDocument/2006/relationships/hyperlink" Target="https://www.sec.gov/Archives/edgar/data/1534154/000121390022013739/ea157152ex10-7_ipsidyinc.htm" TargetMode="External"/><Relationship Id="rId33" Type="http://schemas.openxmlformats.org/officeDocument/2006/relationships/hyperlink" Target="http://www.sec.gov/Archives/edgar/data/1534154/000121390022020476/ea158591ex10-1_ipsidyinc.htm" TargetMode="External"/><Relationship Id="rId34" Type="http://schemas.openxmlformats.org/officeDocument/2006/relationships/hyperlink" Target="https://www.sec.gov/Archives/edgar/data/1534154/000121390022021805/ea158885ex10-1_ipsidyinc.htm" TargetMode="External"/><Relationship Id="rId35" Type="http://schemas.openxmlformats.org/officeDocument/2006/relationships/hyperlink" Target="http://www.sec.gov/Archives/edgar/data/1534154/000121390023018987/ea174977ex10-1_authid.htm" TargetMode="External"/><Relationship Id="rId36" Type="http://schemas.openxmlformats.org/officeDocument/2006/relationships/hyperlink" Target="http://www.sec.gov/Archives/edgar/data/1534154/000121390023018987/ea174977ex10-2_authid.htm" TargetMode="External"/><Relationship Id="rId37" Type="http://schemas.openxmlformats.org/officeDocument/2006/relationships/hyperlink" Target="http://www.sec.gov/Archives/edgar/data/1534154/000121390023018987/ea174977ex10-3_authid.htm" TargetMode="External"/><Relationship Id="rId38" Type="http://schemas.openxmlformats.org/officeDocument/2006/relationships/hyperlink" Target="http://www.sec.gov/Archives/edgar/data/1534154/000121390023018987/ea174977ex10-4_authid.htm" TargetMode="External"/><Relationship Id="rId39" Type="http://schemas.openxmlformats.org/officeDocument/2006/relationships/hyperlink" Target="http://www.sec.gov/Archives/edgar/data/1534154/000121390023023408/ea175837ex10-1_authid.htm" TargetMode="External"/><Relationship Id="rId40" Type="http://schemas.openxmlformats.org/officeDocument/2006/relationships/hyperlink" Target="http://www.sec.gov/Archives/edgar/data/1534154/000121390023023408/ea175837ex10-2_authid.htm" TargetMode="External"/><Relationship Id="rId41" Type="http://schemas.openxmlformats.org/officeDocument/2006/relationships/hyperlink" Target="https://www.sec.gov/Archives/edgar/data/1534154/000121390023023408/ea175837ex10-3_authid.htm" TargetMode="External"/><Relationship Id="rId42" Type="http://schemas.openxmlformats.org/officeDocument/2006/relationships/hyperlink" Target="https://www.sec.gov/Archives/edgar/data/1534154/000121390023030640/ea177091ex10-1_authid.htm" TargetMode="External"/><Relationship Id="rId43" Type="http://schemas.openxmlformats.org/officeDocument/2006/relationships/hyperlink" Target="http://www.sec.gov/Archives/edgar/data/1534154/000121390023030640/ea177091ex10-2_authid.htm" TargetMode="External"/><Relationship Id="rId44" Type="http://schemas.openxmlformats.org/officeDocument/2006/relationships/hyperlink" Target="http://www.sec.gov/Archives/edgar/data/1534154/000121390023040545/ea178743ex10-1_authid.htm" TargetMode="External"/><Relationship Id="rId45" Type="http://schemas.openxmlformats.org/officeDocument/2006/relationships/hyperlink" Target="http://www.sec.gov/Archives/edgar/data/1534154/000121390023043563/ea179371ex10-1_authidinc.htm" TargetMode="External"/><Relationship Id="rId46" Type="http://schemas.openxmlformats.org/officeDocument/2006/relationships/hyperlink" Target="http://www.sec.gov/Archives/edgar/data/1534154/000121390023043563/ea179371ex10-2_authidinc.htm" TargetMode="External"/><Relationship Id="rId47" Type="http://schemas.openxmlformats.org/officeDocument/2006/relationships/hyperlink" Target="http://www.sec.gov/Archives/edgar/data/1534154/000121390023043563/ea179371ex10-3_authidinc.htm" TargetMode="External"/><Relationship Id="rId48" Type="http://schemas.openxmlformats.org/officeDocument/2006/relationships/hyperlink" Target="http://www.sec.gov/Archives/edgar/data/1534154/000121390023043563/ea179371ex10-4_authidinc.htm" TargetMode="External"/><Relationship Id="rId49" Type="http://schemas.openxmlformats.org/officeDocument/2006/relationships/hyperlink" Target="https://www.sec.gov/Archives/edgar/data/1534154/000121390023062781/ea182763ex10-1_authidinc.htm" TargetMode="External"/><Relationship Id="rId50" Type="http://schemas.openxmlformats.org/officeDocument/2006/relationships/hyperlink" Target="https://www.sec.gov/Archives/edgar/data/1534154/000161577417003593/s106516_ex14-1.htm" TargetMode="External"/><Relationship Id="rId51" Type="http://schemas.openxmlformats.org/officeDocument/2006/relationships/hyperlink" Target="http://www.sec.gov/Archives/edgar/data/1534154/000121390023038588/f10q0323ex21-1_authidinc.htm"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21177</Words>
  <Characters>113958</Characters>
  <CharactersWithSpaces>137313</CharactersWithSpaces>
  <Paragraphs>6730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