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940" w:right="1500" w:hanging="2438"/>
        <w:spacing w:after="0" w:line="401" w:lineRule="auto"/>
        <w:tabs>
          <w:tab w:leader="none" w:pos="1714"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2023</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4" w:lineRule="exact"/>
        <w:rPr>
          <w:rFonts w:ascii="MS PGothic" w:cs="MS PGothic" w:eastAsia="MS PGothic" w:hAnsi="MS PGothic"/>
          <w:sz w:val="18"/>
          <w:szCs w:val="18"/>
          <w:color w:val="auto"/>
        </w:rPr>
      </w:pPr>
    </w:p>
    <w:p>
      <w:pPr>
        <w:ind w:left="1400" w:hanging="211"/>
        <w:spacing w:after="0"/>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100330</wp:posOffset>
            </wp:positionV>
            <wp:extent cx="3000375" cy="1688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688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authID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89"/>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1385 S. Colorado Blvd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0"/>
              </w:rPr>
              <w:t>Denver, CO 80222</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0"/>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8"/>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2820" w:type="dxa"/>
            <w:vAlign w:val="bottom"/>
          </w:tcPr>
          <w:p>
            <w:pPr>
              <w:jc w:val="center"/>
              <w:ind w:right="690"/>
              <w:spacing w:after="0"/>
              <w:rPr>
                <w:sz w:val="20"/>
                <w:szCs w:val="20"/>
                <w:color w:val="auto"/>
              </w:rPr>
            </w:pPr>
            <w:r>
              <w:rPr>
                <w:rFonts w:ascii="Arial" w:cs="Arial" w:eastAsia="Arial" w:hAnsi="Arial"/>
                <w:sz w:val="18"/>
                <w:szCs w:val="18"/>
                <w:color w:val="auto"/>
                <w:w w:val="91"/>
              </w:rPr>
              <w:t>Trading Symbol</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rPr>
              <w:t>AUID</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8" w:lineRule="exact"/>
        <w:rPr>
          <w:sz w:val="24"/>
          <w:szCs w:val="24"/>
          <w:color w:val="auto"/>
        </w:rPr>
      </w:pPr>
    </w:p>
    <w:p>
      <w:pPr>
        <w:ind w:left="5320" w:hanging="205"/>
        <w:spacing w:after="0" w:line="207" w:lineRule="exact"/>
        <w:tabs>
          <w:tab w:leader="none" w:pos="5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9" w:lineRule="exact"/>
        <w:rPr>
          <w:sz w:val="24"/>
          <w:szCs w:val="24"/>
          <w:color w:val="auto"/>
        </w:rPr>
      </w:pPr>
    </w:p>
    <w:p>
      <w:pPr>
        <w:spacing w:after="0" w:line="34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320" w:hanging="205"/>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77" w:orient="portrait"/>
          <w:cols w:equalWidth="0" w:num="1">
            <w:col w:w="11240"/>
          </w:cols>
          <w:pgMar w:left="320" w:top="422" w:right="339" w:bottom="0" w:gutter="0" w:footer="0" w:header="0"/>
        </w:sectPr>
      </w:pP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77" w:orient="portrait"/>
          <w:cols w:equalWidth="0" w:num="2">
            <w:col w:w="6020" w:space="720"/>
            <w:col w:w="4500"/>
          </w:cols>
          <w:pgMar w:left="320" w:top="422" w:right="339" w:bottom="0" w:gutter="0" w:footer="0" w:header="0"/>
          <w:type w:val="continuous"/>
        </w:sect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9"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Outstanding at April 30, 2023</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25,864,437 shares</w:t>
            </w:r>
          </w:p>
        </w:tc>
      </w:tr>
    </w:tbl>
    <w:p>
      <w:pPr>
        <w:sectPr>
          <w:pgSz w:w="11900" w:h="16877" w:orient="portrait"/>
          <w:cols w:equalWidth="0" w:num="1">
            <w:col w:w="11240"/>
          </w:cols>
          <w:pgMar w:left="320" w:top="422" w:right="339" w:bottom="0" w:gutter="0" w:footer="0" w:header="0"/>
          <w:type w:val="continuous"/>
        </w:sectPr>
      </w:pPr>
    </w:p>
    <w:bookmarkStart w:id="1" w:name="page2"/>
    <w:bookmarkEnd w:id="1"/>
    <w:p>
      <w:pPr>
        <w:ind w:left="260"/>
        <w:spacing w:after="0"/>
        <w:tabs>
          <w:tab w:leader="none" w:pos="7160" w:val="left"/>
        </w:tabs>
        <w:rPr>
          <w:sz w:val="20"/>
          <w:szCs w:val="20"/>
          <w:color w:val="auto"/>
        </w:rPr>
      </w:pPr>
      <w:r>
        <w:rPr>
          <w:rFonts w:ascii="Arial" w:cs="Arial" w:eastAsia="Arial" w:hAnsi="Arial"/>
          <w:sz w:val="18"/>
          <w:szCs w:val="18"/>
          <w:color w:val="auto"/>
        </w:rPr>
        <w:t>Documents incorporated by reference:</w:t>
      </w:r>
      <w:r>
        <w:rPr>
          <w:sz w:val="20"/>
          <w:szCs w:val="20"/>
          <w:color w:val="auto"/>
        </w:rPr>
        <w:tab/>
      </w: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gridSpan w:val="11"/>
          </w:tcPr>
          <w:p>
            <w:pPr>
              <w:ind w:left="9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80" w:type="dxa"/>
            <w:vAlign w:val="bottom"/>
            <w:gridSpan w:val="13"/>
            <w:shd w:val="clear" w:color="auto" w:fill="CCEEFF"/>
          </w:tcPr>
          <w:p>
            <w:pPr>
              <w:jc w:val="center"/>
              <w:ind w:right="2920"/>
              <w:spacing w:after="0" w:line="162" w:lineRule="exact"/>
              <w:rPr>
                <w:sz w:val="20"/>
                <w:szCs w:val="20"/>
                <w:color w:val="auto"/>
              </w:rPr>
            </w:pPr>
            <w:r>
              <w:rPr>
                <w:rFonts w:ascii="Arial" w:cs="Arial" w:eastAsia="Arial" w:hAnsi="Arial"/>
                <w:sz w:val="18"/>
                <w:szCs w:val="18"/>
                <w:b w:val="1"/>
                <w:bCs w:val="1"/>
                <w:color w:val="0000EE"/>
              </w:rPr>
              <w:t>PART I - FINANCIAL INFORMATION</w:t>
            </w:r>
          </w:p>
        </w:tc>
        <w:tc>
          <w:tcPr>
            <w:tcW w:w="10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Balance Sheets as of March 31, 2023 (unaudited) and December 31, 2022</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Statements of Operations for the Three Months Ended March 31, 2023 and 2022 (unaudited)</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w w:val="97"/>
              </w:rPr>
              <w:t>Condensed Consolidated Statements of Comprehensive Loss for the Three Months Ended March 31, 2023 and 2022 (unaudited)</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Condensed Consolidated Statements of Stockholders’ (Deficit) Equity for the Three Months Ended March 31, 2023 and 2022 (unaudited)</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Statements of Cash Flows for the Three Months Ended March 31, 2023 and 2022 (unaudited)</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6-16</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18-21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520" w:type="dxa"/>
            <w:vAlign w:val="bottom"/>
            <w:gridSpan w:val="11"/>
            <w:shd w:val="clear" w:color="auto" w:fill="CCEEFF"/>
          </w:tcPr>
          <w:p>
            <w:pPr>
              <w:jc w:val="center"/>
              <w:ind w:right="370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0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5. Other Information.</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75"/>
        </w:trPr>
        <w:tc>
          <w:tcPr>
            <w:tcW w:w="102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2022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positive cash flow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and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customers for existing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maintain and update our technology and product and service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party software and developers;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network or IT security and presentation attacks;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key personnel and additional talent;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under acceptable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 or the loss of some of our intellectual property rights through costly litigation or administrative proceedings;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in non-US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war in Ukraine;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market volatility and the risk of securities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legislation and government regulation;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inflation and access to capital.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“authID” “authID.ai,” the “Company,” “we,” “our,” “us,” and similar terms refer to authID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20" w:type="dxa"/>
            <w:vAlign w:val="bottom"/>
          </w:tcPr>
          <w:p>
            <w:pPr>
              <w:jc w:val="center"/>
              <w:ind w:left="2950"/>
              <w:spacing w:after="0"/>
              <w:rPr>
                <w:sz w:val="20"/>
                <w:szCs w:val="20"/>
                <w:color w:val="auto"/>
              </w:rPr>
            </w:pPr>
            <w:r>
              <w:rPr>
                <w:rFonts w:ascii="Arial" w:cs="Arial" w:eastAsia="Arial" w:hAnsi="Arial"/>
                <w:sz w:val="18"/>
                <w:szCs w:val="18"/>
                <w:b w:val="1"/>
                <w:bCs w:val="1"/>
                <w:color w:val="auto"/>
              </w:rPr>
              <w:t>PART I – FINANCIAL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authID INC. AND SUBSIDIARIES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8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220" w:type="dxa"/>
            <w:vAlign w:val="bottom"/>
          </w:tcPr>
          <w:p>
            <w:pPr>
              <w:jc w:val="center"/>
              <w:ind w:left="2930"/>
              <w:spacing w:after="0" w:line="201" w:lineRule="exact"/>
              <w:rPr>
                <w:sz w:val="20"/>
                <w:szCs w:val="20"/>
                <w:color w:val="auto"/>
              </w:rPr>
            </w:pPr>
            <w:r>
              <w:rPr>
                <w:rFonts w:ascii="Arial" w:cs="Arial" w:eastAsia="Arial" w:hAnsi="Arial"/>
                <w:sz w:val="18"/>
                <w:szCs w:val="18"/>
                <w:color w:val="auto"/>
                <w:w w:val="90"/>
              </w:rPr>
              <w:t>ASSETS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3,237,106</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261,809</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729,342</w:t>
            </w:r>
          </w:p>
        </w:tc>
        <w:tc>
          <w:tcPr>
            <w:tcW w:w="100" w:type="dxa"/>
            <w:vAlign w:val="bottom"/>
            <w:shd w:val="clear" w:color="auto" w:fill="CCEEFF"/>
          </w:tcPr>
          <w:p>
            <w:pPr>
              <w:spacing w:after="0"/>
              <w:rPr>
                <w:sz w:val="18"/>
                <w:szCs w:val="18"/>
                <w:color w:val="auto"/>
              </w:rPr>
            </w:pPr>
          </w:p>
        </w:tc>
      </w:tr>
      <w:tr>
        <w:trPr>
          <w:trHeight w:val="236"/>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assets held for sale</w:t>
            </w: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118,459</w:t>
            </w:r>
          </w:p>
        </w:tc>
        <w:tc>
          <w:tcPr>
            <w:tcW w:w="100" w:type="dxa"/>
            <w:vAlign w:val="bottom"/>
            <w:tcBorders>
              <w:bottom w:val="single" w:sz="8" w:color="CCEEFF"/>
            </w:tcBorders>
          </w:tcPr>
          <w:p>
            <w:pPr>
              <w:spacing w:after="0"/>
              <w:rPr>
                <w:sz w:val="20"/>
                <w:szCs w:val="20"/>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4,346,716</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250,383</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566,259</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4,183,232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4,183,232</w:t>
            </w:r>
          </w:p>
        </w:tc>
        <w:tc>
          <w:tcPr>
            <w:tcW w:w="100" w:type="dxa"/>
            <w:vAlign w:val="bottom"/>
            <w:shd w:val="clear" w:color="auto" w:fill="CCEEFF"/>
          </w:tcPr>
          <w:p>
            <w:pPr>
              <w:spacing w:after="0"/>
              <w:rPr>
                <w:sz w:val="18"/>
                <w:szCs w:val="18"/>
                <w:color w:val="auto"/>
              </w:rPr>
            </w:pPr>
          </w:p>
        </w:tc>
      </w:tr>
      <w:tr>
        <w:trPr>
          <w:trHeight w:val="237"/>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assets held for sale</w:t>
            </w: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tcPr>
          <w:p>
            <w:pPr>
              <w:spacing w:after="0"/>
              <w:rPr>
                <w:sz w:val="20"/>
                <w:szCs w:val="20"/>
                <w:color w:val="auto"/>
              </w:rPr>
            </w:pPr>
          </w:p>
        </w:tc>
      </w:tr>
      <w:tr>
        <w:trPr>
          <w:trHeight w:val="25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6,830,227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9,374,185</w:t>
            </w:r>
          </w:p>
        </w:tc>
        <w:tc>
          <w:tcPr>
            <w:tcW w:w="100" w:type="dxa"/>
            <w:vAlign w:val="bottom"/>
            <w:shd w:val="clear" w:color="auto" w:fill="CCEEFF"/>
          </w:tcPr>
          <w:p>
            <w:pPr>
              <w:spacing w:after="0"/>
              <w:rPr>
                <w:sz w:val="21"/>
                <w:szCs w:val="21"/>
                <w:color w:val="auto"/>
              </w:rPr>
            </w:pPr>
          </w:p>
        </w:tc>
      </w:tr>
      <w:tr>
        <w:trPr>
          <w:trHeight w:val="21"/>
        </w:trPr>
        <w:tc>
          <w:tcPr>
            <w:tcW w:w="8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LIABILITIES AND STOCKHOLDERS’ EQUITY (DEFICIT)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1,154,072</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81,318</w:t>
            </w:r>
          </w:p>
        </w:tc>
        <w:tc>
          <w:tcPr>
            <w:tcW w:w="10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220" w:type="dxa"/>
            <w:vAlign w:val="bottom"/>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1,963,107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1,249,149</w:t>
            </w:r>
          </w:p>
        </w:tc>
        <w:tc>
          <w:tcPr>
            <w:tcW w:w="100" w:type="dxa"/>
            <w:vAlign w:val="bottom"/>
          </w:tcPr>
          <w:p>
            <w:pPr>
              <w:spacing w:after="0"/>
              <w:rPr>
                <w:sz w:val="17"/>
                <w:szCs w:val="17"/>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Credit facility,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7,841,500</w:t>
            </w:r>
          </w:p>
        </w:tc>
        <w:tc>
          <w:tcPr>
            <w:tcW w:w="100" w:type="dxa"/>
            <w:vAlign w:val="bottom"/>
            <w:shd w:val="clear" w:color="auto" w:fill="CCEEFF"/>
          </w:tcPr>
          <w:p>
            <w:pPr>
              <w:spacing w:after="0"/>
              <w:rPr>
                <w:sz w:val="18"/>
                <w:szCs w:val="18"/>
                <w:color w:val="auto"/>
              </w:rPr>
            </w:pPr>
          </w:p>
        </w:tc>
      </w:tr>
      <w:tr>
        <w:trPr>
          <w:trHeight w:val="236"/>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severance liability</w:t>
            </w: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2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10,730,803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9,090,649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Common stock, $0.0001 par value, 250,000,000 shares authorized;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25,864,437 and 25,319,095 shares issued and outstanding as of March 31, 2023 and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141,317,627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140,255,234</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(145,352,653)</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(140,130,159)</w:t>
            </w: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22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(deficit) equity</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(3,900,576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283,536</w:t>
            </w:r>
          </w:p>
        </w:tc>
        <w:tc>
          <w:tcPr>
            <w:tcW w:w="100" w:type="dxa"/>
            <w:vAlign w:val="bottom"/>
            <w:tcBorders>
              <w:bottom w:val="single" w:sz="8" w:color="CCEEFF"/>
            </w:tcBorders>
          </w:tcPr>
          <w:p>
            <w:pPr>
              <w:spacing w:after="0"/>
              <w:rPr>
                <w:sz w:val="18"/>
                <w:szCs w:val="18"/>
                <w:color w:val="auto"/>
              </w:rPr>
            </w:pPr>
          </w:p>
        </w:tc>
      </w:tr>
      <w:tr>
        <w:trPr>
          <w:trHeight w:val="250"/>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(deficit) equity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6,830,227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9,374,185</w:t>
            </w:r>
          </w:p>
        </w:tc>
        <w:tc>
          <w:tcPr>
            <w:tcW w:w="100" w:type="dxa"/>
            <w:vAlign w:val="bottom"/>
            <w:shd w:val="clear" w:color="auto" w:fill="CCEEFF"/>
          </w:tcPr>
          <w:p>
            <w:pPr>
              <w:spacing w:after="0"/>
              <w:rPr>
                <w:sz w:val="21"/>
                <w:szCs w:val="2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left="2940"/>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ind w:left="294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9"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Verified software license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Legacy authentication services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Depreciation and amortization</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including debts issuance costs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Continuing operations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1"/>
                <w:szCs w:val="21"/>
                <w:color w:val="auto"/>
              </w:rPr>
            </w:pPr>
          </w:p>
        </w:tc>
      </w:tr>
      <w:tr>
        <w:trPr>
          <w:trHeight w:val="647"/>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35,778</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35,493</w:t>
            </w:r>
          </w:p>
        </w:tc>
        <w:tc>
          <w:tcPr>
            <w:tcW w:w="40" w:type="dxa"/>
            <w:vAlign w:val="bottom"/>
          </w:tcPr>
          <w:p>
            <w:pPr>
              <w:spacing w:after="0"/>
              <w:rPr>
                <w:sz w:val="24"/>
                <w:szCs w:val="24"/>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129,559</w:t>
            </w:r>
          </w:p>
        </w:tc>
        <w:tc>
          <w:tcPr>
            <w:tcW w:w="40" w:type="dxa"/>
            <w:vAlign w:val="bottom"/>
          </w:tcPr>
          <w:p>
            <w:pPr>
              <w:spacing w:after="0"/>
              <w:rPr>
                <w:sz w:val="20"/>
                <w:szCs w:val="20"/>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165,052</w:t>
            </w:r>
          </w:p>
        </w:tc>
        <w:tc>
          <w:tcPr>
            <w:tcW w:w="40" w:type="dxa"/>
            <w:vAlign w:val="bottom"/>
          </w:tcPr>
          <w:p>
            <w:pPr>
              <w:spacing w:after="0"/>
              <w:rPr>
                <w:sz w:val="19"/>
                <w:szCs w:val="19"/>
                <w:color w:val="auto"/>
              </w:rPr>
            </w:pPr>
          </w:p>
        </w:tc>
      </w:tr>
      <w:tr>
        <w:trPr>
          <w:trHeight w:val="850"/>
        </w:trPr>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3,276,191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3,643,909</w:t>
            </w:r>
          </w:p>
        </w:tc>
        <w:tc>
          <w:tcPr>
            <w:tcW w:w="4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1,105,814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1,373,502</w:t>
            </w:r>
          </w:p>
        </w:tc>
        <w:tc>
          <w:tcPr>
            <w:tcW w:w="40" w:type="dxa"/>
            <w:vAlign w:val="bottom"/>
          </w:tcPr>
          <w:p>
            <w:pPr>
              <w:spacing w:after="0"/>
              <w:rPr>
                <w:sz w:val="19"/>
                <w:szCs w:val="19"/>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215,476</w:t>
            </w:r>
          </w:p>
        </w:tc>
        <w:tc>
          <w:tcPr>
            <w:tcW w:w="40" w:type="dxa"/>
            <w:vAlign w:val="bottom"/>
          </w:tcPr>
          <w:p>
            <w:pPr>
              <w:spacing w:after="0"/>
              <w:rPr>
                <w:sz w:val="20"/>
                <w:szCs w:val="20"/>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5,232,887</w:t>
            </w:r>
          </w:p>
        </w:tc>
        <w:tc>
          <w:tcPr>
            <w:tcW w:w="40" w:type="dxa"/>
            <w:vAlign w:val="bottom"/>
          </w:tcPr>
          <w:p>
            <w:pPr>
              <w:spacing w:after="0"/>
              <w:rPr>
                <w:sz w:val="19"/>
                <w:szCs w:val="19"/>
                <w:color w:val="auto"/>
              </w:rPr>
            </w:pPr>
          </w:p>
        </w:tc>
      </w:tr>
      <w:tr>
        <w:trPr>
          <w:trHeight w:val="446"/>
        </w:trPr>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(4,420,166)</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(5,067,835)</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80"/>
        <w:spacing w:after="0"/>
        <w:tabs>
          <w:tab w:leader="none" w:pos="1900" w:val="left"/>
        </w:tabs>
        <w:rPr>
          <w:sz w:val="20"/>
          <w:szCs w:val="20"/>
          <w:color w:val="auto"/>
        </w:rPr>
      </w:pPr>
      <w:r>
        <w:rPr>
          <w:rFonts w:ascii="Arial" w:cs="Arial" w:eastAsia="Arial" w:hAnsi="Arial"/>
          <w:sz w:val="18"/>
          <w:szCs w:val="18"/>
          <w:color w:val="auto"/>
        </w:rPr>
        <w:t>(800,073)</w:t>
      </w:r>
      <w:r>
        <w:rPr>
          <w:sz w:val="20"/>
          <w:szCs w:val="20"/>
          <w:color w:val="auto"/>
        </w:rPr>
        <w:tab/>
      </w:r>
      <w:r>
        <w:rPr>
          <w:rFonts w:ascii="Arial" w:cs="Arial" w:eastAsia="Arial" w:hAnsi="Arial"/>
          <w:sz w:val="18"/>
          <w:szCs w:val="18"/>
          <w:color w:val="auto"/>
        </w:rPr>
        <w:t>(32,857)</w:t>
      </w:r>
    </w:p>
    <w:p>
      <w:pPr>
        <w:spacing w:after="0" w:line="23" w:lineRule="exact"/>
        <w:rPr>
          <w:sz w:val="20"/>
          <w:szCs w:val="20"/>
          <w:color w:val="auto"/>
        </w:rPr>
      </w:pPr>
    </w:p>
    <w:p>
      <w:pPr>
        <w:ind w:left="2060" w:hanging="1000"/>
        <w:spacing w:after="0"/>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1,456</w:t>
      </w:r>
    </w:p>
    <w:p>
      <w:pPr>
        <w:spacing w:after="0" w:line="2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(800,073)</w:t>
      </w:r>
      <w:r>
        <w:rPr>
          <w:rFonts w:ascii="Arial" w:cs="Arial" w:eastAsia="Arial" w:hAnsi="Arial"/>
          <w:sz w:val="16"/>
          <w:szCs w:val="16"/>
          <w:color w:val="auto"/>
        </w:rPr>
        <w:t>(31,401)</w:t>
      </w:r>
    </w:p>
    <w:p>
      <w:pPr>
        <w:spacing w:after="0" w:line="265" w:lineRule="exact"/>
        <w:rPr>
          <w:sz w:val="20"/>
          <w:szCs w:val="20"/>
          <w:color w:val="auto"/>
        </w:rPr>
      </w:pPr>
    </w:p>
    <w:p>
      <w:pPr>
        <w:jc w:val="both"/>
        <w:ind w:left="340"/>
        <w:spacing w:after="0"/>
        <w:tabs>
          <w:tab w:leader="none" w:pos="1660" w:val="left"/>
        </w:tabs>
        <w:rPr>
          <w:sz w:val="20"/>
          <w:szCs w:val="20"/>
          <w:color w:val="auto"/>
        </w:rPr>
      </w:pPr>
      <w:r>
        <w:rPr>
          <w:rFonts w:ascii="Arial" w:cs="Arial" w:eastAsia="Arial" w:hAnsi="Arial"/>
          <w:sz w:val="18"/>
          <w:szCs w:val="18"/>
          <w:color w:val="auto"/>
        </w:rPr>
        <w:t>(5,220,239)</w:t>
      </w:r>
      <w:r>
        <w:rPr>
          <w:sz w:val="20"/>
          <w:szCs w:val="20"/>
          <w:color w:val="auto"/>
        </w:rPr>
        <w:tab/>
      </w:r>
      <w:r>
        <w:rPr>
          <w:rFonts w:ascii="Arial" w:cs="Arial" w:eastAsia="Arial" w:hAnsi="Arial"/>
          <w:sz w:val="18"/>
          <w:szCs w:val="18"/>
          <w:color w:val="auto"/>
        </w:rPr>
        <w:t>(5,099,236)</w:t>
      </w:r>
    </w:p>
    <w:p>
      <w:pPr>
        <w:spacing w:after="0" w:line="225" w:lineRule="exact"/>
        <w:rPr>
          <w:sz w:val="20"/>
          <w:szCs w:val="20"/>
          <w:color w:val="auto"/>
        </w:rPr>
      </w:pPr>
    </w:p>
    <w:p>
      <w:pPr>
        <w:ind w:left="2000" w:hanging="940"/>
        <w:spacing w:after="0"/>
        <w:tabs>
          <w:tab w:leader="none" w:pos="2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(4,972)</w:t>
      </w:r>
    </w:p>
    <w:p>
      <w:pPr>
        <w:spacing w:after="0" w:line="28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(5,220,239)</w:t>
      </w:r>
      <w:r>
        <w:rPr>
          <w:rFonts w:ascii="Arial" w:cs="Arial" w:eastAsia="Arial" w:hAnsi="Arial"/>
          <w:sz w:val="16"/>
          <w:szCs w:val="16"/>
          <w:color w:val="auto"/>
        </w:rPr>
        <w:t>(5,104,208)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(2,255)</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(5,222,494</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(5,300,728</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(0.21</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(0.22</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1"/>
        </w:trPr>
        <w:tc>
          <w:tcPr>
            <w:tcW w:w="20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25,325,154</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23,563,852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2">
            <w:col w:w="8320" w:space="340"/>
            <w:col w:w="2520"/>
          </w:cols>
          <w:pgMar w:left="320" w:top="877"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(5,222,494)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(5,300,728)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(24,066)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30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(5,246,560</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(5,267,988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2"/>
                <w:szCs w:val="22"/>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26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126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23,294,024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126,581,702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(115,899,939)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10,895,578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Sale of common stock for cash, net of</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1,063,514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3,146,834</w:t>
            </w:r>
          </w:p>
        </w:tc>
        <w:tc>
          <w:tcPr>
            <w:tcW w:w="2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3,146,940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w w:val="99"/>
              </w:rPr>
              <w:t>Common stock issued with convertible</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debt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91,754</w:t>
            </w:r>
          </w:p>
        </w:tc>
        <w:tc>
          <w:tcPr>
            <w:tcW w:w="2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issued for working</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facility</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302,990</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w w:val="97"/>
              </w:rPr>
              <w:t>Warrants for services with the issuance</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of convertible debt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449,474</w:t>
            </w:r>
          </w:p>
        </w:tc>
        <w:tc>
          <w:tcPr>
            <w:tcW w:w="2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stock option exercise</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Cashless warrant exercise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(5,300,728)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(5,300,728)</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March 31, 2022</w:t>
            </w: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24,672,522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132,439,724</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(121,200,667</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244,226</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11,485,750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Balances, December 31, 2022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25,319,095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140,255,234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86"/>
              </w:rPr>
              <w:t>$ (140,130,159)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840,021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Shares issued in lieu of interest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545,342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222,372</w:t>
            </w:r>
          </w:p>
        </w:tc>
        <w:tc>
          <w:tcPr>
            <w:tcW w:w="2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(5,222,494)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(5,222,494)</w:t>
            </w: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(24,066)</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324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25,864,437</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141,317,627</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(145,352,653</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131,863</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(3,900,576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(5,222,494)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(5,300,728)</w:t>
            </w:r>
          </w:p>
        </w:tc>
        <w:tc>
          <w:tcPr>
            <w:tcW w:w="0" w:type="dxa"/>
            <w:vAlign w:val="bottom"/>
          </w:tcPr>
          <w:p>
            <w:pPr>
              <w:spacing w:after="0"/>
              <w:rPr>
                <w:sz w:val="1"/>
                <w:szCs w:val="1"/>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lieu of 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Other non-cash interest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Non-cash recruiting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(27,076)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long-term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(373,372)</w:t>
            </w: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(7,449)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Discontinued operations</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225,769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(2,170,057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(3,101,724</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Purchase of intangible assets - discontinued operations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8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flows from investing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Credit facility drawdown, net of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543,760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Proceeds from issuance of convertible note payable, net of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working capital facility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Payments on notes payable - discontinued operations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 - discontinued operations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financing activities</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543,760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10,827,640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tcPr>
          <w:p>
            <w:pPr>
              <w:spacing w:after="0"/>
              <w:rPr>
                <w:sz w:val="20"/>
                <w:szCs w:val="20"/>
                <w:color w:val="auto"/>
              </w:rPr>
            </w:pPr>
            <w:r>
              <w:rPr>
                <w:rFonts w:ascii="Arial" w:cs="Arial" w:eastAsia="Arial" w:hAnsi="Arial"/>
                <w:sz w:val="18"/>
                <w:szCs w:val="18"/>
                <w:color w:val="auto"/>
              </w:rPr>
              <w:t>Effect of Foreign Currencies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(22,505)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(1,648,802)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7,757,789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3,237,106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 Cash, Beginning of the Period- Discontinued Operations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Cash, End of the Period - Discontinued Operations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(3,025)</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(337,660)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End of the Period</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60" w:type="dxa"/>
            <w:vAlign w:val="bottom"/>
            <w:vMerge w:val="continue"/>
          </w:tcPr>
          <w:p>
            <w:pPr>
              <w:spacing w:after="0"/>
              <w:rPr>
                <w:sz w:val="24"/>
                <w:szCs w:val="2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1,587,982</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13,458,112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 - discontinued operations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6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for income taxes - discontinued operations</w:t>
            </w: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Schedule of Non-cash Investing and Financing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option and warrant exercises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6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Common stock issued with convertible notes</w:t>
            </w:r>
          </w:p>
        </w:tc>
        <w:tc>
          <w:tcPr>
            <w:tcW w:w="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91,757</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Common stock for working capital facility</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180"/>
              <w:spacing w:after="0"/>
              <w:rPr>
                <w:sz w:val="20"/>
                <w:szCs w:val="20"/>
                <w:color w:val="auto"/>
              </w:rPr>
            </w:pPr>
            <w:r>
              <w:rPr>
                <w:rFonts w:ascii="Arial" w:cs="Arial" w:eastAsia="Arial" w:hAnsi="Arial"/>
                <w:sz w:val="18"/>
                <w:szCs w:val="18"/>
                <w:color w:val="auto"/>
              </w:rPr>
              <w:t>Warrants for services with the issuance of convertible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78"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2022. The results of operations for the three months ended March 31, 2023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authID Inc. and its wholly-owned subsidiaries MultiPay S.A.S., ID Solutions, Inc., FIN Holdings Inc., Ipsidy Enterprises Limited and Cards Plus Pty Ltd. and authID Gaming Inc.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 Company had an accumulated deficit of approximately $145 million. For the three months ended March 31, 2023, the Company earned revenue from continuing operations of approximately $0.04 million, used approximately $2.2 million to fund its operations, and incurred a net loss of approximately $5.3 million.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secured additional financing of $3.6 million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we reclassified certain expenses from general and administrative expenses to research and development expenses.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2023 and 2022 because their effect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2,466,297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Warrants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1,229,226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1,544,633</w:t>
            </w:r>
          </w:p>
        </w:tc>
        <w:tc>
          <w:tcPr>
            <w:tcW w:w="100" w:type="dxa"/>
            <w:vAlign w:val="bottom"/>
          </w:tcPr>
          <w:p>
            <w:pPr>
              <w:spacing w:after="0"/>
              <w:rPr>
                <w:sz w:val="18"/>
                <w:szCs w:val="18"/>
                <w:color w:val="auto"/>
              </w:rPr>
            </w:pPr>
          </w:p>
        </w:tc>
      </w:tr>
      <w:tr>
        <w:trPr>
          <w:trHeight w:val="23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7,945,664</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9,151,167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85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11,641,187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13,294,541</w:t>
            </w:r>
          </w:p>
        </w:tc>
        <w:tc>
          <w:tcPr>
            <w:tcW w:w="100" w:type="dxa"/>
            <w:vAlign w:val="bottom"/>
          </w:tcPr>
          <w:p>
            <w:pPr>
              <w:spacing w:after="0"/>
              <w:rPr>
                <w:sz w:val="21"/>
                <w:szCs w:val="2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Starting in the quarter ended June 30, 2022, the Company separately reports Verified software license revenue from Legacy authentication services revenue. Prior periods revenues are recast accordingly for comparison purposes.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Verified Software License </w:t>
      </w:r>
      <w:r>
        <w:rPr>
          <w:rFonts w:ascii="Arial" w:cs="Arial" w:eastAsia="Arial" w:hAnsi="Arial"/>
          <w:sz w:val="18"/>
          <w:szCs w:val="18"/>
          <w:color w:val="auto"/>
        </w:rPr>
        <w:t>– The Company recognizes revenue based on the identified performance obligations over the performance period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/or variable fees generated that are earned on a usage fee based over time based on monthly user or transaction volumes or on a monthly flat fee rate. We allocate the selling price in a contract which has multiple performance obligations based on the contract selling price that we believe represents a fair market price for the service rendered based on estimated standalone selling price.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had contract liabilities of approximately $74,000 and $81,000 as of March 31, 2023, and December 31, 2022 respectively for certain revenue that will be earned in future periods. All deferred revenue contract liabilities as of March 31, 2023 will be earned over the course of the year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Company did not have any deferred contract costs or fees payable.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Legacy Authentication Services </w:t>
      </w:r>
      <w:r>
        <w:rPr>
          <w:rFonts w:ascii="Arial" w:cs="Arial" w:eastAsia="Arial" w:hAnsi="Arial"/>
          <w:sz w:val="18"/>
          <w:szCs w:val="18"/>
          <w:color w:val="auto"/>
        </w:rPr>
        <w:t>– The Company historically has sold certain legacy software licenses to customers and revenue is recognized when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and all other revenue recognition criteria have been met. During both quarters ended March 31, 2023 and 2022, the Company provided annual software maintenance support services relating to previously licensed software on a stand-ready basis. These fees were billed in advance and recognized ratably over the requisite service period as revenue.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Recent Accounting Pronouncement </w:t>
      </w:r>
      <w:r>
        <w:rPr>
          <w:rFonts w:ascii="Arial" w:cs="Arial" w:eastAsia="Arial" w:hAnsi="Arial"/>
          <w:sz w:val="16"/>
          <w:szCs w:val="16"/>
          <w:color w:val="auto"/>
        </w:rPr>
        <w:t>- In June 2016, the Financial Accounting Standards Board issued Accounting Standards Update No. 2016-13,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 Credit Losses (Topic 326),” which replaces the current incurred loss impairment methodology for most financial assets with the current expected credit loss, or CECL, methodology. The series of new guidance amends the impairment model by requiring entities to use a forward-looking approach based on expected losses rather than incurred losses to estimate credit losses on certain types of financial instruments, including trade receivables. The Company adopted the new standard effective January 1, 2023, which did not have a material impact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OTHER CURRENT ASSETS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March 31, 2023 (unaudited)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4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Prepaid Third Party Services</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Unamortized credit facility fees</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150,566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425,024</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Other assets consisted of the following at March 31, 2023 (unaudited) and December 31, 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40" w:type="dxa"/>
            <w:vAlign w:val="bottom"/>
          </w:tcPr>
          <w:p>
            <w:pPr>
              <w:spacing w:after="0"/>
              <w:rPr>
                <w:sz w:val="20"/>
                <w:szCs w:val="20"/>
                <w:color w:val="auto"/>
              </w:rPr>
            </w:pP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Unamortized working capital facility fees</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248,945</w:t>
            </w:r>
          </w:p>
        </w:tc>
        <w:tc>
          <w:tcPr>
            <w:tcW w:w="100" w:type="dxa"/>
            <w:vAlign w:val="bottom"/>
            <w:shd w:val="clear" w:color="auto" w:fill="CCEEFF"/>
          </w:tcPr>
          <w:p>
            <w:pPr>
              <w:spacing w:after="0"/>
              <w:rPr>
                <w:sz w:val="18"/>
                <w:szCs w:val="18"/>
                <w:color w:val="auto"/>
              </w:rPr>
            </w:pPr>
          </w:p>
        </w:tc>
      </w:tr>
      <w:tr>
        <w:trPr>
          <w:trHeight w:val="237"/>
        </w:trPr>
        <w:tc>
          <w:tcPr>
            <w:tcW w:w="8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tcPr>
          <w:p>
            <w:pPr>
              <w:spacing w:after="0"/>
              <w:rPr>
                <w:sz w:val="20"/>
                <w:szCs w:val="20"/>
                <w:color w:val="auto"/>
              </w:rPr>
            </w:pPr>
          </w:p>
        </w:tc>
      </w:tr>
      <w:tr>
        <w:trPr>
          <w:trHeight w:val="250"/>
        </w:trPr>
        <w:tc>
          <w:tcPr>
            <w:tcW w:w="8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250,383</w:t>
            </w:r>
          </w:p>
        </w:tc>
        <w:tc>
          <w:tcPr>
            <w:tcW w:w="100" w:type="dxa"/>
            <w:vAlign w:val="bottom"/>
            <w:shd w:val="clear" w:color="auto" w:fill="CCEEFF"/>
          </w:tcPr>
          <w:p>
            <w:pPr>
              <w:spacing w:after="0"/>
              <w:rPr>
                <w:sz w:val="21"/>
                <w:szCs w:val="2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 NET (OTHER THAN GOODWILL)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intangible assets primarily consist of acquired and developed software that is being amortized over their estimated useful lives as indicated below. The following is a summary of activity related to intangible assets for the three months ended March 31, 2023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Acquired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Developed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Software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Years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435,595</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Amortization</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(71,904)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(4,113)</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(76,017)</w:t>
            </w:r>
          </w:p>
        </w:tc>
        <w:tc>
          <w:tcPr>
            <w:tcW w:w="0" w:type="dxa"/>
            <w:vAlign w:val="bottom"/>
          </w:tcPr>
          <w:p>
            <w:pPr>
              <w:spacing w:after="0"/>
              <w:rPr>
                <w:sz w:val="1"/>
                <w:szCs w:val="1"/>
                <w:color w:val="auto"/>
              </w:rPr>
            </w:pPr>
          </w:p>
        </w:tc>
      </w:tr>
      <w:tr>
        <w:trPr>
          <w:trHeight w:val="27"/>
        </w:trPr>
        <w:tc>
          <w:tcPr>
            <w:tcW w:w="6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March 31, 2023</w:t>
            </w:r>
          </w:p>
        </w:tc>
        <w:tc>
          <w:tcPr>
            <w:tcW w:w="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363,691</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is a summary of intangible assets as of March 31, 2023 (unaudited):</w:t>
            </w: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Acquired and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Developed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Software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4,476,271</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(4,112,580)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(38,063)</w:t>
            </w: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(4,150,643)</w:t>
            </w:r>
          </w:p>
        </w:tc>
        <w:tc>
          <w:tcPr>
            <w:tcW w:w="0" w:type="dxa"/>
            <w:vAlign w:val="bottom"/>
          </w:tcPr>
          <w:p>
            <w:pPr>
              <w:spacing w:after="0"/>
              <w:rPr>
                <w:sz w:val="1"/>
                <w:szCs w:val="1"/>
                <w:color w:val="auto"/>
              </w:rPr>
            </w:pPr>
          </w:p>
        </w:tc>
      </w:tr>
      <w:tr>
        <w:trPr>
          <w:trHeight w:val="277"/>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March 31, 2023</w:t>
            </w:r>
          </w:p>
        </w:tc>
        <w:tc>
          <w:tcPr>
            <w:tcW w:w="6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363,691</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490,242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0" w:type="dxa"/>
            <w:vAlign w:val="bottom"/>
            <w:gridSpan w:val="9"/>
          </w:tcPr>
          <w:p>
            <w:pPr>
              <w:spacing w:after="0"/>
              <w:rPr>
                <w:sz w:val="20"/>
                <w:szCs w:val="20"/>
                <w:color w:val="auto"/>
              </w:rPr>
            </w:pPr>
            <w:r>
              <w:rPr>
                <w:rFonts w:ascii="Arial" w:cs="Arial" w:eastAsia="Arial" w:hAnsi="Arial"/>
                <w:sz w:val="18"/>
                <w:szCs w:val="18"/>
                <w:color w:val="auto"/>
                <w:w w:val="92"/>
              </w:rPr>
              <w:t>Amortization expense totaled approximately $76,000 and $215,000 for the three months ended March 31, 2023, and 2022, respectively.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6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490,242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impairment indicator identified for impairment of the Company’s intangible assets and goodwill as of March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NOTE 4 – ACCOUNTS PAYABLE AND ACCRUED EXPENSES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780" w:type="dxa"/>
            <w:vAlign w:val="bottom"/>
            <w:gridSpan w:val="4"/>
          </w:tcPr>
          <w:p>
            <w:pPr>
              <w:spacing w:after="0"/>
              <w:rPr>
                <w:sz w:val="20"/>
                <w:szCs w:val="20"/>
                <w:color w:val="auto"/>
              </w:rPr>
            </w:pPr>
            <w:r>
              <w:rPr>
                <w:rFonts w:ascii="Arial" w:cs="Arial" w:eastAsia="Arial" w:hAnsi="Arial"/>
                <w:sz w:val="18"/>
                <w:szCs w:val="18"/>
                <w:color w:val="auto"/>
                <w:w w:val="96"/>
              </w:rPr>
              <w:t>Accounts payable and accrued expenses consisted of the following as of March 31, 2023 (unaudited) and December 31, 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623,130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severance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145,837</w:t>
            </w:r>
          </w:p>
        </w:tc>
        <w:tc>
          <w:tcPr>
            <w:tcW w:w="100" w:type="dxa"/>
            <w:vAlign w:val="bottom"/>
          </w:tcPr>
          <w:p>
            <w:pPr>
              <w:spacing w:after="0"/>
              <w:rPr>
                <w:sz w:val="18"/>
                <w:szCs w:val="18"/>
                <w:color w:val="auto"/>
              </w:rPr>
            </w:pPr>
          </w:p>
        </w:tc>
      </w:tr>
      <w:tr>
        <w:trPr>
          <w:trHeight w:val="25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1,871,443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1,154,072</w:t>
            </w:r>
          </w:p>
        </w:tc>
        <w:tc>
          <w:tcPr>
            <w:tcW w:w="100" w:type="dxa"/>
            <w:vAlign w:val="bottom"/>
          </w:tcPr>
          <w:p>
            <w:pPr>
              <w:spacing w:after="0"/>
              <w:rPr>
                <w:sz w:val="20"/>
                <w:szCs w:val="20"/>
                <w:color w:val="auto"/>
              </w:rPr>
            </w:pPr>
          </w:p>
        </w:tc>
      </w:tr>
      <w:tr>
        <w:trPr>
          <w:trHeight w:val="21"/>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14, 2023, the Company’s Board of Directors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12 employees and 6 contractors have left the Company. The Company has also given termination notice to certain vendors and contractors that provide services to the Company. For the quarter ended March 31, 2023, the Company incurred approximately $0.8 million of severance expenses of which $0.2 million was paid; $0.3 million was included in the Accounts payable and accrued expenses and the remaining $0.3 million was accrued for in Other liabilities as a long term liability on the unaudited Condensed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CREDIT FACILTIY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21, 2022, the Company entered into a Credit Facility Agreement (the “Original Facility Agreement”) with Stephen J. Garchik (“Garchik”), who is a shareholder of the Company, pursuant to which Garchik agreed to provide to the Company a $10.0 million unsecured standby line of credit facility that could be drawn down in several tranches, subject to certain conditions described in the Original Facility Agreement. Pursuant to the Original Facility Agreement, the Company paid Garchik a Facility Commitment Fee of 100,000 shares of our common stock upon the effective date of the Original Facility Agreement.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8, 2023, the Company entered into an Amended and Restated Facility Agreement (“A&amp;R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 (the “Subsequent Funding”).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9, 2023, pursuant to the A&amp;R Facility Agreement, the Company entered into a promissory note (the “Initial Promissory Note”) in favor of Garchik, pursuant to which Garchik loaned the amount of $900,000 (the “Principal Amount”) to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wrote-off approximately $410,000 of the issuance costs related to the Original Credit Facility and capitalized $426,000 issuance costs related to the A&amp;R Facility Agreement. As of March 31, 2023, the unamortized deferred issuance cost is approximately $449,000 which has been recorded as a reduction in the carrying value of the Credit Facility, net on the unaudited Condensed Consolidated Balance Sheets. The deferred issuance costs balance will be amortized from March 9, 2023 to March 31,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Promissory Note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accrues on the Principal Amount until paid in full at a per annum rate equal to 15%, computed on the basis of a 360-day year and twelve 30-day months, payable in arrears or in kind on March 31, June 30, September 30 and December 31 of each year commencing March 31, 2023 or the first business day following each such date if any such date falls on a day which is not a business day, in cash. The Principal Amount shall mature on March 31, 2025.</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the Initial Promissory Note is unsecured, in the event of either (I) the conversion of all amounts outstanding under the Convertible Notes (as defined in Note 6 below)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 paid in kind, capitalized and added to the balance of the loan on a quarterly basis, calculated on a 360-day year basis, on the outstanding aggregate balance.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Initial Promissory Note includes customary Events of Default, including, among other things, failing to make payment of any of the Principal Amount or interest due and such failure continues for not less than 5 business days without being cured. Upon an Event of Default, Garchik can declare all outstanding amounts under the Initial Promissory Note due, along with any accrued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A&amp;R Facility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A&amp;R Facility Agreement, Garchik agreed to provide initial funding of the Principal Amount to the Company upon receipt of a fully executed Initial Promissory Note and an executed Release Agreement relating to the Original Facility Agreement. The Company and Garchik agreed to use reasonable best efforts to negotiate the terms of the Subsequent Funding and negotiations continue, but the A&amp;R Facility Agreement will terminate if definitive documentation for the Subsequent Funding is not entered into before July 1, 2023, for any reason other than breach of a party’s obligations.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Convertible Notes and the liens granted in connection with the Subsequent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granted to holders of the Convertible Notes. Pursuant to the A&amp;R Facility Agreement, the Company will use reasonable best efforts to obtain the consent of two-thirds of the holders of Convertible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Company and Garchik entering into the Initial Promissory Note, each of the principal United States based subsidiaries of the Company agreed to, for the benefit and security of Garchik, guarantee the payment and performance all of the Company’s obligations under the Initial Promissory Note and the Guaranty.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Release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The following is a summary of the Credit facility balance, net as of March 31, 2023 (unaudited):</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initial drawdown due March 31, 2025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add: Accrued interest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r>
      <w:tr>
        <w:trPr>
          <w:trHeight w:val="237"/>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(449,450)</w:t>
            </w:r>
          </w:p>
        </w:tc>
      </w:tr>
      <w:tr>
        <w:trPr>
          <w:trHeight w:val="250"/>
        </w:trPr>
        <w:tc>
          <w:tcPr>
            <w:tcW w:w="10000" w:type="dxa"/>
            <w:vAlign w:val="bottom"/>
            <w:tcBorders>
              <w:top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458,800</w:t>
            </w:r>
          </w:p>
        </w:tc>
        <w:tc>
          <w:tcPr>
            <w:tcW w:w="100" w:type="dxa"/>
            <w:vAlign w:val="bottom"/>
            <w:tcBorders>
              <w:top w:val="single" w:sz="8" w:color="CCEEFF"/>
            </w:tcBorders>
          </w:tcPr>
          <w:p>
            <w:pPr>
              <w:spacing w:after="0"/>
              <w:rPr>
                <w:sz w:val="21"/>
                <w:szCs w:val="21"/>
                <w:color w:val="auto"/>
              </w:rPr>
            </w:pPr>
          </w:p>
        </w:tc>
      </w:tr>
      <w:tr>
        <w:trPr>
          <w:trHeight w:val="20"/>
        </w:trPr>
        <w:tc>
          <w:tcPr>
            <w:tcW w:w="10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NOTES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 the three months ended March 31, 2023 and 2022, the Company issued 545,342 and 0 shares of common stock for approximately $223,000 and $0, respectively of interest related to the Convertible Notes.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issuance of the Convertible Notes, the Company issued 142,690 common stock warrants to the broker and its representatives with an estimated grant date fair value of approximately $449,000 which has been recorded as a reduction in the carrying value of the Convertible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as of March 31, 2023 (unaudited):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9.75% convertible notes due March 31, 2025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9,125,205</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Unamortized debt discount expense</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(180,865)</w:t>
            </w:r>
          </w:p>
        </w:tc>
      </w:tr>
      <w:tr>
        <w:trPr>
          <w:trHeight w:val="237"/>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(960,444)</w:t>
            </w:r>
          </w:p>
        </w:tc>
      </w:tr>
      <w:tr>
        <w:trPr>
          <w:trHeight w:val="250"/>
        </w:trPr>
        <w:tc>
          <w:tcPr>
            <w:tcW w:w="1000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7,983,896</w:t>
            </w:r>
          </w:p>
        </w:tc>
        <w:tc>
          <w:tcPr>
            <w:tcW w:w="100" w:type="dxa"/>
            <w:vAlign w:val="bottom"/>
            <w:tcBorders>
              <w:top w:val="single" w:sz="8" w:color="CCEEFF"/>
            </w:tcBorders>
          </w:tcPr>
          <w:p>
            <w:pPr>
              <w:spacing w:after="0"/>
              <w:rPr>
                <w:sz w:val="21"/>
                <w:szCs w:val="21"/>
                <w:color w:val="auto"/>
              </w:rPr>
            </w:pPr>
          </w:p>
        </w:tc>
      </w:tr>
      <w:tr>
        <w:trPr>
          <w:trHeight w:val="20"/>
        </w:trPr>
        <w:tc>
          <w:tcPr>
            <w:tcW w:w="10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quarter ended March 31, 2022, two Directors, an affiliate of one of such Directors and one Executive Officer invested in $1.2 million of the Convertible Notes issued. See Note 6. In connection with the payment of interest on the Convertible Notes, 20,761 shares were issued to two Directors and an affiliate of one of the Directors. The Executive Officer resigned in June 2022 and the two directors resigned during the quarter ended March 31, 2023.</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Convertible Note holder, Mr. Ken Jisser, joined our Board of Directors on March 9, 2023. Mr. Jisser is the Founder and Chief Executive Officer of The Pipeline Group, Inc., a technology-enabled services company that assists the Company with pipeline generation.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Director and two Executive Officers invested $0.2 million in the common stock offering during the quarter ended March 31, 2022. The Director and Officers resigned during the quarter ended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21, 2022 the Company entered into the Original Facility Agreement with an accredited investor Mr. Stephen Garchik,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Original Facility Agreement. Pursuant to the Original Facility Agreement, the Company agreed to pay the Garchik the Facility Commitment Fee of 100,000 shares of our common stock upon the effective date of the Original Facility Agreement. Upon request by Mr. Garchik and until the full amount due under the Original Facility Agreement is repaid in full, the Company will provide for the nomination of one designee specified in writing by Garchik for appointment to our board of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considers himself a “director by deputization”.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As described in the Credit Facility footnote, Note 5, the Original Facility Agreement was amended and restated effective March 6, 2023 pursuant to which amendment the amount of the facility was reduced to $3.6 million, an initial advance of $900,000 was made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23, 2023, Mr. Thomas Thimot resigned as the Company’s Chief Executive Officer.</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earn for the annual bonus. The Company provided Mr. Daguro with an initial grant of options (“Initial Grant”) to purchase 2,455,000 shares of common stock at the exercise price of 0.397 per share for a period of ten years vesting subject to achievement of performance and service conditions. The exercise price of the Initial Grant is the closing price of the common stock on the Nasdaq Stock Market on the third trading day after the announcement of all pending material non-public information which was determined to be April 10, 2023. Upon the Company being able to grant additional options under a stock incentive plan, it will make an additional grant of options to Mr. Daguro to acquire 1,115,000 shares of common stock for a period of ten years vesting subject to achievement of performance and service conditions (the “Additional Grant”). The exercise price of the options shall be equal to the closing price of the common stock on the Nasdaq Stock Market on the date of such Additional Grant. If and to the extent that the exercise price under the Additional Grant is higher than the exercise price under the Initial Grant, the Company shall determine the incremental cost of the Additional Grant by deducting the exercise price of the Initial Grant from the exercise price of the Additional Grant and multiplying the difference by 1,115,000 (the “Difference”). The Difference shall be payable by the Company to Mr. Daguro as a bonus payable upon exercise of options comprised in the Additional Grant, by way of offset against the exercise price of such options to the extent of the total exercise price of the options being exercised at that time. To the extent that the entire Difference cannot be applied to any particular exercise, the balance shall be carried forward and applied to future exercises of the Additional Grant. In lieu of agreeing to pay the bonus, the Company may in its sole discretion elect to grant Mr. Daguro an additional 350,000 shares of common stock as part of the Additional Grant (for a total of 1,465,000 shares of common stock under the Additional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Messrs. Thimot, Phillip L. Kumnick, Philip R. Broenniman, Michael A. Gorriz and Ms. Neepa Patel tendered their resignations from the Board of Directors of the Company on March 9, 2023. The Board of Directors appointed Joseph Trelin to the Company’s Compensation and Audit Committees. On March 9, 2023, the Board of Directors appointed Rhon Daguro, Ken Jisser, Michael Thompson and Thomas Szoke as additional directors of the Company and reduced the size of the Board of Directors from 8 directors to 7 directors. The Company granted Messrs. Jisser, Thompson and Szoke 100,000 options each at the exercise price of $0.33 per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2023, the Company appointed Joe Trelin as the Chairman of the Board, Michael Koehneman as Chairman of the Governance Committee and appointed Michael Thompson to the Company’s Compensation and Governance Committees.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2023, the Company issued 545,342 shares of common stock for approximately $223,000 of interest accrued under the Convertible Notes. See Note 6 for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2022, shares of common stock were issued as a result of the following transactions:</w:t>
      </w:r>
    </w:p>
    <w:p>
      <w:pPr>
        <w:spacing w:after="0" w:line="225" w:lineRule="exact"/>
        <w:rPr>
          <w:sz w:val="20"/>
          <w:szCs w:val="20"/>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a total of approximately 28,500 shares of our common stock to the Note Investors as an additional origination fee.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186,488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warrant activity for the three months ended March 31, 2023. As of March 31, 2023, there are warrants to acquire 1,229,226 shares for a weighted average exercise price of $4.62 per share with weighted average remaining life of 2.7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2023, the Company granted 3 new directors, Messrs. Jisser, Thompson and Szoke 100,000 options each at the exercise price of $0.33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The following table summarizes stock option information as of March 31, 2023: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Outstanding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(Yrs.)</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Exercisable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$.03 - $4.00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3,360,376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$4.01- $7.00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151,667</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151,667</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$7.01 - $10.00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1,782,262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951,705</w:t>
            </w:r>
          </w:p>
        </w:tc>
        <w:tc>
          <w:tcPr>
            <w:tcW w:w="10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$10.01 - $15.97</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1,442,978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1,289,641</w:t>
            </w:r>
          </w:p>
        </w:tc>
        <w:tc>
          <w:tcPr>
            <w:tcW w:w="100" w:type="dxa"/>
            <w:vAlign w:val="bottom"/>
            <w:tcBorders>
              <w:bottom w:val="single" w:sz="8" w:color="CCEEFF"/>
            </w:tcBorders>
          </w:tcPr>
          <w:p>
            <w:pPr>
              <w:spacing w:after="0"/>
              <w:rPr>
                <w:sz w:val="20"/>
                <w:szCs w:val="20"/>
                <w:color w:val="auto"/>
              </w:rPr>
            </w:pPr>
          </w:p>
        </w:tc>
      </w:tr>
      <w:tr>
        <w:trPr>
          <w:trHeight w:val="250"/>
        </w:trPr>
        <w:tc>
          <w:tcPr>
            <w:tcW w:w="72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7,945,664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5,753,389</w:t>
            </w:r>
          </w:p>
        </w:tc>
        <w:tc>
          <w:tcPr>
            <w:tcW w:w="100" w:type="dxa"/>
            <w:vAlign w:val="bottom"/>
            <w:shd w:val="clear" w:color="auto" w:fill="CCEEFF"/>
          </w:tcPr>
          <w:p>
            <w:pPr>
              <w:spacing w:after="0"/>
              <w:rPr>
                <w:sz w:val="21"/>
                <w:szCs w:val="2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the Company recognized approximately $0.8 million of stock option based compensation expense. As of March 31, 2023, there was approximately $6.6 million of unrecognized compensation costs related to stock options outstanding that will be expensed through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DISCONTINUED OPERATIONS AND ASSETS HELD FOR SALE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authID considers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Cards Plus business in 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Cards Plus are classified as a discontinued operation and an asset held for sale, as all required classification criteria under appropriate accounting standards were met as of June 30,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29, 2022, the Company completed the sale of Cards Plus for a price of $300,000 of which $150,000 was received and the remaining balance of $150,000 recorded in other current asset is expected to be received within one year, less $3,272 in costs to sell, and recognized a loss of $188,247 from the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MultiPay business in 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exiting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product.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2023, all impacted employees had left the Company. MultiPay is leasing out its software to its one major customer and working to finalize the sale of the Company’s proprietary software to this same customer. The transaction is expected to complete by June 30, 2023.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of Cards Plus and MultiPay for the three months ended March 31, 2023 and 2022 on a consolidated basis are below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18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5960" w:type="dxa"/>
            <w:vAlign w:val="bottom"/>
            <w:gridSpan w:val="2"/>
          </w:tcPr>
          <w:p>
            <w:pPr>
              <w:spacing w:after="0" w:line="156" w:lineRule="exact"/>
              <w:rPr>
                <w:sz w:val="20"/>
                <w:szCs w:val="20"/>
                <w:color w:val="auto"/>
              </w:rPr>
            </w:pPr>
            <w:r>
              <w:rPr>
                <w:rFonts w:ascii="Arial" w:cs="Arial" w:eastAsia="Arial" w:hAnsi="Arial"/>
                <w:sz w:val="18"/>
                <w:szCs w:val="18"/>
                <w:color w:val="auto"/>
              </w:rPr>
              <w:t>Discontinued Operations</w:t>
            </w: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1"/>
              <w:spacing w:after="0" w:line="15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11"/>
              <w:spacing w:after="0" w:line="156" w:lineRule="exact"/>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5"/>
                <w:szCs w:val="15"/>
                <w:color w:val="auto"/>
              </w:rPr>
            </w:pPr>
          </w:p>
        </w:tc>
      </w:tr>
      <w:tr>
        <w:trPr>
          <w:trHeight w:val="41"/>
        </w:trPr>
        <w:tc>
          <w:tcPr>
            <w:tcW w:w="1800" w:type="dxa"/>
            <w:vAlign w:val="bottom"/>
            <w:tcBorders>
              <w:top w:val="single" w:sz="8" w:color="auto"/>
            </w:tcBorders>
          </w:tcPr>
          <w:p>
            <w:pPr>
              <w:spacing w:after="0"/>
              <w:rPr>
                <w:sz w:val="3"/>
                <w:szCs w:val="3"/>
                <w:color w:val="auto"/>
              </w:rPr>
            </w:pPr>
          </w:p>
        </w:tc>
        <w:tc>
          <w:tcPr>
            <w:tcW w:w="4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1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Total Revenues, net</w:t>
            </w:r>
          </w:p>
        </w:tc>
        <w:tc>
          <w:tcPr>
            <w:tcW w:w="2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442,310</w:t>
            </w:r>
          </w:p>
        </w:tc>
        <w:tc>
          <w:tcPr>
            <w:tcW w:w="100" w:type="dxa"/>
            <w:vAlign w:val="bottom"/>
            <w:shd w:val="clear" w:color="auto" w:fill="CCEEFF"/>
          </w:tcPr>
          <w:p>
            <w:pPr>
              <w:spacing w:after="0"/>
              <w:rPr>
                <w:sz w:val="20"/>
                <w:szCs w:val="20"/>
                <w:color w:val="auto"/>
              </w:rPr>
            </w:pPr>
          </w:p>
        </w:tc>
      </w:tr>
      <w:tr>
        <w:trPr>
          <w:trHeight w:val="216"/>
        </w:trPr>
        <w:tc>
          <w:tcPr>
            <w:tcW w:w="180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183,524</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143,703</w:t>
            </w:r>
          </w:p>
        </w:tc>
        <w:tc>
          <w:tcPr>
            <w:tcW w:w="100" w:type="dxa"/>
            <w:vAlign w:val="bottom"/>
          </w:tcPr>
          <w:p>
            <w:pPr>
              <w:spacing w:after="0"/>
              <w:rPr>
                <w:sz w:val="18"/>
                <w:szCs w:val="18"/>
                <w:color w:val="auto"/>
              </w:rPr>
            </w:pPr>
          </w:p>
        </w:tc>
      </w:tr>
      <w:tr>
        <w:trPr>
          <w:trHeight w:val="249"/>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6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16,177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640,812</w:t>
            </w:r>
          </w:p>
        </w:tc>
        <w:tc>
          <w:tcPr>
            <w:tcW w:w="100" w:type="dxa"/>
            <w:vAlign w:val="bottom"/>
            <w:tcBorders>
              <w:bottom w:val="single" w:sz="8" w:color="CCEEFF"/>
            </w:tcBorders>
          </w:tcPr>
          <w:p>
            <w:pPr>
              <w:spacing w:after="0"/>
              <w:rPr>
                <w:sz w:val="18"/>
                <w:szCs w:val="18"/>
                <w:color w:val="auto"/>
              </w:rPr>
            </w:pPr>
          </w:p>
        </w:tc>
      </w:tr>
      <w:tr>
        <w:trPr>
          <w:trHeight w:val="216"/>
        </w:trPr>
        <w:tc>
          <w:tcPr>
            <w:tcW w:w="18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Loss from operations</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3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(198,502)</w:t>
            </w:r>
          </w:p>
        </w:tc>
      </w:tr>
      <w:tr>
        <w:trPr>
          <w:trHeight w:val="216"/>
        </w:trPr>
        <w:tc>
          <w:tcPr>
            <w:tcW w:w="18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r>
      <w:tr>
        <w:trPr>
          <w:trHeight w:val="23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r>
      <w:tr>
        <w:trPr>
          <w:trHeight w:val="223"/>
        </w:trPr>
        <w:tc>
          <w:tcPr>
            <w:tcW w:w="59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(195,171)</w:t>
            </w:r>
          </w:p>
        </w:tc>
      </w:tr>
      <w:tr>
        <w:trPr>
          <w:trHeight w:val="216"/>
        </w:trPr>
        <w:tc>
          <w:tcPr>
            <w:tcW w:w="1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r>
      <w:tr>
        <w:trPr>
          <w:trHeight w:val="216"/>
        </w:trPr>
        <w:tc>
          <w:tcPr>
            <w:tcW w:w="180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2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(2,255</w:t>
            </w:r>
            <w:r>
              <w:rPr>
                <w:rFonts w:ascii="Arial" w:cs="Arial" w:eastAsia="Arial" w:hAnsi="Arial"/>
                <w:sz w:val="29"/>
                <w:szCs w:val="29"/>
                <w:color w:val="auto"/>
                <w:vertAlign w:val="superscript"/>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(196,520</w:t>
            </w:r>
            <w:r>
              <w:rPr>
                <w:rFonts w:ascii="Arial" w:cs="Arial" w:eastAsia="Arial" w:hAnsi="Arial"/>
                <w:sz w:val="29"/>
                <w:szCs w:val="29"/>
                <w:color w:val="auto"/>
                <w:vertAlign w:val="superscript"/>
              </w:rPr>
              <w:t>)</w:t>
            </w:r>
          </w:p>
        </w:tc>
      </w:tr>
      <w:tr>
        <w:trPr>
          <w:trHeight w:val="21"/>
        </w:trPr>
        <w:tc>
          <w:tcPr>
            <w:tcW w:w="18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Cards Plus</w:t>
            </w:r>
          </w:p>
        </w:tc>
        <w:tc>
          <w:tcPr>
            <w:tcW w:w="448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180" w:type="dxa"/>
            <w:vAlign w:val="bottom"/>
            <w:gridSpan w:val="2"/>
            <w:vMerge w:val="continue"/>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80" w:type="dxa"/>
            <w:vAlign w:val="bottom"/>
            <w:tcBorders>
              <w:top w:val="single" w:sz="8" w:color="auto"/>
            </w:tcBorders>
          </w:tcPr>
          <w:p>
            <w:pPr>
              <w:spacing w:after="0"/>
              <w:rPr>
                <w:sz w:val="4"/>
                <w:szCs w:val="4"/>
                <w:color w:val="auto"/>
              </w:rPr>
            </w:pPr>
          </w:p>
        </w:tc>
        <w:tc>
          <w:tcPr>
            <w:tcW w:w="34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53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44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503,767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gridSpan w:val="2"/>
          </w:tcPr>
          <w:p>
            <w:pPr>
              <w:ind w:left="500"/>
              <w:spacing w:after="0"/>
              <w:rPr>
                <w:sz w:val="20"/>
                <w:szCs w:val="20"/>
                <w:color w:val="auto"/>
              </w:rPr>
            </w:pPr>
            <w:r>
              <w:rPr>
                <w:rFonts w:ascii="Arial" w:cs="Arial" w:eastAsia="Arial" w:hAnsi="Arial"/>
                <w:sz w:val="18"/>
                <w:szCs w:val="18"/>
                <w:color w:val="auto"/>
              </w:rPr>
              <w:t>Loss from operations</w:t>
            </w:r>
          </w:p>
        </w:tc>
        <w:tc>
          <w:tcPr>
            <w:tcW w:w="4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(130,609)</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4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(127,625)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4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53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(122,944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433" w:gutter="0" w:footer="0" w:header="0"/>
        </w:sectPr>
      </w:pPr>
    </w:p>
    <w:bookmarkStart w:id="18" w:name="page19"/>
    <w:bookmarkEnd w:id="18"/>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MultiPay</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16,177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137,045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60" w:type="dxa"/>
            <w:vAlign w:val="bottom"/>
            <w:gridSpan w:val="2"/>
          </w:tcPr>
          <w:p>
            <w:pPr>
              <w:ind w:left="50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(67,893)</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(1,858)</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(67,546)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gridSpan w:val="2"/>
          </w:tcPr>
          <w:p>
            <w:pPr>
              <w:ind w:left="50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6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(2,255</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256" w:lineRule="exact"/>
              <w:rPr>
                <w:sz w:val="20"/>
                <w:szCs w:val="20"/>
                <w:color w:val="auto"/>
              </w:rPr>
            </w:pPr>
            <w:r>
              <w:rPr>
                <w:rFonts w:ascii="Arial" w:cs="Arial" w:eastAsia="Arial" w:hAnsi="Arial"/>
                <w:sz w:val="16"/>
                <w:szCs w:val="16"/>
                <w:color w:val="auto"/>
              </w:rPr>
              <w:t>(73,576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meeting the discontinued operations/assets held for sale criteria for the MultiPay operations, the assets and liabilities have been reclassified as assets held for sale as of the respective balance sheet date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Discontinued Operations Current Assets: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Current assets held for sale</w:t>
            </w:r>
          </w:p>
        </w:tc>
        <w:tc>
          <w:tcPr>
            <w:tcW w:w="4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64,671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118,459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Noncurrent Assets: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Noncurrent assets held for sale</w:t>
            </w:r>
          </w:p>
        </w:tc>
        <w:tc>
          <w:tcPr>
            <w:tcW w:w="4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23,685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300" w:type="dxa"/>
            <w:vAlign w:val="bottom"/>
          </w:tcPr>
          <w:p>
            <w:pPr>
              <w:ind w:left="340"/>
              <w:spacing w:after="0"/>
              <w:rPr>
                <w:sz w:val="20"/>
                <w:szCs w:val="20"/>
                <w:color w:val="auto"/>
              </w:rPr>
            </w:pPr>
            <w:r>
              <w:rPr>
                <w:rFonts w:ascii="Arial" w:cs="Arial" w:eastAsia="Arial" w:hAnsi="Arial"/>
                <w:sz w:val="18"/>
                <w:szCs w:val="18"/>
                <w:color w:val="auto"/>
              </w:rPr>
              <w:t>Total assets held for sale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88,356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146,054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Liabilities: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liabilities held for sale</w:t>
            </w:r>
          </w:p>
        </w:tc>
        <w:tc>
          <w:tcPr>
            <w:tcW w:w="43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4340" w:type="dxa"/>
            <w:vAlign w:val="bottom"/>
            <w:vMerge w:val="restart"/>
          </w:tcPr>
          <w:p>
            <w:pPr>
              <w:jc w:val="right"/>
              <w:ind w:right="28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As a result of meeting the discontinued operations/assets held for sale criteria for Cards Plus and the MultiPay operations, the cash flow activity related to discontinued operations is presented separately on the statement of cash flows as summarized below (unaudited):</w:t>
      </w:r>
    </w:p>
    <w:p>
      <w:pPr>
        <w:spacing w:after="0" w:line="166"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(196,520)</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with cash flows from operations: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Impairment of intangible assets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143,703</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(27,464)</w:t>
            </w: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 direct financing lease Leases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(227,669)</w:t>
            </w: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285,949</w:t>
            </w:r>
          </w:p>
        </w:tc>
        <w:tc>
          <w:tcPr>
            <w:tcW w:w="100" w:type="dxa"/>
            <w:vAlign w:val="bottom"/>
          </w:tcPr>
          <w:p>
            <w:pPr>
              <w:spacing w:after="0"/>
              <w:rPr>
                <w:sz w:val="18"/>
                <w:szCs w:val="18"/>
                <w:color w:val="auto"/>
              </w:rPr>
            </w:pPr>
          </w:p>
        </w:tc>
      </w:tr>
      <w:tr>
        <w:trPr>
          <w:trHeight w:val="24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(4,872)</w:t>
            </w:r>
          </w:p>
        </w:tc>
      </w:tr>
      <w:tr>
        <w:trPr>
          <w:trHeight w:val="210"/>
        </w:trPr>
        <w:tc>
          <w:tcPr>
            <w:tcW w:w="71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Adjustments relating to discontinued operations</w:t>
            </w:r>
          </w:p>
        </w:tc>
        <w:tc>
          <w:tcPr>
            <w:tcW w:w="15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60,494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225,769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flows from discontinued operations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w:t>
            </w:r>
          </w:p>
        </w:tc>
        <w:tc>
          <w:tcPr>
            <w:tcW w:w="100" w:type="dxa"/>
            <w:vAlign w:val="bottom"/>
            <w:shd w:val="clear" w:color="auto" w:fill="CCEEFF"/>
          </w:tcPr>
          <w:p>
            <w:pPr>
              <w:spacing w:after="0"/>
              <w:rPr>
                <w:sz w:val="21"/>
                <w:szCs w:val="21"/>
                <w:color w:val="auto"/>
              </w:rPr>
            </w:pPr>
          </w:p>
        </w:tc>
      </w:tr>
      <w:tr>
        <w:trPr>
          <w:trHeight w:val="21"/>
        </w:trPr>
        <w:tc>
          <w:tcPr>
            <w:tcW w:w="7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Cards Plus – The Company recognized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MultiPay recognizes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rented office space in Long Beach, New York at a monthly cost of $2,500 in 2022. The agreement was month to month and could be terminated on 30 days notice. The lease agreement was terminated in July 2022. The agreement was between the Company and Bridgeworks LLC, an entity principally owned by Mr. Beck, the Company’s former CEO and Director and his family.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the Company signed a new lease agreement for one year and moved its headquarters to Denver, Colorado. The office monthly lease cost is approximately $1,500 per month.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included in general and administrative expense on the Consolidated Statements of Operations for the three months ended March 31, 2023 and 2022 was approximately $5,000 and $21,000,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authID Inc. is a leading provider of secure, authentication solutions delivered by our easy to integrate Verified platform. Our Verified platform that</w:t>
      </w:r>
    </w:p>
    <w:p>
      <w:pPr>
        <w:spacing w:after="0" w:line="4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delivers Human Factor Authentication</w:t>
      </w:r>
      <w:r>
        <w:rPr>
          <w:rFonts w:ascii="Arial" w:cs="Arial" w:eastAsia="Arial" w:hAnsi="Arial"/>
          <w:sz w:val="29"/>
          <w:szCs w:val="29"/>
          <w:color w:val="auto"/>
          <w:vertAlign w:val="superscript"/>
        </w:rPr>
        <w:t>TM</w:t>
      </w:r>
      <w:r>
        <w:rPr>
          <w:rFonts w:ascii="Arial" w:cs="Arial" w:eastAsia="Arial" w:hAnsi="Arial"/>
          <w:sz w:val="18"/>
          <w:szCs w:val="18"/>
          <w:color w:val="auto"/>
        </w:rPr>
        <w:t>, binds strong passwordless authentication with biometric identity, which offers our customers a streamlined path to zero trust architecture. Verified FIDO2 passwordless authentication is certified by the FIDO Alliance to be compliant and interoperable with FIDO specifications.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authID provides secure, facial biometric, identity verification, and strong customer authentication. We maintain a global, cloud-based Verified platform for our enterprise customers or employees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their Employee or their Member.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believes that some of the advantages of our Verified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authID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The Company also owns an entity in Colombia, MultiPay. On May 4, 2022, the Board approved a plan to exit from certain non-core activities comprising the MultiPay correspondent bank, payments services in Colombia and the Cards Plus cards manufacturing and printing business in South Africa. On August 29, 2022 the Company completed the sale of Cards Plus business. See Discontinued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was incorporated in the State of Delaware on September 21, 2011 and changed our name to authID Inc. on July 18, 2022.</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is traded on the Nasdaq Capital Market under the trading symbol “AUID”. Our corporate headquarters have been relocated to 1385 S. Colorado Blvd., Building A Suite 322, Denver, CO 80222 and our main phone number remains as is (516) 274-8700. We maintain a website at www.authID.ai. The information contained on, or that can be accessed through, our websites is not incorporated by reference into this prospectus and is intended for informational purposes only.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2023, the Company had an accumulated deficit of approximately $145 million. For the three months ended March 31, 2023, the Company earned revenue of approximately $0.04 million, used approximately $2.2 million to fund its operations, and incurred a net loss from continuing operations of approximately $5.3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restricted stock) and (6)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spacing w:after="0" w:line="1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Reconciliation of Loss from Continuing Operations to Adjusted EBITDA Continuing Operations.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6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6"/>
        </w:trPr>
        <w:tc>
          <w:tcPr>
            <w:tcW w:w="8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(5,220,239)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(5,104,208)</w:t>
            </w:r>
          </w:p>
        </w:tc>
      </w:tr>
      <w:tr>
        <w:trPr>
          <w:trHeight w:val="216"/>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Addback: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debt discount and debt issuance costs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(1,456)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Severance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215,476</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Non-cash recruiting fees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Adjusted EBITDA continuing operations (Non-GAAP)</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(2,835,370</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1"/>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and 2022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2023, the Company’s revenues were approximately $38,000 compared to approximately $165,000 in the three months ended March 31, 2022, respectively. This decrease represented a significant drop in revenue from legacy authentication services due to the loss of a large customer that decommissioned a legacy product offering as of April 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2023 general and administrative expenses decreased by approximately $0.4 million compared to the three months ended March 31, 2022 as we executed on the restructuring plan to reduce our operating costs, partially offset by increase in severance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periods ended March 31, 2023 compared to March 31, 2022, research and development expenses decreased by approximately $0.3 million as the Company executed on the restructuring plan to reduce its operating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2023 compared to March 31, 2022, depreciation and amortization expense was approximately $0.1 and $0.2 million, respectively, less as the Company impaired the value of its intangible assets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debt issuance costs amortization expense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and debt issuance costs amortization expense increased during the three-month periods ended March 31, 2023 compared to March 31, 2022 by approximately $0.7 million as the Company issued $9.2 million Convertible Notes in March 2022 and the Company wrote off debt issuance costs of $0.4 million related to the Credit Facility as it was amended and restated in March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Three Months Ended March 31, 2023 and 2022 – Discontinued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of authID considers it in the best interests of the Company to focus its business activities on providing biometric identity verification products and services by means of our proprietary Verified platform. Accordingly, on May 4, 2022, the Board approved a plan to exit from certain non-core activities comprising the MultiPay correspondent bank, payment services in Columbia and the Cards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Cards Plus business in South Africa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29, 2022, the Company completed the sale of Cards Plus business for a price of $300,000, less $3,272 in costs to sell, and recognized a loss of $188,247 from the transaction. Of the $300,000 gross proceeds, $150,000 was paid on closing and the remaining $150,000 is expected to be paid in a year, which is currently recorded in other current assets as of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MultiPay business in Colombia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exiting the MultiPay business in Colombia in an orderly fashion, honoring our obligations to employees, customers and under applicable laws and regulations. We plan to maintain our customer support and operations team in Bogota, which performs essential functions to support the global operations of our Verified product.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impacted employees had left the Company and the Company also paid each employee their compensation entitlements and severance packages under the MultiPay retention plan and obligations under the appropriate statutes.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working with a major customer for the leasing and sale of certain MultiPay’s proprietary software. The transaction is expected to complete by June 30, 2023.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of Cards Plus and MultiPay have been classified as discontinued operations as of June 30, 2022, as all required classification criteria under appropriate accounting guidance were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approximately $1.6 million of cash on hand and approximately $0 million of working capital as of March 31, 2023.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operating activities was approximately $2.2 million and $3.1 million in the three months ended March 31, 2023 and 2022,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in the three months ended March 31, 2023 consisted of $0.5 million initial drawdown net of debt issuance costs on the Company’s amended and restated credit facility. Cash provided by financing activities in the three months ended March 31, 2022 was approximately $10.8 million which consisted of $8 million convertible notes net of debt discount and debt issuance costs and $3.1 million sale of common stock, net of offering costs.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Company cannot predict the potential impact of any future pandemics.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Ukraine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ongoing war in Ukraine may impact the Company and its operations in a number of different ways, which are yet to be fully assessed and are therefore causing uncertainty. The Company works with third party sub-contractors for outsourced services, including software engineering and development, some of whom are based in Eastern Europe, including Ukraine. The Company also works with outsourced engineers and developers and third-party providers in other parts of the world, including the United States, Latvia and South America. While the continuing impact of this conflict and the response of the United States and other countries to it by means of trade and economic sanctions, or other actions is still unknown, any disruption of our ability to work with such contractors caused by this conflict could require the Company to seek alternative sub-contractors at short notice, which may give rise to additional costs and delays in delivering software and product upgrades.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which may make it more difficult for the Company to raise additional capital at the time when it needs to do so, or for financing to be available on acceptable terms. All or any of these risks separately, or in combination,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2023,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three months ended March 31, 2023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year ended December 31, 2022, some of which are summarized at the beginning of this Quarterly Report. There has been no material change in our risk factors from those previously discussed in the Annual Report on Form 10-K. We operate in a business environment that is sensitive to political, economic and regulatory uncertainty, including with respect to cybersecurity and infrastructure investment, all of which may also be compounded by any future global impact from the COVID-19 pandemic, the continuing war in Ukraine and inflationary pressures, rising energy prices and increases in interest rates (see “</w:t>
      </w:r>
      <w:r>
        <w:rPr>
          <w:rFonts w:ascii="Arial" w:cs="Arial" w:eastAsia="Arial" w:hAnsi="Arial"/>
          <w:sz w:val="18"/>
          <w:szCs w:val="18"/>
          <w:i w:val="1"/>
          <w:iCs w:val="1"/>
          <w:color w:val="auto"/>
        </w:rPr>
        <w:t>Covid 19</w:t>
      </w:r>
      <w:r>
        <w:rPr>
          <w:rFonts w:ascii="Arial" w:cs="Arial" w:eastAsia="Arial" w:hAnsi="Arial"/>
          <w:sz w:val="18"/>
          <w:szCs w:val="18"/>
          <w:color w:val="auto"/>
        </w:rPr>
        <w:t>” and “</w:t>
      </w:r>
      <w:r>
        <w:rPr>
          <w:rFonts w:ascii="Arial" w:cs="Arial" w:eastAsia="Arial" w:hAnsi="Arial"/>
          <w:sz w:val="18"/>
          <w:szCs w:val="18"/>
          <w:i w:val="1"/>
          <w:iCs w:val="1"/>
          <w:color w:val="auto"/>
        </w:rPr>
        <w:t>Ukraine</w:t>
      </w:r>
      <w:r>
        <w:rPr>
          <w:rFonts w:ascii="Arial" w:cs="Arial" w:eastAsia="Arial" w:hAnsi="Arial"/>
          <w:sz w:val="18"/>
          <w:szCs w:val="18"/>
          <w:color w:val="auto"/>
        </w:rPr>
        <w: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Meeting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2023 Annual Meeting of Stockholders for the Company is tentatively scheduled to be held on June 26, 2023, which date is subject to change and is more than 30 days from the one year anniversary of the date on which the 2022 Annual Meeting of Stockholders took place. The proxy rules promulgated by the Securities and Exchange Commission under the Securities Exchange Act of 1934 require the Company to inform stockholders of such change in date in addition to the new deadline for stockholder proposals in the Company’s earliest possible Quarterly Report on Form 10-Q, or, if impracticable, by any means reasonably calculated to inform stockholders. Accordingly, as previously reported on Form 8-K Current Report filed with the Securities and Exchange Commission on April 21, 2023, the Company has notified our stockholders that stockholder proposals for its 2023 Annual Meeting must be submitted to the Company no later than May 3, 2023 (which the Company determined to be a reasonable time before it expects to file its preliminary proxy with the Securities and Exchange Commission and begin to print and distribute its proxy materials prior to the Annual Meeting).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Engagement of Thomas R. Szoke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12, 2023, the Company and Thomas R. Szoke, a director of the Company, entered an Offer Letter pursuant to which Mr. Szoke agreed to serve as Chief Technology Officer of the Company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For subsequent years, Mr. Szoke and the Compensation Committee of the Board will mutually agree as to the performance targets to earn for the annual bonus.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vesting criteria of Mr. Szoke’s Stock Options to acquire 100,000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Upon the Company being able to grant additional options under a stock incentive plan, it will make an additional grant of options to Mr. Szoke to acquire 400,000 shares of common stock for a period of ten years vesting subject to achievement of performance and service conditions (the “Additional Grant”). The exercise price of the options shall be equal to the closing price of the common stock on the Nasdaq Stock Market on the date of such Additional Grant.</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4, 2023, the Company received a notice letter from the Listing Qualifications staff of The NASDAQ Stock Market LLC (“Nasdaq”) indicating that the Company was not in compliance with Nasdaq Listing Rule 5550(b)(1) (“Rule 5550(b)(1)”) as the Company’s stockholders’ equity of $283,536, as reported on the Company’s Annual Report on Form 10-K for the period ended December 31, 2022, was below $2.5 million, which is the minimum stockholders’ equity required for compliance with Rule 5550(b)(1). Further, as of April 3, 2023, the Company did not meet the alternative compliance standards relating to the market value of listed securities, or net income from continuing operations. The Company is also not currently in compliance with the Nasdaq continued listing requirement that the Company maintain a bid price for the Company’s common stock of above $1.00 per share (the “Bid Price Requirement”).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notice does not result in the immediate delisting of the Company’s common stock from the Nasdaq Capital Market. The Company is currently evaluating options to regain compliance and intends to timely submit a plan to regain compliance with Nasdaq’s minimum stockholders’ equity requirement.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both"/>
        <w:ind w:firstLine="648"/>
        <w:spacing w:after="0" w:line="271" w:lineRule="auto"/>
        <w:rPr>
          <w:sz w:val="20"/>
          <w:szCs w:val="20"/>
          <w:color w:val="auto"/>
        </w:rPr>
      </w:pPr>
      <w:r>
        <w:rPr>
          <w:rFonts w:ascii="Arial" w:cs="Arial" w:eastAsia="Arial" w:hAnsi="Arial"/>
          <w:sz w:val="17"/>
          <w:szCs w:val="17"/>
          <w:color w:val="auto"/>
        </w:rPr>
        <w:t>There can be no assurance that the Company will be able to regain compliance with Nasdaq’s minimum stockholders’ equity requirement or maintain compliance with the other listing requirements. Nasdaq has provided the Company with 45-calendar days, or until May 19, 2023, to submit a plan to regain compliance. If Nasdaq accepts the Company’s plan, Nasdaq may grant an extension of up to 180 calendar days from the date of the notice, or until October 1, 2023, for the Company to demonstrate compliance with Rule 5550(b)(1). If Nasdaq does not accept the Company’s plan, or if Nasdaq does not grant an extension until, and the Company does not regain compliance by, October 1, 2023, or if the Company fails to satisfy another Nasdaq requirement for continued listing such as the Bid Price Requirement, Nasdaq could provide notice that the Company’s securities will become subject to delisting. In such event, Nasdaq rules permit the Company to request a hearing before an independent Hearings Panel, which has the authority to grant the Company an additional extension of time of up to 180 calendar days to regain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of Rhoniel A. Daguro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earn for the annual bonus.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10, 2023 the Company provided Mr. Daguro with an initial grant of options (“Initial Grant”) to purchase 2,455,000 shares of common stock for a period of ten years vesting subject to achievement of performance and service conditions, at an exercise price of $0.397. Upon the Company being able to grant additional options under a stock incentive plan, it will make an additional grant of options to Mr. Daguro to acquire 1,115,000 shares of common stock for a period of ten years vesting subject to achievement of performance and service conditions (the “Additional Grant”). The exercise price of the options shall be equal to the closing price of the common stock on the Nasdaq Stock Market on the date of such Additional Grant. If and to the extent that the exercise price under the Additional Grant is higher than the exercise price under the Initial Grant, the Company shall determine the incremental cost of the Additional Grant by deducting the exercise price of the Initial Grant from the exercise price of the Additional Grant and multiplying the difference by 1,115,000 (the “Difference”). The Difference shall be payable by the Company to Mr. Daguro as a bonus payable upon exercise of options comprised in the Additional Grant, by way of offset against the exercise price of such options to the extent of the total exercise price of the options being exercised at that time. To the extent that the entire Difference cannot be applied to any particular exercise, the balance shall be carried forward and applied to future exercises of the Additional Grant. In lieu of agreeing to pay the bonus, the Company may in its sole discretion elect to grant Mr. Daguro an additional 350,000 shares of common stock as part of the Additional Grant (for a total of 1,465,000 shares of common stock under the Additional Grant).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employment of Mr. Daguro is at will and may be terminated at any time, with or without formal cause. 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Separation – Thomas Thimot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and is subordinated to the initial advance in the amount of $900,000 made pursuant to the Amended</w:t>
      </w:r>
    </w:p>
    <w:p>
      <w:pPr>
        <w:spacing w:after="0" w:line="2" w:lineRule="exact"/>
        <w:rPr>
          <w:sz w:val="20"/>
          <w:szCs w:val="20"/>
          <w:color w:val="auto"/>
        </w:rPr>
      </w:pPr>
    </w:p>
    <w:p>
      <w:pPr>
        <w:jc w:val="both"/>
        <w:ind w:firstLine="8"/>
        <w:spacing w:after="0" w:line="253" w:lineRule="auto"/>
        <w:tabs>
          <w:tab w:leader="none" w:pos="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Restated Facility Agreement entered into as of March 8, 2023 between the Company and Stephen Garchik, as well as to all present and future secured indebtedness of the Company under the Senior Convertible Notes issued by the Company as of March 21, 2022 and pursuant to such Facility Agreement. Mr. Thimot will also be eligible for certain health benefits. The exercise period with respect to Mr. Thimot’s stock option to acquire 262,500 shares of common stock at an exercise price of $7.20 per share was extended through March 23, 2027. All unvested grants or other equity awards lapsed and are no longer exercisable as of the separation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Garchik Facility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March 21, 2022,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entered into a Facility Agreement with Stephen J. Garchik, who was and is a shareholder of the Company (“</w:t>
      </w:r>
      <w:r>
        <w:rPr>
          <w:rFonts w:ascii="Arial" w:cs="Arial" w:eastAsia="Arial" w:hAnsi="Arial"/>
          <w:sz w:val="18"/>
          <w:szCs w:val="18"/>
          <w:u w:val="single" w:color="auto"/>
          <w:color w:val="auto"/>
        </w:rPr>
        <w:t>Garchik</w:t>
      </w:r>
      <w:r>
        <w:rPr>
          <w:rFonts w:ascii="Arial" w:cs="Arial" w:eastAsia="Arial" w:hAnsi="Arial"/>
          <w:sz w:val="18"/>
          <w:szCs w:val="18"/>
          <w:color w:val="auto"/>
        </w:rPr>
        <w:t>”), pursuant to which Garchik agreed to provide to the Company a $10.0 million unsecured standby line of credit facility that could be drawn down in several tranches, subject to certain conditions described in the Facility Agreement (the “</w:t>
      </w:r>
      <w:r>
        <w:rPr>
          <w:rFonts w:ascii="Arial" w:cs="Arial" w:eastAsia="Arial" w:hAnsi="Arial"/>
          <w:sz w:val="18"/>
          <w:szCs w:val="18"/>
          <w:u w:val="single" w:color="auto"/>
          <w:color w:val="auto"/>
        </w:rPr>
        <w:t>Original Facility Agreement</w:t>
      </w:r>
      <w:r>
        <w:rPr>
          <w:rFonts w:ascii="Arial" w:cs="Arial" w:eastAsia="Arial" w:hAnsi="Arial"/>
          <w:sz w:val="18"/>
          <w:szCs w:val="18"/>
          <w:color w:val="auto"/>
        </w:rPr>
        <w:t>”). Pursuant to the Original Facility Agreement, the Company paid Garchik a facility commitment fee of 100,000 shares of our common stock (the “</w:t>
      </w:r>
      <w:r>
        <w:rPr>
          <w:rFonts w:ascii="Arial" w:cs="Arial" w:eastAsia="Arial" w:hAnsi="Arial"/>
          <w:sz w:val="18"/>
          <w:szCs w:val="18"/>
          <w:u w:val="single" w:color="auto"/>
          <w:color w:val="auto"/>
        </w:rPr>
        <w:t>Facility Commitment Fee</w:t>
      </w:r>
      <w:r>
        <w:rPr>
          <w:rFonts w:ascii="Arial" w:cs="Arial" w:eastAsia="Arial" w:hAnsi="Arial"/>
          <w:sz w:val="18"/>
          <w:szCs w:val="18"/>
          <w:color w:val="auto"/>
        </w:rPr>
        <w:t>”) upon the effective date of the Original Facility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8, 2023, the Company entered into an Amended and Restated Facility Agreement with Garchik, pursuant to which the Company and Garchik amended and restated the Original Facility Agreement in its entirety (the “</w:t>
      </w:r>
      <w:r>
        <w:rPr>
          <w:rFonts w:ascii="Arial" w:cs="Arial" w:eastAsia="Arial" w:hAnsi="Arial"/>
          <w:sz w:val="18"/>
          <w:szCs w:val="18"/>
          <w:u w:val="single" w:color="auto"/>
          <w:color w:val="auto"/>
        </w:rPr>
        <w:t>A&amp;R Facility Agreement</w:t>
      </w:r>
      <w:r>
        <w:rPr>
          <w:rFonts w:ascii="Arial" w:cs="Arial" w:eastAsia="Arial" w:hAnsi="Arial"/>
          <w:sz w:val="18"/>
          <w:szCs w:val="18"/>
          <w:color w:val="auto"/>
        </w:rPr>
        <w:t>”), to replace the credit facility contemplated by the Original Facility Agreement with (i) an initial credit facility to the Company in an amount of $900,000 (the “</w:t>
      </w:r>
      <w:r>
        <w:rPr>
          <w:rFonts w:ascii="Arial" w:cs="Arial" w:eastAsia="Arial" w:hAnsi="Arial"/>
          <w:sz w:val="18"/>
          <w:szCs w:val="18"/>
          <w:u w:val="single" w:color="auto"/>
          <w:color w:val="auto"/>
        </w:rPr>
        <w:t>Initial Funding</w:t>
      </w:r>
      <w:r>
        <w:rPr>
          <w:rFonts w:ascii="Arial" w:cs="Arial" w:eastAsia="Arial" w:hAnsi="Arial"/>
          <w:sz w:val="18"/>
          <w:szCs w:val="18"/>
          <w:color w:val="auto"/>
        </w:rPr>
        <w:t>”) and (ii) the parties to use their reasonable best efforts after the Initial Funding to negotiate the terms of a subsequent credit facility in the aggregate amount of $2,700,000 (the “</w:t>
      </w:r>
      <w:r>
        <w:rPr>
          <w:rFonts w:ascii="Arial" w:cs="Arial" w:eastAsia="Arial" w:hAnsi="Arial"/>
          <w:sz w:val="18"/>
          <w:szCs w:val="18"/>
          <w:u w:val="single" w:color="auto"/>
          <w:color w:val="auto"/>
        </w:rPr>
        <w:t>Subsequent Funding</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9, 2023, pursuant to the A&amp;R Facility Agreement, the Company entered into a promissory note in favor of Garchik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Promissory Note</w:t>
      </w:r>
      <w:r>
        <w:rPr>
          <w:rFonts w:ascii="Arial" w:cs="Arial" w:eastAsia="Arial" w:hAnsi="Arial"/>
          <w:sz w:val="18"/>
          <w:szCs w:val="18"/>
          <w:color w:val="auto"/>
        </w:rPr>
        <w:t>”), pursuant to which Garchik loaned $900,000 (the “</w:t>
      </w:r>
      <w:r>
        <w:rPr>
          <w:rFonts w:ascii="Arial" w:cs="Arial" w:eastAsia="Arial" w:hAnsi="Arial"/>
          <w:sz w:val="18"/>
          <w:szCs w:val="18"/>
          <w:u w:val="single" w:color="auto"/>
          <w:color w:val="auto"/>
        </w:rPr>
        <w:t>Principal Amount</w:t>
      </w:r>
      <w:r>
        <w:rPr>
          <w:rFonts w:ascii="Arial" w:cs="Arial" w:eastAsia="Arial" w:hAnsi="Arial"/>
          <w:sz w:val="18"/>
          <w:szCs w:val="18"/>
          <w:color w:val="auto"/>
        </w:rPr>
        <w:t>”) to the Company. At the same time, as a condition to Garchik providing the Principal Amount, certain of the Company’s subsidiaries, ID Solutions, Inc., FIN Holdings, Inc. and Innovation in Motion, Inc. (the “</w:t>
      </w:r>
      <w:r>
        <w:rPr>
          <w:rFonts w:ascii="Arial" w:cs="Arial" w:eastAsia="Arial" w:hAnsi="Arial"/>
          <w:sz w:val="18"/>
          <w:szCs w:val="18"/>
          <w:u w:val="single" w:color="auto"/>
          <w:color w:val="auto"/>
        </w:rPr>
        <w:t>Guarantors</w:t>
      </w:r>
      <w:r>
        <w:rPr>
          <w:rFonts w:ascii="Arial" w:cs="Arial" w:eastAsia="Arial" w:hAnsi="Arial"/>
          <w:sz w:val="18"/>
          <w:szCs w:val="18"/>
          <w:color w:val="auto"/>
        </w:rPr>
        <w:t>”) entered into a guaranty of the Initial Promissory Note with Garchik (the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A&amp;R Facility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A&amp;R Facility Agreement, Garchik agreed to provide the Initial Funding to the Company upon receipt of a fully executed Initial Promissory Note and an executed Release Agreement relating to the Original Facility Agreement (the “</w:t>
      </w:r>
      <w:r>
        <w:rPr>
          <w:rFonts w:ascii="Arial" w:cs="Arial" w:eastAsia="Arial" w:hAnsi="Arial"/>
          <w:sz w:val="16"/>
          <w:szCs w:val="16"/>
          <w:u w:val="single" w:color="auto"/>
          <w:color w:val="auto"/>
        </w:rPr>
        <w:t>Release Agreement</w:t>
      </w:r>
      <w:r>
        <w:rPr>
          <w:rFonts w:ascii="Arial" w:cs="Arial" w:eastAsia="Arial" w:hAnsi="Arial"/>
          <w:sz w:val="16"/>
          <w:szCs w:val="16"/>
          <w:color w:val="auto"/>
        </w:rPr>
        <w:t>”). The Company and Garchik have agreed to use reasonable best efforts to negotiate the terms of the Subsequent Funding, and the A&amp;R Facility Agreement will terminate if definitive documentation for the Subsequent Funding is not entered into before July 1, 2023, for any reason other than breach of a party’s obligations.</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the terms of the Subsequent Funding are subject to due diligence and final documentation, a summary of selected terms of the proposed financing is attached to the A&amp;R Facility Agreement as Exhibit B thereto. 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Senior Secured Convertible Notes entered into between the Company and certain noteholders on March 21, 2022 (the “</w:t>
      </w:r>
      <w:r>
        <w:rPr>
          <w:rFonts w:ascii="Arial" w:cs="Arial" w:eastAsia="Arial" w:hAnsi="Arial"/>
          <w:sz w:val="17"/>
          <w:szCs w:val="17"/>
          <w:u w:val="single" w:color="auto"/>
          <w:color w:val="auto"/>
        </w:rPr>
        <w:t>Convertible Notes</w:t>
      </w:r>
      <w:r>
        <w:rPr>
          <w:rFonts w:ascii="Arial" w:cs="Arial" w:eastAsia="Arial" w:hAnsi="Arial"/>
          <w:sz w:val="17"/>
          <w:szCs w:val="17"/>
          <w:color w:val="auto"/>
        </w:rPr>
        <w:t xml:space="preserve">”) and the liens granted in connection with the Subsequent Facility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granted to holders of the Convertible Notes. Pursuant to this, the Company will use reasonable best efforts to obtain the consent of two-thirds of the holders of Convertible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In satisfaction of a condition precedent to the Initial Funding under the A&amp;R Facility Agreement, Thomas L. Thimot, Phillip L. Kumnick, Philip R. Broenniman, Michael A. Gorriz and Neepa Patel, comprising all directors of the Company’s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other than Joseph Trelin, Michael L. Koehneman and Jacqueline L. White (the “</w:t>
      </w:r>
      <w:r>
        <w:rPr>
          <w:rFonts w:ascii="Arial" w:cs="Arial" w:eastAsia="Arial" w:hAnsi="Arial"/>
          <w:sz w:val="18"/>
          <w:szCs w:val="18"/>
          <w:u w:val="single" w:color="auto"/>
          <w:color w:val="auto"/>
        </w:rPr>
        <w:t>Remaining Directors</w:t>
      </w:r>
      <w:r>
        <w:rPr>
          <w:rFonts w:ascii="Arial" w:cs="Arial" w:eastAsia="Arial" w:hAnsi="Arial"/>
          <w:sz w:val="18"/>
          <w:szCs w:val="18"/>
          <w:color w:val="auto"/>
        </w:rPr>
        <w:t>”), delivered to the Company executed resignation letters in escrow (the “</w:t>
      </w:r>
      <w:r>
        <w:rPr>
          <w:rFonts w:ascii="Arial" w:cs="Arial" w:eastAsia="Arial" w:hAnsi="Arial"/>
          <w:sz w:val="18"/>
          <w:szCs w:val="18"/>
          <w:u w:val="single" w:color="auto"/>
          <w:color w:val="auto"/>
        </w:rPr>
        <w:t>Board Resignation Letters</w:t>
      </w:r>
      <w:r>
        <w:rPr>
          <w:rFonts w:ascii="Arial" w:cs="Arial" w:eastAsia="Arial" w:hAnsi="Arial"/>
          <w:sz w:val="18"/>
          <w:szCs w:val="18"/>
          <w:color w:val="auto"/>
        </w:rPr>
        <w:t>”) that became effective as of the Initial Funding. Also in satisfaction of a condition precedent to the Initial Funding under the A&amp;R Facility Agreement, on March 9, 2023, the Board of Directors appointed Joseph Trelin to the Company’s Compensation and Audit Committees, effective as of the Initial Funding.</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A&amp;R Facility Agreement also provided Garchik with the right to nominate four (4) designees (not counting any Remaining Directors) (the “</w:t>
      </w:r>
      <w:r>
        <w:rPr>
          <w:rFonts w:ascii="Arial" w:cs="Arial" w:eastAsia="Arial" w:hAnsi="Arial"/>
          <w:sz w:val="17"/>
          <w:szCs w:val="17"/>
          <w:u w:val="single" w:color="auto"/>
          <w:color w:val="auto"/>
        </w:rPr>
        <w:t>New Designees</w:t>
      </w:r>
      <w:r>
        <w:rPr>
          <w:rFonts w:ascii="Arial" w:cs="Arial" w:eastAsia="Arial" w:hAnsi="Arial"/>
          <w:sz w:val="17"/>
          <w:szCs w:val="17"/>
          <w:color w:val="auto"/>
        </w:rPr>
        <w:t>”) to be considered for election to the Board of Directors (the “</w:t>
      </w:r>
      <w:r>
        <w:rPr>
          <w:rFonts w:ascii="Arial" w:cs="Arial" w:eastAsia="Arial" w:hAnsi="Arial"/>
          <w:sz w:val="17"/>
          <w:szCs w:val="17"/>
          <w:u w:val="single" w:color="auto"/>
          <w:color w:val="auto"/>
        </w:rPr>
        <w:t>Nomination Right</w:t>
      </w:r>
      <w:r>
        <w:rPr>
          <w:rFonts w:ascii="Arial" w:cs="Arial" w:eastAsia="Arial" w:hAnsi="Arial"/>
          <w:sz w:val="17"/>
          <w:szCs w:val="17"/>
          <w:color w:val="auto"/>
        </w:rPr>
        <w:t>”). In satisfaction of a condition precedent to the Initial Funding under the A&amp;R Facility Agreement, the Board of Directors appointed four (4) New Designees to the Board, effective as of the Initial Funding.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Promissory Note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accrues on the Principal Amount until paid in full at a per annum rate equal to 15%, computed on the basis of a 360-day year and twelve 30-day months, payable in arrears on March 31, June 30, September 30 and December 31 of each year commencing March 31, 2023 or the first business day following each such date if any such date falls on a day which is not a business day, in cash. The Principal Amount shall mature on March 31, 2025.</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made standard (i) affirmative covenants to Garchik, including, but not limited to, in regard to its existence, payment obligations, business activities, financial information and use of proceeds and (ii) negative covenants to Garchik, including, but not limited to, in regard to the rank of indebtedness, incurrence of indebtedness, maintenance of insurance and properties, transactions with affiliates and disposition of assets.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the Initial Promissory Note is unsecured, in the event of either (I) the conversion of the Convertible Notes of all amounts outstanding thereunder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(the “</w:t>
      </w:r>
      <w:r>
        <w:rPr>
          <w:rFonts w:ascii="Arial" w:cs="Arial" w:eastAsia="Arial" w:hAnsi="Arial"/>
          <w:sz w:val="16"/>
          <w:szCs w:val="16"/>
          <w:u w:val="single" w:color="auto"/>
          <w:color w:val="auto"/>
        </w:rPr>
        <w:t>SPA</w:t>
      </w:r>
      <w:r>
        <w:rPr>
          <w:rFonts w:ascii="Arial" w:cs="Arial" w:eastAsia="Arial" w:hAnsi="Arial"/>
          <w:sz w:val="16"/>
          <w:szCs w:val="16"/>
          <w:color w:val="auto"/>
        </w:rPr>
        <w:t>”),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Initial Promissory Note includes customary Events of Default, including, among other things, (i) failing to make payment of any of the Principal Amount or interest due and such failure continues for not less than 5 business days without being cured; (ii) any representation or warranty in the Initial Promissory note being untrue in any material respect and such failure continuing for a period of not less than 5 business days without being cured; or</w:t>
      </w:r>
    </w:p>
    <w:p>
      <w:pPr>
        <w:spacing w:after="0" w:line="2" w:lineRule="exact"/>
        <w:rPr>
          <w:sz w:val="20"/>
          <w:szCs w:val="20"/>
          <w:color w:val="auto"/>
        </w:rPr>
      </w:pPr>
    </w:p>
    <w:p>
      <w:pPr>
        <w:jc w:val="both"/>
        <w:ind w:firstLine="8"/>
        <w:spacing w:after="0" w:line="255" w:lineRule="auto"/>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Promissory Note shall for any reason cease to be, or shall be asserted by the Company or any affiliate thereof not to be, a legal, valid and binding obligation of the Company. Upon an Event of Default, Garchik can declare all outstanding amounts under the Initial Promissory Note due, along with any accrued interest.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Guaranty</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the Company and Garchik entering into the Initial Promissory Note, each Guarantor of the Company agreed to, for the benefit and security of Garchik, guarantee the payment and performance all of the Company’s obligations under the Initial Promissory Note and the Guaranty.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Release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6, 2023, Mr. Thimot tendered his resignation as Chief Executive Officer to the Company, which became effective upon the appointment of his successor on March 23, 2023. Before the A&amp;R Facility Agreement was entered into, Mr. Thimot, Phillip L. Kumnick, Philip R. Broenniman, Michael A. Gorriz and Neepa Patel (the “</w:t>
      </w:r>
      <w:r>
        <w:rPr>
          <w:rFonts w:ascii="Arial" w:cs="Arial" w:eastAsia="Arial" w:hAnsi="Arial"/>
          <w:sz w:val="17"/>
          <w:szCs w:val="17"/>
          <w:u w:val="single" w:color="auto"/>
          <w:color w:val="auto"/>
        </w:rPr>
        <w:t>Retiring Directors</w:t>
      </w:r>
      <w:r>
        <w:rPr>
          <w:rFonts w:ascii="Arial" w:cs="Arial" w:eastAsia="Arial" w:hAnsi="Arial"/>
          <w:sz w:val="17"/>
          <w:szCs w:val="17"/>
          <w:color w:val="auto"/>
        </w:rPr>
        <w:t>”) tendered their resignations from the Board of Directors of the Company which became effective upon the Initial Funding. The Company thanks the Retiring Directors for their dedicated service to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9, 2023, the Board of Directors appointed Joseph Trelin to the Company’s Compensation and Audit Committees.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Nomination Right under the A&amp;R Facility Agreement, Mr. Garchik nominated Mr. Daguro, Ken Jisser, Michael Thompson and Thomas Szoke for appointment to the Board of Directors. On March 9, 2023, the Board of Directors appointed Messrs. Daguro, Jisser, Thompson and Szoke as additional directors of the Company (the “</w:t>
      </w:r>
      <w:r>
        <w:rPr>
          <w:rFonts w:ascii="Arial" w:cs="Arial" w:eastAsia="Arial" w:hAnsi="Arial"/>
          <w:sz w:val="18"/>
          <w:szCs w:val="18"/>
          <w:u w:val="single" w:color="auto"/>
          <w:color w:val="auto"/>
        </w:rPr>
        <w:t>Additional Directors</w:t>
      </w:r>
      <w:r>
        <w:rPr>
          <w:rFonts w:ascii="Arial" w:cs="Arial" w:eastAsia="Arial" w:hAnsi="Arial"/>
          <w:sz w:val="18"/>
          <w:szCs w:val="18"/>
          <w:color w:val="auto"/>
        </w:rPr>
        <w:t>”)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Budget – Labor Reduction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14, 2023, the Company’s Board of Directors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12 employees and 6 contractors have left the Company. The Company has also given termination notice to certain vendors and contractors that provide services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Cecil N. Smith III</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15, 2023 Cecil N. Smith III ceased to be an employee, and the President and Chief Technology Officer of the Company pursuant to the Labor Reduction Plan. The Company had entered into an Executive Retention Agreement with Mr. Smith dated as of June 14, 2021, which provides for certain benefits upon termination of Mr. Smith’s employment and Mr. Smith subsequently signed a release of all prior claims in consideration of the payments to be made by the Company under the Executive Retention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1"/>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44"/>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3.1 (1)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Amended &amp; Restated Certificate of Incorporation</w:t>
              </w:r>
            </w:hyperlink>
          </w:p>
        </w:tc>
      </w:tr>
      <w:tr>
        <w:trPr>
          <w:trHeight w:val="176"/>
        </w:trPr>
        <w:tc>
          <w:tcPr>
            <w:tcW w:w="10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3.2 (19)</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560" w:type="dxa"/>
            <w:vAlign w:val="bottom"/>
            <w:tcBorders>
              <w:top w:val="single" w:sz="8" w:color="0000EE"/>
            </w:tcBorders>
            <w:gridSpan w:val="15"/>
          </w:tcPr>
          <w:p>
            <w:pPr>
              <w:spacing w:after="0" w:line="17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Amended &amp; Restated Bylaws as of July 18, 2022</w:t>
              </w:r>
            </w:hyperlink>
          </w:p>
        </w:tc>
        <w:tc>
          <w:tcPr>
            <w:tcW w:w="6540" w:type="dxa"/>
            <w:vAlign w:val="bottom"/>
            <w:tcBorders>
              <w:top w:val="single" w:sz="8" w:color="CCEEFF"/>
            </w:tcBorders>
            <w:gridSpan w:val="29"/>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3.3(3)</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Certificate of Amendment dated June 1, 2021</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3.4 (19)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Certificate of Amendment to Amended and Restated Certificate of Incorporation as of July 18, 2022</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3.5 (20)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Certificate of Amendment to Amended and Restated Certificate of Incorporation as of September 21, 2022</w:t>
              </w:r>
            </w:hyperlink>
          </w:p>
        </w:tc>
      </w:tr>
      <w:tr>
        <w:trPr>
          <w:trHeight w:val="175"/>
        </w:trPr>
        <w:tc>
          <w:tcPr>
            <w:tcW w:w="10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4.1 (3)</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660" w:type="dxa"/>
            <w:vAlign w:val="bottom"/>
            <w:tcBorders>
              <w:top w:val="single" w:sz="8" w:color="0000EE"/>
            </w:tcBorders>
            <w:gridSpan w:val="34"/>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Form of Stock Option</w:t>
              </w:r>
            </w:hyperlink>
          </w:p>
        </w:tc>
        <w:tc>
          <w:tcPr>
            <w:tcW w:w="2440" w:type="dxa"/>
            <w:vAlign w:val="bottom"/>
            <w:tcBorders>
              <w:top w:val="single" w:sz="8" w:color="CCEEFF"/>
            </w:tcBorders>
            <w:gridSpan w:val="10"/>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4.2 (4)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Form of 8.0% Convertible Note</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4.3 (5)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Form of 15.0% Convertible Note</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4.4 (5)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Amended and Restated Promissory Note issued to The Theodore Stern Revocable Trust</w:t>
              </w:r>
            </w:hyperlink>
          </w:p>
        </w:tc>
        <w:tc>
          <w:tcPr>
            <w:tcW w:w="3800" w:type="dxa"/>
            <w:vAlign w:val="bottom"/>
            <w:tcBorders>
              <w:bottom w:val="single" w:sz="8" w:color="CCEEFF"/>
            </w:tcBorders>
            <w:gridSpan w:val="18"/>
            <w:shd w:val="clear" w:color="auto" w:fill="CCEEFF"/>
          </w:tcPr>
          <w:p>
            <w:pPr>
              <w:spacing w:after="0"/>
              <w:rPr>
                <w:sz w:val="17"/>
                <w:szCs w:val="17"/>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4.5 (6)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Paycheck Protection Program Term Note dated May 6, 2020</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4.6 (7)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Paycheck Protection Program Term Note dated February 1, 2021</w:t>
              </w:r>
            </w:hyperlink>
          </w:p>
        </w:tc>
        <w:tc>
          <w:tcPr>
            <w:tcW w:w="5440" w:type="dxa"/>
            <w:vAlign w:val="bottom"/>
            <w:tcBorders>
              <w:bottom w:val="single" w:sz="8" w:color="CCEEFF"/>
            </w:tcBorders>
            <w:gridSpan w:val="27"/>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4.7 (23)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Description of the Registrant’s Securities</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 (3)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Form of Director Agreement</w:t>
              </w:r>
            </w:hyperlink>
          </w:p>
        </w:tc>
        <w:tc>
          <w:tcPr>
            <w:tcW w:w="8040" w:type="dxa"/>
            <w:vAlign w:val="bottom"/>
            <w:tcBorders>
              <w:bottom w:val="single" w:sz="8" w:color="CCEEFF"/>
            </w:tcBorders>
            <w:gridSpan w:val="37"/>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10.2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Indemnification Agreement</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10.5 (9)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2017 Incentive Stock Plan</w:t>
              </w:r>
            </w:hyperlink>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10.7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Executive Retention Agreement entered between the Company and Thomas L. Thimot dated June 14, 2021</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10.8 (3)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Executive Retention Agreement entered between the Company and Cecil N. Smith III dated June 14, 2021</w:t>
              </w:r>
            </w:hyperlink>
          </w:p>
        </w:tc>
        <w:tc>
          <w:tcPr>
            <w:tcW w:w="2440" w:type="dxa"/>
            <w:vAlign w:val="bottom"/>
            <w:tcBorders>
              <w:bottom w:val="single" w:sz="8" w:color="CCEEFF"/>
            </w:tcBorders>
            <w:gridSpan w:val="10"/>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10.9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Letter Agreement between the Company and Thomas L. Thimot dated June 14, 2021</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10.10</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Letter Agreement between the Company and Cecil N. Smith III dated June 14, 2021</w:t>
              </w:r>
            </w:hyperlink>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10.11 (13)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Letter Agreement between the Company and Phillip L. Kumnick dated as November 5, 2021</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10.12</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Letter Agreement between the Company and Philip R. Broenniman dated as November 5, 2021</w:t>
              </w:r>
            </w:hyperlink>
          </w:p>
        </w:tc>
        <w:tc>
          <w:tcPr>
            <w:tcW w:w="3240" w:type="dxa"/>
            <w:vAlign w:val="bottom"/>
            <w:tcBorders>
              <w:bottom w:val="single" w:sz="8" w:color="CCEEFF"/>
            </w:tcBorders>
            <w:gridSpan w:val="14"/>
            <w:shd w:val="clear" w:color="auto" w:fill="CCEEFF"/>
          </w:tcPr>
          <w:p>
            <w:pPr>
              <w:spacing w:after="0"/>
              <w:rPr>
                <w:sz w:val="17"/>
                <w:szCs w:val="17"/>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10.13</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AuthID Inc. 2021 Equity Incentive Plan</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10.14</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Letter Agreement between AuthID Inc. and Thomas Szoke dated November 19, 2021</w:t>
              </w:r>
            </w:hyperlink>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10.15</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Form of Securities Purchase Agreement entered into between the Company and the Note Investors dated March 21, 2022.</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10.16</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960" w:type="dxa"/>
            <w:vAlign w:val="bottom"/>
            <w:tcBorders>
              <w:bottom w:val="single" w:sz="8" w:color="0000EE"/>
            </w:tcBorders>
            <w:gridSpan w:val="38"/>
            <w:shd w:val="clear" w:color="auto" w:fill="CCEEFF"/>
          </w:tcPr>
          <w:p>
            <w:pPr>
              <w:spacing w:after="0" w:line="17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Form of Senior Secured Convertible Note issued by the Company to the Note Investors dated March 21, 2022.</w:t>
              </w:r>
            </w:hyperlink>
          </w:p>
        </w:tc>
        <w:tc>
          <w:tcPr>
            <w:tcW w:w="214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10.17</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Security and Pledge Agreement entered into between the Company and Stephen J. Garchik as Collateral Agent dated March 21, 2022.</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10.19</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Form of Registration Rights Agreement entered into between the Company and the Note Investors dated March 21, 2022.</w:t>
              </w:r>
            </w:hyperlink>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7"/>
              </w:rPr>
              <w:t>10.20</w:t>
            </w:r>
          </w:p>
        </w:tc>
        <w:tc>
          <w:tcPr>
            <w:tcW w:w="5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740" w:type="dxa"/>
            <w:vAlign w:val="bottom"/>
            <w:tcBorders>
              <w:top w:val="single" w:sz="8" w:color="0000EE"/>
            </w:tcBorders>
            <w:gridSpan w:val="41"/>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Facility Agreement entered into between the Company and Stephen J. Garchik dated March 21, 2022.</w:t>
              </w:r>
            </w:hyperlink>
          </w:p>
        </w:tc>
        <w:tc>
          <w:tcPr>
            <w:tcW w:w="1360" w:type="dxa"/>
            <w:vAlign w:val="bottom"/>
            <w:tcBorders>
              <w:top w:val="single" w:sz="8" w:color="CCEEFF"/>
            </w:tcBorders>
            <w:gridSpan w:val="3"/>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10.21</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Form of Subscription Agreement entered into between the Company and the PIPE Investors dated March 21, 2022.</w:t>
              </w:r>
            </w:hyperlink>
          </w:p>
        </w:tc>
        <w:tc>
          <w:tcPr>
            <w:tcW w:w="182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10.22</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Letter Agreement between Joseph Trelin and AuthID Inc. dated April 18, 2022</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10.23</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Letter Agreement between Annie Pham and AuthID Inc. dated April 18, 2022</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10.24</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Amended and Restated Facility Agreement between the Company and Stephen J. Garchik dated March 8, 2023.</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10.25</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1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Promissory Note between the Company and Stephen J. Garchik dated March 9, 2023.</w:t>
              </w:r>
            </w:hyperlink>
          </w:p>
        </w:tc>
        <w:tc>
          <w:tcPr>
            <w:tcW w:w="3940" w:type="dxa"/>
            <w:vAlign w:val="bottom"/>
            <w:tcBorders>
              <w:bottom w:val="single" w:sz="8" w:color="CCEEFF"/>
            </w:tcBorders>
            <w:gridSpan w:val="19"/>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10.26</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EE"/>
            </w:tcBorders>
            <w:gridSpan w:val="44"/>
          </w:tcPr>
          <w:p>
            <w:pPr>
              <w:spacing w:after="0" w:line="17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Guaranty Agreement by FIN Holdings Inc., Innovation in Motion, Inc. and ID Solutions, Inc. in favor of Stephen J. Garchik dated March 9,</w:t>
              </w:r>
            </w:hyperlink>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gridSpan w:val="3"/>
          </w:tcPr>
          <w:p>
            <w:pPr>
              <w:ind w:left="120"/>
              <w:spacing w:after="0" w:line="196" w:lineRule="exact"/>
              <w:rPr>
                <w:rFonts w:ascii="Arial" w:cs="Arial" w:eastAsia="Arial" w:hAnsi="Arial"/>
                <w:sz w:val="18"/>
                <w:szCs w:val="18"/>
                <w:color w:val="0000EE"/>
                <w:w w:val="84"/>
              </w:rPr>
            </w:pPr>
            <w:hyperlink r:id="rId89">
              <w:r>
                <w:rPr>
                  <w:rFonts w:ascii="Arial" w:cs="Arial" w:eastAsia="Arial" w:hAnsi="Arial"/>
                  <w:sz w:val="18"/>
                  <w:szCs w:val="18"/>
                  <w:color w:val="0000EE"/>
                  <w:w w:val="84"/>
                </w:rPr>
                <w:t>2023.</w:t>
              </w:r>
            </w:hyperlink>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10.27</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Release Agreement between the Company and Stephen J. Garchik dated March 9, 2023.</w:t>
              </w:r>
            </w:hyperlink>
          </w:p>
        </w:tc>
        <w:tc>
          <w:tcPr>
            <w:tcW w:w="376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10.28</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Letter Agreement between Rhoniel Daguro and AuthID Inc. dated March 23, 2023</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10.29</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Executive Retention Agreement between Rhoniel Daguro and AuthID Inc. dated March 23, 2023</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10.30</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Confidential Separation Agreement and General Release between Thomas Thimot and authID Inc. Dated March 23, 2023</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10.31</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Letter Agreement between Thomas Szoke and AuthID Inc. dated April 12, 2023</w:t>
              </w:r>
            </w:hyperlink>
          </w:p>
        </w:tc>
        <w:tc>
          <w:tcPr>
            <w:tcW w:w="4360" w:type="dxa"/>
            <w:vAlign w:val="bottom"/>
            <w:tcBorders>
              <w:bottom w:val="single" w:sz="8" w:color="CCEEFF"/>
            </w:tcBorders>
            <w:gridSpan w:val="24"/>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10.32</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Executive Retention Agreement between Thomas Szoke and AuthID Inc. dated April 12, 2023</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14.1 (10)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00" w:type="dxa"/>
            <w:vAlign w:val="bottom"/>
            <w:gridSpan w:val="44"/>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Code of Ethics</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44"/>
          </w:tcPr>
          <w:p>
            <w:pPr>
              <w:spacing w:after="0" w:line="176" w:lineRule="exact"/>
              <w:rPr>
                <w:sz w:val="20"/>
                <w:szCs w:val="20"/>
                <w:color w:val="auto"/>
              </w:rPr>
            </w:pPr>
            <w:r>
              <w:rPr>
                <w:rFonts w:ascii="Arial" w:cs="Arial" w:eastAsia="Arial" w:hAnsi="Arial"/>
                <w:sz w:val="18"/>
                <w:szCs w:val="18"/>
                <w:color w:val="0000EE"/>
              </w:rPr>
              <w:t>List of Subsidiaries</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44"/>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Executive Officer pursuant to Rule 13a-14(a)/15d-14(a) of the Securities Exchange Act</w:t>
            </w: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37"/>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Rule 13a-14(a)/15d-14(a) of the Securities Exchange Act</w:t>
            </w:r>
          </w:p>
        </w:tc>
        <w:tc>
          <w:tcPr>
            <w:tcW w:w="2240" w:type="dxa"/>
            <w:vAlign w:val="bottom"/>
            <w:tcBorders>
              <w:top w:val="single" w:sz="8" w:color="CCEEFF"/>
            </w:tcBorders>
            <w:gridSpan w:val="7"/>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4"/>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§1350, as adopted pursuant to Section 906 of the</w:t>
            </w:r>
          </w:p>
        </w:tc>
      </w:tr>
      <w:tr>
        <w:trPr>
          <w:trHeight w:val="217"/>
        </w:trPr>
        <w:tc>
          <w:tcPr>
            <w:tcW w:w="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w w:val="89"/>
              </w:rPr>
              <w:t>Sarbanes-Oxley Act of 2002</w:t>
            </w:r>
          </w:p>
        </w:tc>
        <w:tc>
          <w:tcPr>
            <w:tcW w:w="8060" w:type="dxa"/>
            <w:vAlign w:val="bottom"/>
            <w:tcBorders>
              <w:bottom w:val="single" w:sz="8" w:color="CCEEFF"/>
            </w:tcBorders>
            <w:gridSpan w:val="38"/>
            <w:shd w:val="clear" w:color="auto" w:fill="CCEEFF"/>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44"/>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44"/>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44"/>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44"/>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44"/>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44"/>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 *</w:t>
            </w:r>
          </w:p>
        </w:tc>
      </w:tr>
    </w:tbl>
    <w:p>
      <w:pPr>
        <w:ind w:right="3540" w:firstLine="8"/>
        <w:spacing w:after="0" w:line="511" w:lineRule="auto"/>
        <w:tabs>
          <w:tab w:leader="none" w:pos="11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S-1/A Amendment No. 1 to the S-1 Registration Statement filed with the Securities Exchange Commission on July 16, 2021.</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8,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to the Form S-8 Registration Statement filed with the Securities Exchange Commission on February 1, 2022.</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21,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22,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18,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27,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July 19,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21, 2022.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10, 2023.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28, 2023.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30, 2023.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18,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authID Inc.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Rhon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Rhoniel A. Daguro, Chief Executive Officer and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authID Inc. – List of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authID Gaming Inc. a Delaware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 Holdings, Inc., a Florida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Solutions Inc., a Delaware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Innovation in Motion Inc., a Florida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Ipsidy Enterprises Limited, a company incorporated in England &amp;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MultiPay S.A.S., a Colombian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Rhoniel Daguro,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5715</wp:posOffset>
            </wp:positionV>
            <wp:extent cx="28549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Rhoniel Daguro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Hang Thi Bich Pham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5715</wp:posOffset>
            </wp:positionV>
            <wp:extent cx="28549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Hang Thi Bich Pham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authID Inc. (the “Company”) on Form 10-Q for the quarter ended March 31, 2023 as filed with the Securities and Exchange Commission (the “Report”), I, Rhoniel Daguro, Chief Executive Officer of the Company, and, Hang Thi Bich Pham, Chief Financial Officer of the Company, certify, pursuant to 18 U.S.C. SS. 1350, as adopted pursuant to SS. 906 of the Sarbanes-Oxley Act of 2002, that:</w:t>
      </w:r>
    </w:p>
    <w:p>
      <w:pPr>
        <w:spacing w:after="0" w:line="16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5715</wp:posOffset>
            </wp:positionV>
            <wp:extent cx="28549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Rhoniel Daguro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5715</wp:posOffset>
            </wp:positionV>
            <wp:extent cx="28549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Hang Thi Bich Pham, Chief Financial Officer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amp;"/>
      <w:numFmt w:val="bullet"/>
      <w:start w:val="1"/>
    </w:lvl>
  </w:abstractNum>
  <w:abstractNum w:abstractNumId="10">
    <w:nsid w:val="109CF92E"/>
    <w:multiLevelType w:val="hybridMultilevel"/>
    <w:lvl w:ilvl="0">
      <w:lvlJc w:val="left"/>
      <w:lvlText w:val="(%1)"/>
      <w:numFmt w:val="lowerRoman"/>
      <w:start w:val="3"/>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57" Type="http://schemas.openxmlformats.org/officeDocument/2006/relationships/hyperlink" Target="https://www.sec.gov/Archives/edgar/data/1534154/000121390021017290/ea138222ex3-1_ipsidyinc.htm" TargetMode="External"/><Relationship Id="rId58" Type="http://schemas.openxmlformats.org/officeDocument/2006/relationships/hyperlink" Target="https://www.sec.gov/Archives/edgar/data/1534154/000121390022040296/ea162935ex3-2_authid.htm" TargetMode="External"/><Relationship Id="rId59" Type="http://schemas.openxmlformats.org/officeDocument/2006/relationships/hyperlink" Target="http://www.sec.gov/Archives/edgar/data/1534154/000121390021032569/ea142763ex3-1_ipsidyinc.htm" TargetMode="External"/><Relationship Id="rId60" Type="http://schemas.openxmlformats.org/officeDocument/2006/relationships/hyperlink" Target="https://www.sec.gov/Archives/edgar/data/1534154/000121390022057553/ea166087ex3-1_authid.htm" TargetMode="External"/><Relationship Id="rId61" Type="http://schemas.openxmlformats.org/officeDocument/2006/relationships/hyperlink" Target="http://www.sec.gov/Archives/edgar/data/1534154/000121390021032569/ea142763ex4-1_ipsidyinc.htm" TargetMode="External"/><Relationship Id="rId62" Type="http://schemas.openxmlformats.org/officeDocument/2006/relationships/hyperlink" Target="https://www.sec.gov/Archives/edgar/data/1534154/000121390019026249/f8k121019ex4-3_ipsidy.htm" TargetMode="External"/><Relationship Id="rId63" Type="http://schemas.openxmlformats.org/officeDocument/2006/relationships/hyperlink" Target="https://www.sec.gov/Archives/edgar/data/1534154/000121390020004127/f8k021420ex4-1_ipsidyinc.htm" TargetMode="External"/><Relationship Id="rId64" Type="http://schemas.openxmlformats.org/officeDocument/2006/relationships/hyperlink" Target="https://www.sec.gov/Archives/edgar/data/1534154/000121390020004127/f8k021420ex4-2_ipsidyinc.htm" TargetMode="External"/><Relationship Id="rId65" Type="http://schemas.openxmlformats.org/officeDocument/2006/relationships/hyperlink" Target="https://www.sec.gov/Archives/edgar/data/1534154/000121390020011887/ea121728ex4-1_ipsidyinc.htm" TargetMode="External"/><Relationship Id="rId66" Type="http://schemas.openxmlformats.org/officeDocument/2006/relationships/hyperlink" Target="https://www.sec.gov/Archives/edgar/data/1534154/000121390021024897/f10q0321ex4-15_ipsidyinc.htm" TargetMode="External"/><Relationship Id="rId67" Type="http://schemas.openxmlformats.org/officeDocument/2006/relationships/hyperlink" Target="https://www.sec.gov/Archives/edgar/data/1534154/000121390023024677/f10k2022ex4-7_authidinc.htm" TargetMode="External"/><Relationship Id="rId68" Type="http://schemas.openxmlformats.org/officeDocument/2006/relationships/hyperlink" Target="https://www.sec.gov/Archives/edgar/data/1534154/000121390021032569/ea142763ex10-6_ipsidyinc.htm" TargetMode="External"/><Relationship Id="rId69" Type="http://schemas.openxmlformats.org/officeDocument/2006/relationships/hyperlink" Target="https://www.sec.gov/Archives/edgar/data/1534154/000121390021032569/ea142763ex10-5_ipsidyinc.htm" TargetMode="External"/><Relationship Id="rId70" Type="http://schemas.openxmlformats.org/officeDocument/2006/relationships/hyperlink" Target="https://www.sec.gov/Archives/edgar/data/1534154/000161577418003344/s109839_ex10-27.htm" TargetMode="External"/><Relationship Id="rId71" Type="http://schemas.openxmlformats.org/officeDocument/2006/relationships/hyperlink" Target="http://www.sec.gov/Archives/edgar/data/1534154/000121390021032569/ea142763ex10-1_ipsidyinc.htm" TargetMode="External"/><Relationship Id="rId72" Type="http://schemas.openxmlformats.org/officeDocument/2006/relationships/hyperlink" Target="http://www.sec.gov/Archives/edgar/data/1534154/000121390021032569/ea142763ex10-2_ipsidyinc.htm" TargetMode="External"/><Relationship Id="rId73" Type="http://schemas.openxmlformats.org/officeDocument/2006/relationships/hyperlink" Target="http://www.sec.gov/Archives/edgar/data/1534154/000121390021032569/ea142763ex10-3_ipsidyinc.htm" TargetMode="External"/><Relationship Id="rId74" Type="http://schemas.openxmlformats.org/officeDocument/2006/relationships/hyperlink" Target="http://www.sec.gov/Archives/edgar/data/1534154/000121390021032569/ea142763ex10-4_ipsidyinc.htm" TargetMode="External"/><Relationship Id="rId75" Type="http://schemas.openxmlformats.org/officeDocument/2006/relationships/hyperlink" Target="https://www.sec.gov/Archives/edgar/data/1534154/000121390021057337/f10q0921ex10-11_ipsidyinc.htm" TargetMode="External"/><Relationship Id="rId76" Type="http://schemas.openxmlformats.org/officeDocument/2006/relationships/hyperlink" Target="https://www.sec.gov/Archives/edgar/data/1534154/000121390021057337/f10q0921ex10-12_ipsidyinc.htm" TargetMode="External"/><Relationship Id="rId77" Type="http://schemas.openxmlformats.org/officeDocument/2006/relationships/hyperlink" Target="https://www.sec.gov/Archives/edgar/data/1534154/000121390022004803/ea154748ex4-1_ipsidyinc.htm" TargetMode="External"/><Relationship Id="rId78" Type="http://schemas.openxmlformats.org/officeDocument/2006/relationships/hyperlink" Target="https://www.sec.gov/Archives/edgar/data/1534154/000121390022014214/f10k2021ex10-14_ipsidyinc.htm" TargetMode="External"/><Relationship Id="rId79" Type="http://schemas.openxmlformats.org/officeDocument/2006/relationships/hyperlink" Target="https://www.sec.gov/Archives/edgar/data/1534154/000121390022013739/ea157152ex10-1_ipsidyinc.htm" TargetMode="External"/><Relationship Id="rId80" Type="http://schemas.openxmlformats.org/officeDocument/2006/relationships/hyperlink" Target="https://www.sec.gov/Archives/edgar/data/1534154/000121390022013739/ea157152ex10-2_ipsidyinc.htm" TargetMode="External"/><Relationship Id="rId81" Type="http://schemas.openxmlformats.org/officeDocument/2006/relationships/hyperlink" Target="https://www.sec.gov/Archives/edgar/data/1534154/000121390022013739/ea157152ex10-3_ipsidyinc.htm" TargetMode="External"/><Relationship Id="rId82" Type="http://schemas.openxmlformats.org/officeDocument/2006/relationships/hyperlink" Target="https://www.sec.gov/Archives/edgar/data/1534154/000121390022013739/ea157152ex10-5_ipsidyinc.htm" TargetMode="External"/><Relationship Id="rId83" Type="http://schemas.openxmlformats.org/officeDocument/2006/relationships/hyperlink" Target="https://www.sec.gov/Archives/edgar/data/1534154/000121390022013739/ea157152ex10-6_ipsidyinc.htm" TargetMode="External"/><Relationship Id="rId84" Type="http://schemas.openxmlformats.org/officeDocument/2006/relationships/hyperlink" Target="https://www.sec.gov/Archives/edgar/data/1534154/000121390022013739/ea157152ex10-7_ipsidyinc.htm" TargetMode="External"/><Relationship Id="rId85" Type="http://schemas.openxmlformats.org/officeDocument/2006/relationships/hyperlink" Target="http://www.sec.gov/Archives/edgar/data/1534154/000121390022020476/ea158591ex10-1_ipsidyinc.htm" TargetMode="External"/><Relationship Id="rId86" Type="http://schemas.openxmlformats.org/officeDocument/2006/relationships/hyperlink" Target="https://www.sec.gov/Archives/edgar/data/1534154/000121390022021805/ea158885ex10-1_ipsidyinc.htm" TargetMode="External"/><Relationship Id="rId87" Type="http://schemas.openxmlformats.org/officeDocument/2006/relationships/hyperlink" Target="http://www.sec.gov/Archives/edgar/data/1534154/000121390023018987/ea174977ex10-1_authid.htm" TargetMode="External"/><Relationship Id="rId88" Type="http://schemas.openxmlformats.org/officeDocument/2006/relationships/hyperlink" Target="http://www.sec.gov/Archives/edgar/data/1534154/000121390023018987/ea174977ex10-2_authid.htm" TargetMode="External"/><Relationship Id="rId89" Type="http://schemas.openxmlformats.org/officeDocument/2006/relationships/hyperlink" Target="http://www.sec.gov/Archives/edgar/data/1534154/000121390023018987/ea174977ex10-3_authid.htm" TargetMode="External"/><Relationship Id="rId90" Type="http://schemas.openxmlformats.org/officeDocument/2006/relationships/hyperlink" Target="http://www.sec.gov/Archives/edgar/data/1534154/000121390023018987/ea174977ex10-4_authid.htm" TargetMode="External"/><Relationship Id="rId91" Type="http://schemas.openxmlformats.org/officeDocument/2006/relationships/hyperlink" Target="http://www.sec.gov/Archives/edgar/data/1534154/000121390023023408/ea175837ex10-1_authid.htm" TargetMode="External"/><Relationship Id="rId92" Type="http://schemas.openxmlformats.org/officeDocument/2006/relationships/hyperlink" Target="http://www.sec.gov/Archives/edgar/data/1534154/000121390023023408/ea175837ex10-2_authid.htm" TargetMode="External"/><Relationship Id="rId93" Type="http://schemas.openxmlformats.org/officeDocument/2006/relationships/hyperlink" Target="https://www.sec.gov/Archives/edgar/data/1534154/000121390023023408/ea175837ex10-3_authid.htm" TargetMode="External"/><Relationship Id="rId94" Type="http://schemas.openxmlformats.org/officeDocument/2006/relationships/hyperlink" Target="https://www.sec.gov/Archives/edgar/data/1534154/000121390023030640/ea177091ex10-1_authid.htm" TargetMode="External"/><Relationship Id="rId95" Type="http://schemas.openxmlformats.org/officeDocument/2006/relationships/hyperlink" Target="http://www.sec.gov/Archives/edgar/data/1534154/000121390023030640/ea177091ex10-2_authid.htm" TargetMode="External"/><Relationship Id="rId96" Type="http://schemas.openxmlformats.org/officeDocument/2006/relationships/hyperlink" Target="https://www.sec.gov/Archives/edgar/data/1534154/000161577417003593/s106516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2023-05-11T16:27:32Z</dcterms:created>
  <dcterms:modified xsi:type="dcterms:W3CDTF">2023-05-11T16:27:32Z</dcterms:modified>
</cp:coreProperties>
</file>