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jc w:val="center"/>
        <w:ind w:left="4000" w:right="1480" w:hanging="2511"/>
        <w:spacing w:after="0" w:line="495" w:lineRule="auto"/>
        <w:tabs>
          <w:tab w:leader="none" w:pos="1691"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June 30, 2021</w:t>
      </w: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rFonts w:ascii="MS PGothic" w:cs="MS PGothic" w:eastAsia="MS PGothic" w:hAnsi="MS PGothic"/>
          <w:sz w:val="18"/>
          <w:szCs w:val="18"/>
          <w:color w:val="auto"/>
        </w:rPr>
      </w:pPr>
    </w:p>
    <w:p>
      <w:pPr>
        <w:ind w:left="1380" w:hanging="206"/>
        <w:spacing w:after="0"/>
        <w:tabs>
          <w:tab w:leader="none" w:pos="1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sz w:val="24"/>
          <w:szCs w:val="24"/>
          <w:color w:val="auto"/>
        </w:rPr>
      </w:pPr>
    </w:p>
    <w:p>
      <w:pPr>
        <w:ind w:left="3820"/>
        <w:spacing w:after="0"/>
        <w:tabs>
          <w:tab w:leader="none" w:pos="66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000-54545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3091180</wp:posOffset>
            </wp:positionH>
            <wp:positionV relativeFrom="paragraph">
              <wp:posOffset>151765</wp:posOffset>
            </wp:positionV>
            <wp:extent cx="99441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441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Ipsidy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40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color w:val="auto"/>
                <w:w w:val="89"/>
              </w:rPr>
              <w:t>Delaware</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230"/>
              <w:spacing w:after="0"/>
              <w:rPr>
                <w:sz w:val="20"/>
                <w:szCs w:val="20"/>
                <w:color w:val="auto"/>
              </w:rPr>
            </w:pPr>
            <w:r>
              <w:rPr>
                <w:rFonts w:ascii="Arial" w:cs="Arial" w:eastAsia="Arial" w:hAnsi="Arial"/>
                <w:sz w:val="18"/>
                <w:szCs w:val="18"/>
                <w:color w:val="auto"/>
              </w:rPr>
              <w:t>46-2069547</w:t>
            </w:r>
          </w:p>
        </w:tc>
      </w:tr>
      <w:tr>
        <w:trPr>
          <w:trHeight w:val="202"/>
        </w:trPr>
        <w:tc>
          <w:tcPr>
            <w:tcW w:w="4400" w:type="dxa"/>
            <w:vAlign w:val="bottom"/>
            <w:gridSpan w:val="3"/>
          </w:tcPr>
          <w:p>
            <w:pPr>
              <w:jc w:val="center"/>
              <w:ind w:left="103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tcPr>
          <w:p>
            <w:pPr>
              <w:ind w:left="22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400" w:type="dxa"/>
            <w:vAlign w:val="bottom"/>
            <w:gridSpan w:val="3"/>
          </w:tcPr>
          <w:p>
            <w:pPr>
              <w:jc w:val="center"/>
              <w:ind w:left="1030"/>
              <w:spacing w:after="0"/>
              <w:rPr>
                <w:sz w:val="20"/>
                <w:szCs w:val="20"/>
                <w:color w:val="auto"/>
              </w:rPr>
            </w:pPr>
            <w:r>
              <w:rPr>
                <w:rFonts w:ascii="Arial" w:cs="Arial" w:eastAsia="Arial" w:hAnsi="Arial"/>
                <w:sz w:val="18"/>
                <w:szCs w:val="18"/>
                <w:color w:val="auto"/>
                <w:w w:val="92"/>
              </w:rPr>
              <w:t>incorporation or organization)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40" w:type="dxa"/>
            <w:vAlign w:val="bottom"/>
            <w:gridSpan w:val="4"/>
          </w:tcPr>
          <w:p>
            <w:pPr>
              <w:jc w:val="center"/>
              <w:ind w:right="780"/>
              <w:spacing w:after="0"/>
              <w:rPr>
                <w:sz w:val="20"/>
                <w:szCs w:val="20"/>
                <w:color w:val="auto"/>
              </w:rPr>
            </w:pPr>
            <w:r>
              <w:rPr>
                <w:rFonts w:ascii="Arial" w:cs="Arial" w:eastAsia="Arial" w:hAnsi="Arial"/>
                <w:sz w:val="18"/>
                <w:szCs w:val="18"/>
                <w:color w:val="auto"/>
                <w:w w:val="91"/>
              </w:rPr>
              <w:t>670 Long Beach Boulevard</w:t>
            </w:r>
          </w:p>
        </w:tc>
        <w:tc>
          <w:tcPr>
            <w:tcW w:w="3600" w:type="dxa"/>
            <w:vAlign w:val="bottom"/>
          </w:tcPr>
          <w:p>
            <w:pPr>
              <w:spacing w:after="0"/>
              <w:rPr>
                <w:sz w:val="24"/>
                <w:szCs w:val="24"/>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40" w:type="dxa"/>
            <w:vAlign w:val="bottom"/>
            <w:gridSpan w:val="4"/>
          </w:tcPr>
          <w:p>
            <w:pPr>
              <w:jc w:val="center"/>
              <w:ind w:right="780"/>
              <w:spacing w:after="0"/>
              <w:rPr>
                <w:sz w:val="20"/>
                <w:szCs w:val="20"/>
                <w:color w:val="auto"/>
              </w:rPr>
            </w:pPr>
            <w:r>
              <w:rPr>
                <w:rFonts w:ascii="Arial" w:cs="Arial" w:eastAsia="Arial" w:hAnsi="Arial"/>
                <w:sz w:val="18"/>
                <w:szCs w:val="18"/>
                <w:color w:val="auto"/>
                <w:w w:val="92"/>
              </w:rPr>
              <w:t>Long Beach, New York</w:t>
            </w:r>
          </w:p>
        </w:tc>
        <w:tc>
          <w:tcPr>
            <w:tcW w:w="36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40" w:type="dxa"/>
            <w:vAlign w:val="bottom"/>
            <w:gridSpan w:val="3"/>
          </w:tcPr>
          <w:p>
            <w:pPr>
              <w:jc w:val="right"/>
              <w:ind w:right="1600"/>
              <w:spacing w:after="0"/>
              <w:rPr>
                <w:sz w:val="20"/>
                <w:szCs w:val="20"/>
                <w:color w:val="auto"/>
              </w:rPr>
            </w:pPr>
            <w:r>
              <w:rPr>
                <w:rFonts w:ascii="Arial" w:cs="Arial" w:eastAsia="Arial" w:hAnsi="Arial"/>
                <w:sz w:val="18"/>
                <w:szCs w:val="18"/>
                <w:color w:val="auto"/>
              </w:rPr>
              <w:t>11561</w:t>
            </w: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0"/>
        </w:trPr>
        <w:tc>
          <w:tcPr>
            <w:tcW w:w="3620" w:type="dxa"/>
            <w:vAlign w:val="bottom"/>
          </w:tcPr>
          <w:p>
            <w:pPr>
              <w:spacing w:after="0"/>
              <w:rPr>
                <w:sz w:val="20"/>
                <w:szCs w:val="20"/>
                <w:color w:val="auto"/>
              </w:rPr>
            </w:pPr>
          </w:p>
        </w:tc>
        <w:tc>
          <w:tcPr>
            <w:tcW w:w="4020" w:type="dxa"/>
            <w:vAlign w:val="bottom"/>
            <w:gridSpan w:val="6"/>
          </w:tcPr>
          <w:p>
            <w:pPr>
              <w:jc w:val="center"/>
              <w:spacing w:after="0"/>
              <w:rPr>
                <w:sz w:val="20"/>
                <w:szCs w:val="20"/>
                <w:color w:val="auto"/>
              </w:rPr>
            </w:pPr>
            <w:r>
              <w:rPr>
                <w:rFonts w:ascii="Arial" w:cs="Arial" w:eastAsia="Arial" w:hAnsi="Arial"/>
                <w:sz w:val="18"/>
                <w:szCs w:val="18"/>
                <w:color w:val="auto"/>
                <w:w w:val="92"/>
              </w:rPr>
              <w:t>(Address of principal executive offices) (zip code)</w:t>
            </w:r>
          </w:p>
        </w:tc>
        <w:tc>
          <w:tcPr>
            <w:tcW w:w="3600" w:type="dxa"/>
            <w:vAlign w:val="bottom"/>
          </w:tcPr>
          <w:p>
            <w:pPr>
              <w:spacing w:after="0"/>
              <w:rPr>
                <w:sz w:val="20"/>
                <w:szCs w:val="20"/>
                <w:color w:val="auto"/>
              </w:rPr>
            </w:pP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gridSpan w:val="3"/>
          </w:tcPr>
          <w:p>
            <w:pPr>
              <w:jc w:val="right"/>
              <w:ind w:right="1300"/>
              <w:spacing w:after="0"/>
              <w:rPr>
                <w:sz w:val="20"/>
                <w:szCs w:val="20"/>
                <w:color w:val="auto"/>
              </w:rPr>
            </w:pPr>
            <w:r>
              <w:rPr>
                <w:rFonts w:ascii="Arial" w:cs="Arial" w:eastAsia="Arial" w:hAnsi="Arial"/>
                <w:sz w:val="18"/>
                <w:szCs w:val="18"/>
                <w:color w:val="auto"/>
              </w:rPr>
              <w:t>516-274-8700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0"/>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440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Title of each class</w:t>
            </w:r>
          </w:p>
        </w:tc>
        <w:tc>
          <w:tcPr>
            <w:tcW w:w="3240" w:type="dxa"/>
            <w:vAlign w:val="bottom"/>
            <w:gridSpan w:val="4"/>
          </w:tcPr>
          <w:p>
            <w:pPr>
              <w:jc w:val="center"/>
              <w:ind w:right="760"/>
              <w:spacing w:after="0"/>
              <w:rPr>
                <w:sz w:val="20"/>
                <w:szCs w:val="20"/>
                <w:color w:val="auto"/>
              </w:rPr>
            </w:pPr>
            <w:r>
              <w:rPr>
                <w:rFonts w:ascii="Arial" w:cs="Arial" w:eastAsia="Arial" w:hAnsi="Arial"/>
                <w:sz w:val="18"/>
                <w:szCs w:val="18"/>
                <w:color w:val="auto"/>
                <w:w w:val="91"/>
              </w:rPr>
              <w:t>Trading Symbol</w:t>
            </w:r>
          </w:p>
        </w:tc>
        <w:tc>
          <w:tcPr>
            <w:tcW w:w="3600" w:type="dxa"/>
            <w:vAlign w:val="bottom"/>
          </w:tcPr>
          <w:p>
            <w:pPr>
              <w:ind w:left="220"/>
              <w:spacing w:after="0"/>
              <w:rPr>
                <w:sz w:val="20"/>
                <w:szCs w:val="20"/>
                <w:color w:val="auto"/>
              </w:rPr>
            </w:pPr>
            <w:r>
              <w:rPr>
                <w:rFonts w:ascii="Arial" w:cs="Arial" w:eastAsia="Arial" w:hAnsi="Arial"/>
                <w:sz w:val="18"/>
                <w:szCs w:val="18"/>
                <w:color w:val="auto"/>
                <w:w w:val="94"/>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Not applicable.</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spacing w:after="0"/>
              <w:rPr>
                <w:sz w:val="18"/>
                <w:szCs w:val="18"/>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200" w:hanging="192"/>
        <w:spacing w:after="0" w:line="207" w:lineRule="exact"/>
        <w:tabs>
          <w:tab w:leader="none" w:pos="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7" w:right="339" w:bottom="258" w:gutter="0" w:footer="0" w:header="0"/>
        </w:sectPr>
      </w:pPr>
    </w:p>
    <w:p>
      <w:pPr>
        <w:spacing w:after="0" w:line="7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1" w:lineRule="exact"/>
        <w:rPr>
          <w:sz w:val="24"/>
          <w:szCs w:val="24"/>
          <w:color w:val="auto"/>
        </w:rPr>
      </w:pPr>
    </w:p>
    <w:p>
      <w:pPr>
        <w:sectPr>
          <w:pgSz w:w="11900" w:h="16838" w:orient="portrait"/>
          <w:cols w:equalWidth="0" w:num="2">
            <w:col w:w="6040" w:space="720"/>
            <w:col w:w="4480"/>
          </w:cols>
          <w:pgMar w:left="320" w:top="517" w:right="339" w:bottom="258" w:gutter="0" w:footer="0" w:header="0"/>
          <w:type w:val="continuous"/>
        </w:sect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right="2020"/>
        <w:spacing w:after="0" w:line="3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2"/>
          </w:tcPr>
          <w:p>
            <w:pPr>
              <w:ind w:left="2560"/>
              <w:spacing w:after="0"/>
              <w:rPr>
                <w:sz w:val="20"/>
                <w:szCs w:val="20"/>
                <w:color w:val="auto"/>
              </w:rPr>
            </w:pPr>
            <w:r>
              <w:rPr>
                <w:rFonts w:ascii="Arial" w:cs="Arial" w:eastAsia="Arial" w:hAnsi="Arial"/>
                <w:sz w:val="18"/>
                <w:szCs w:val="18"/>
                <w:color w:val="auto"/>
              </w:rPr>
              <w:t>Class</w:t>
            </w: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Outstanding at July 31, 2021</w:t>
            </w:r>
          </w:p>
        </w:tc>
      </w:tr>
      <w:tr>
        <w:trPr>
          <w:trHeight w:val="216"/>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par value $0.0001</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21,391,257</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Documents incorporated by reference:</w:t>
            </w:r>
          </w:p>
        </w:tc>
        <w:tc>
          <w:tcPr>
            <w:tcW w:w="5500" w:type="dxa"/>
            <w:vAlign w:val="bottom"/>
          </w:tcPr>
          <w:p>
            <w:pPr>
              <w:jc w:val="center"/>
              <w:spacing w:after="0"/>
              <w:rPr>
                <w:sz w:val="20"/>
                <w:szCs w:val="20"/>
                <w:color w:val="auto"/>
              </w:rPr>
            </w:pPr>
            <w:r>
              <w:rPr>
                <w:rFonts w:ascii="Arial" w:cs="Arial" w:eastAsia="Arial" w:hAnsi="Arial"/>
                <w:sz w:val="18"/>
                <w:szCs w:val="18"/>
                <w:color w:val="auto"/>
                <w:w w:val="88"/>
              </w:rPr>
              <w:t>None</w:t>
            </w:r>
          </w:p>
        </w:tc>
      </w:tr>
      <w:tr>
        <w:trPr>
          <w:trHeight w:val="121"/>
        </w:trPr>
        <w:tc>
          <w:tcPr>
            <w:tcW w:w="55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500" w:type="dxa"/>
            <w:vAlign w:val="bottom"/>
            <w:tcBorders>
              <w:bottom w:val="single" w:sz="8" w:color="auto"/>
            </w:tcBorders>
          </w:tcPr>
          <w:p>
            <w:pPr>
              <w:spacing w:after="0"/>
              <w:rPr>
                <w:sz w:val="10"/>
                <w:szCs w:val="10"/>
                <w:color w:val="auto"/>
              </w:rPr>
            </w:pPr>
          </w:p>
        </w:tc>
      </w:tr>
      <w:tr>
        <w:trPr>
          <w:trHeight w:val="28"/>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439"/>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7" w:right="339" w:bottom="258"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80" w:type="dxa"/>
            <w:vAlign w:val="bottom"/>
            <w:gridSpan w:val="9"/>
          </w:tcPr>
          <w:p>
            <w:pPr>
              <w:ind w:left="1000"/>
              <w:spacing w:after="0"/>
              <w:rPr>
                <w:sz w:val="20"/>
                <w:szCs w:val="20"/>
                <w:color w:val="auto"/>
              </w:rPr>
            </w:pPr>
            <w:r>
              <w:rPr>
                <w:rFonts w:ascii="Arial" w:cs="Arial" w:eastAsia="Arial" w:hAnsi="Arial"/>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Page No.</w:t>
            </w:r>
          </w:p>
        </w:tc>
      </w:tr>
      <w:tr>
        <w:trPr>
          <w:trHeight w:val="196"/>
        </w:trPr>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740" w:type="dxa"/>
            <w:vAlign w:val="bottom"/>
            <w:gridSpan w:val="10"/>
            <w:shd w:val="clear" w:color="auto" w:fill="CCEEFF"/>
          </w:tcPr>
          <w:p>
            <w:pPr>
              <w:jc w:val="center"/>
              <w:ind w:right="3620"/>
              <w:spacing w:after="0" w:line="16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00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216"/>
        </w:trPr>
        <w:tc>
          <w:tcPr>
            <w:tcW w:w="102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Item 1. Financial Statements.</w:t>
            </w:r>
          </w:p>
        </w:tc>
        <w:tc>
          <w:tcPr>
            <w:tcW w:w="10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2021 (unaudited) and December 31, 2020</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and Six Months Ended June 30, 2021 and 2020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7"/>
            <w:shd w:val="clear" w:color="auto" w:fill="CCEEFF"/>
          </w:tcPr>
          <w:p>
            <w:pPr>
              <w:ind w:left="20"/>
              <w:spacing w:after="0" w:line="17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Comprehensive Loss for the Three and Six Months Ended June 30, 2021 and 2020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7"/>
            <w:shd w:val="clear" w:color="auto" w:fill="CCEEFF"/>
          </w:tcPr>
          <w:p>
            <w:pPr>
              <w:ind w:left="20"/>
              <w:spacing w:after="0" w:line="17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Stockholders’ Equity for the Three and Six Months Ended June 30, 2021 and 2020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Six Months Ended June 30, 2021 and 2020 (unaudited)</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5</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0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6-20</w:t>
            </w: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2. Management’s Discussion and Analysis of Financial Condition and Results of Operations.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21-26</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3. Quantitative and Qualitative Disclosures About Market Risk.</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740" w:type="dxa"/>
            <w:vAlign w:val="bottom"/>
            <w:gridSpan w:val="10"/>
            <w:shd w:val="clear" w:color="auto" w:fill="CCEEFF"/>
          </w:tcPr>
          <w:p>
            <w:pPr>
              <w:jc w:val="center"/>
              <w:ind w:right="3600"/>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 OTHER INFORMATION</w:t>
              </w:r>
            </w:hyperlink>
          </w:p>
        </w:tc>
        <w:tc>
          <w:tcPr>
            <w:tcW w:w="100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2. Unregistered Sales of Equity Securities and Use of Proceeds.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30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3. Defaults Upon Senior Securities.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4. Mine Safety Disclosures.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5. Other Information.</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r>
      <w:tr>
        <w:trPr>
          <w:trHeight w:val="216"/>
        </w:trPr>
        <w:tc>
          <w:tcPr>
            <w:tcW w:w="16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10240" w:type="dxa"/>
            <w:vAlign w:val="bottom"/>
            <w:gridSpan w:val="18"/>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6. Exhibits.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2020 and our other filings with the Securities and Exchange Commission. Some examples of risk factors which may affect our business are as follows:</w:t>
      </w:r>
    </w:p>
    <w:p>
      <w:pPr>
        <w:spacing w:after="0" w:line="17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significant revenues and history of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as a going concern,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working capital as necessary,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satisfy our obligations as they become due,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to successfully commercialize our product or sustain market acceptance,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reliance on third party agreements and relationships for development of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operations in foreign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network or information technology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control exercised by our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regulation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compete,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possible inability to effectively protect our intellectual property,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public market for our securities and the impact of the penny stock rules on trading in our common stock should a public market ever be established,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PERTINENT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specifically set forth to the contrary, when used in this report the terms “Ipsidy,” “authID.ai”, the “Company,” “we,” “our,” “us,” and similar terms refer to Ipsidy Inc., a Delaware corporation and its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Effective June 14, 2021 we completed a 1-for-30 reverse stock split of our common stock. Additionally, the Company changed its ticker symbol to AUID.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which appears on our website www.authID.ai is not part of this report.</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80" w:type="dxa"/>
            <w:vAlign w:val="bottom"/>
          </w:tcPr>
          <w:p>
            <w:pPr>
              <w:ind w:left="404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ind w:left="4240"/>
              <w:spacing w:after="0"/>
              <w:rPr>
                <w:sz w:val="20"/>
                <w:szCs w:val="20"/>
                <w:color w:val="auto"/>
              </w:rPr>
            </w:pPr>
            <w:r>
              <w:rPr>
                <w:rFonts w:ascii="Arial" w:cs="Arial" w:eastAsia="Arial" w:hAnsi="Arial"/>
                <w:sz w:val="18"/>
                <w:szCs w:val="18"/>
                <w:b w:val="1"/>
                <w:bCs w:val="1"/>
                <w:color w:val="auto"/>
              </w:rPr>
              <w:t>IPSIDY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40"/>
              <w:spacing w:after="0"/>
              <w:rPr>
                <w:sz w:val="20"/>
                <w:szCs w:val="20"/>
                <w:color w:val="auto"/>
              </w:rPr>
            </w:pPr>
            <w:r>
              <w:rPr>
                <w:rFonts w:ascii="Arial" w:cs="Arial" w:eastAsia="Arial" w:hAnsi="Arial"/>
                <w:sz w:val="18"/>
                <w:szCs w:val="18"/>
                <w:b w:val="1"/>
                <w:bCs w:val="1"/>
                <w:color w:val="auto"/>
              </w:rPr>
              <w:t>CONDENSED CONSOLIDATED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June 30,</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ind w:left="40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1,805,414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3,765,277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201,939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72,986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net investment in direct financing lease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76,661</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138,781</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650,308</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237,769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2,873,103</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4,403,665</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148,493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97,829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136,163</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3,941,547</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4,527,476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4,183,232</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Net investment in direct financing lease, net of current portion</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382,671</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422,021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11,665,209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13,874,446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440"/>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2,103,954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Notes payable obligation, current portion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4,632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 obligation,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30,763</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Convertible debt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662,000</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461,083</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237,690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3,262,432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2,948,001</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Capital lease obligation, net of current portion</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discounts and current portion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485,760</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Convertible debt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5,800,976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3,748,192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9,294,687</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Commitments and Contingencies (Note 13)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Common stock, $0.0001 par value, 1,000,000,000 shares authorized; 21,363,027 and 19,642,401 shares issued and</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as of June 30, 2021 and December 31, 2020, 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2,137</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111,493,973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102,651,304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(103,781,760)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(98,234,151)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comprehensive income</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202,667</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160,642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7,917,017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4,579,759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11,665,209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13,874,446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232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Six Months Ended</w:t>
            </w:r>
          </w:p>
        </w:tc>
      </w:tr>
      <w:tr>
        <w:trPr>
          <w:trHeight w:val="237"/>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86"/>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Products and services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565,165</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306,692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1,141,078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1,085,630</w:t>
            </w: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Lease income</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12,616</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14,427</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25,702</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29,278</w:t>
            </w: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 net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577,781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321,119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1,166,780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1,114,908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156,905</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61,798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373,049</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417,521</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3,049,700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2,389,794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4,977,626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3,872,916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347,173</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190,339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669,183</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620,740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163,822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1,035,629</w:t>
            </w: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314,590</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321,987</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624,419</w:t>
            </w:r>
          </w:p>
        </w:tc>
        <w:tc>
          <w:tcPr>
            <w:tcW w:w="2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647,331</w:t>
            </w:r>
          </w:p>
        </w:tc>
      </w:tr>
      <w:tr>
        <w:trPr>
          <w:trHeight w:val="223"/>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3,868,368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3,127,740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7"/>
              </w:rPr>
              <w:t>6,644,277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6,594,137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(3,290,587)</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(2,806,621)</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(5,477,497)</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(5,479,229)</w:t>
            </w:r>
          </w:p>
        </w:tc>
      </w:tr>
      <w:tr>
        <w:trPr>
          <w:trHeight w:val="27"/>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877"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Warrant exercise inducement expense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Extinguishment of debt - gain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income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expense, net</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Loss before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loss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Net Loss Per Share - Basic and Diluted</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Shares Outstanding - Basic and Diluted</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(366,795)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(366,795)</w:t>
            </w:r>
          </w:p>
        </w:tc>
      </w:tr>
      <w:tr>
        <w:trPr>
          <w:trHeight w:val="216"/>
        </w:trPr>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485,760</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485,760</w:t>
            </w:r>
          </w:p>
        </w:tc>
        <w:tc>
          <w:tcPr>
            <w:tcW w:w="2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(985,842)</w:t>
            </w:r>
          </w:p>
        </w:tc>
      </w:tr>
      <w:tr>
        <w:trPr>
          <w:trHeight w:val="216"/>
        </w:trPr>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6,121</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24,713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7,658</w:t>
            </w:r>
          </w:p>
        </w:tc>
        <w:tc>
          <w:tcPr>
            <w:tcW w:w="200" w:type="dxa"/>
            <w:vAlign w:val="bottom"/>
          </w:tcPr>
          <w:p>
            <w:pPr>
              <w:spacing w:after="0"/>
              <w:rPr>
                <w:sz w:val="18"/>
                <w:szCs w:val="18"/>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34,666</w:t>
            </w:r>
          </w:p>
        </w:tc>
        <w:tc>
          <w:tcPr>
            <w:tcW w:w="20" w:type="dxa"/>
            <w:vAlign w:val="bottom"/>
          </w:tcPr>
          <w:p>
            <w:pPr>
              <w:spacing w:after="0"/>
              <w:rPr>
                <w:sz w:val="18"/>
                <w:szCs w:val="18"/>
                <w:color w:val="auto"/>
              </w:rPr>
            </w:pPr>
          </w:p>
        </w:tc>
      </w:tr>
      <w:tr>
        <w:trPr>
          <w:trHeight w:val="251"/>
        </w:trPr>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(256,550)</w:t>
            </w:r>
          </w:p>
        </w:tc>
        <w:tc>
          <w:tcPr>
            <w:tcW w:w="20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(310,153)</w:t>
            </w:r>
          </w:p>
        </w:tc>
        <w:tc>
          <w:tcPr>
            <w:tcW w:w="200" w:type="dxa"/>
            <w:vAlign w:val="bottom"/>
          </w:tcPr>
          <w:p>
            <w:pPr>
              <w:spacing w:after="0"/>
              <w:rPr>
                <w:sz w:val="21"/>
                <w:szCs w:val="21"/>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(553,988)</w:t>
            </w:r>
          </w:p>
        </w:tc>
        <w:tc>
          <w:tcPr>
            <w:tcW w:w="20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(489,203)</w:t>
            </w:r>
          </w:p>
        </w:tc>
      </w:tr>
      <w:tr>
        <w:trPr>
          <w:trHeight w:val="223"/>
        </w:trPr>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235,331</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(652,235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(60,570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(1,807,174</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r>
      <w:tr>
        <w:trPr>
          <w:trHeight w:val="432"/>
        </w:trPr>
        <w:tc>
          <w:tcPr>
            <w:tcW w:w="2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(3,055,256)</w:t>
            </w:r>
          </w:p>
        </w:tc>
        <w:tc>
          <w:tcPr>
            <w:tcW w:w="2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(3,458,856)</w:t>
            </w:r>
          </w:p>
        </w:tc>
        <w:tc>
          <w:tcPr>
            <w:tcW w:w="20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(5,538,067)</w:t>
            </w:r>
          </w:p>
        </w:tc>
        <w:tc>
          <w:tcPr>
            <w:tcW w:w="2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(7,286,403)</w:t>
            </w:r>
          </w:p>
        </w:tc>
      </w:tr>
      <w:tr>
        <w:trPr>
          <w:trHeight w:val="445"/>
        </w:trPr>
        <w:tc>
          <w:tcPr>
            <w:tcW w:w="20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(2,354)</w:t>
            </w:r>
          </w:p>
        </w:tc>
        <w:tc>
          <w:tcPr>
            <w:tcW w:w="2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(3,592)</w:t>
            </w:r>
          </w:p>
        </w:tc>
        <w:tc>
          <w:tcPr>
            <w:tcW w:w="200" w:type="dxa"/>
            <w:vAlign w:val="bottom"/>
          </w:tcPr>
          <w:p>
            <w:pPr>
              <w:spacing w:after="0"/>
              <w:rPr>
                <w:sz w:val="24"/>
                <w:szCs w:val="24"/>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(9,542)</w:t>
            </w:r>
          </w:p>
        </w:tc>
        <w:tc>
          <w:tcPr>
            <w:tcW w:w="2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(12,466)</w:t>
            </w:r>
          </w:p>
        </w:tc>
      </w:tr>
      <w:tr>
        <w:trPr>
          <w:trHeight w:val="27"/>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gridSpan w:val="2"/>
          </w:tcPr>
          <w:p>
            <w:pPr>
              <w:spacing w:after="0"/>
              <w:rPr>
                <w:sz w:val="2"/>
                <w:szCs w:val="2"/>
                <w:color w:val="auto"/>
              </w:rPr>
            </w:pPr>
          </w:p>
        </w:tc>
      </w:tr>
      <w:tr>
        <w:trPr>
          <w:trHeight w:val="480"/>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(3,057,610</w:t>
            </w:r>
            <w:r>
              <w:rPr>
                <w:rFonts w:ascii="Arial" w:cs="Arial" w:eastAsia="Arial" w:hAnsi="Arial"/>
                <w:sz w:val="35"/>
                <w:szCs w:val="35"/>
                <w:color w:val="auto"/>
                <w:vertAlign w:val="superscript"/>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(3,462,448</w:t>
            </w:r>
            <w:r>
              <w:rPr>
                <w:rFonts w:ascii="Arial" w:cs="Arial" w:eastAsia="Arial" w:hAnsi="Arial"/>
                <w:sz w:val="35"/>
                <w:szCs w:val="35"/>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(5,547,609</w:t>
            </w:r>
            <w:r>
              <w:rPr>
                <w:rFonts w:ascii="Arial" w:cs="Arial" w:eastAsia="Arial" w:hAnsi="Arial"/>
                <w:sz w:val="35"/>
                <w:szCs w:val="35"/>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(7,298,869</w:t>
            </w:r>
            <w:r>
              <w:rPr>
                <w:rFonts w:ascii="Arial" w:cs="Arial" w:eastAsia="Arial" w:hAnsi="Arial"/>
                <w:sz w:val="35"/>
                <w:szCs w:val="35"/>
                <w:color w:val="auto"/>
                <w:vertAlign w:val="superscript"/>
              </w:rPr>
              <w:t>)</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80"/>
        </w:trPr>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(0.15</w:t>
            </w:r>
            <w:r>
              <w:rPr>
                <w:rFonts w:ascii="Arial" w:cs="Arial" w:eastAsia="Arial" w:hAnsi="Arial"/>
                <w:sz w:val="35"/>
                <w:szCs w:val="35"/>
                <w:color w:val="auto"/>
                <w:vertAlign w:val="superscript"/>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(0.20</w:t>
            </w:r>
            <w:r>
              <w:rPr>
                <w:rFonts w:ascii="Arial" w:cs="Arial" w:eastAsia="Arial" w:hAnsi="Arial"/>
                <w:sz w:val="35"/>
                <w:szCs w:val="35"/>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(0.28</w:t>
            </w:r>
            <w:r>
              <w:rPr>
                <w:rFonts w:ascii="Arial" w:cs="Arial" w:eastAsia="Arial" w:hAnsi="Arial"/>
                <w:sz w:val="35"/>
                <w:szCs w:val="35"/>
                <w:color w:val="auto"/>
                <w:vertAlign w:val="superscript"/>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(0.42</w:t>
            </w:r>
            <w:r>
              <w:rPr>
                <w:rFonts w:ascii="Arial" w:cs="Arial" w:eastAsia="Arial" w:hAnsi="Arial"/>
                <w:sz w:val="35"/>
                <w:szCs w:val="35"/>
                <w:color w:val="auto"/>
                <w:vertAlign w:val="superscript"/>
              </w:rPr>
              <w:t>)</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20,248,868</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17,441,164</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20,003,913</w:t>
            </w:r>
          </w:p>
        </w:tc>
        <w:tc>
          <w:tcPr>
            <w:tcW w:w="200" w:type="dxa"/>
            <w:vAlign w:val="bottom"/>
          </w:tcPr>
          <w:p>
            <w:pPr>
              <w:spacing w:after="0"/>
              <w:rPr>
                <w:sz w:val="24"/>
                <w:szCs w:val="24"/>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w w:val="99"/>
              </w:rPr>
              <w:t>17,473,583</w:t>
            </w:r>
          </w:p>
        </w:tc>
        <w:tc>
          <w:tcPr>
            <w:tcW w:w="20" w:type="dxa"/>
            <w:vAlign w:val="bottom"/>
          </w:tcPr>
          <w:p>
            <w:pPr>
              <w:spacing w:after="0"/>
              <w:rPr>
                <w:sz w:val="24"/>
                <w:szCs w:val="24"/>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-2468245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-2193925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-1919605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-1610995</wp:posOffset>
            </wp:positionV>
            <wp:extent cx="71323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-1328420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-1036320</wp:posOffset>
            </wp:positionV>
            <wp:extent cx="71323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-710565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-367665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877" w:right="3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5"/>
          </w:tcPr>
          <w:p>
            <w:pPr>
              <w:jc w:val="right"/>
              <w:ind w:right="621"/>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320" w:type="dxa"/>
            <w:vAlign w:val="bottom"/>
            <w:gridSpan w:val="5"/>
          </w:tcPr>
          <w:p>
            <w:pPr>
              <w:jc w:val="right"/>
              <w:ind w:right="581"/>
              <w:spacing w:after="0"/>
              <w:rPr>
                <w:sz w:val="20"/>
                <w:szCs w:val="20"/>
                <w:color w:val="auto"/>
              </w:rPr>
            </w:pPr>
            <w:r>
              <w:rPr>
                <w:rFonts w:ascii="Arial" w:cs="Arial" w:eastAsia="Arial" w:hAnsi="Arial"/>
                <w:sz w:val="18"/>
                <w:szCs w:val="18"/>
                <w:color w:val="auto"/>
              </w:rPr>
              <w:t>Six Months Ended</w:t>
            </w:r>
          </w:p>
        </w:tc>
      </w:tr>
      <w:tr>
        <w:trPr>
          <w:trHeight w:val="237"/>
        </w:trPr>
        <w:tc>
          <w:tcPr>
            <w:tcW w:w="5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(3,057,610)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(3,462,448)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(5,547,609)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(7,298,869)</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Foreign currency translation gain (loss)</w:t>
            </w:r>
          </w:p>
        </w:tc>
        <w:tc>
          <w:tcPr>
            <w:tcW w:w="220" w:type="dxa"/>
            <w:vAlign w:val="bottom"/>
          </w:tcPr>
          <w:p>
            <w:pPr>
              <w:spacing w:after="0"/>
              <w:rPr>
                <w:sz w:val="20"/>
                <w:szCs w:val="20"/>
                <w:color w:val="auto"/>
              </w:rPr>
            </w:pPr>
          </w:p>
        </w:tc>
        <w:tc>
          <w:tcPr>
            <w:tcW w:w="1160" w:type="dxa"/>
            <w:vAlign w:val="bottom"/>
            <w:gridSpan w:val="2"/>
          </w:tcPr>
          <w:p>
            <w:pPr>
              <w:jc w:val="right"/>
              <w:ind w:right="181"/>
              <w:spacing w:after="0"/>
              <w:rPr>
                <w:sz w:val="20"/>
                <w:szCs w:val="20"/>
                <w:color w:val="auto"/>
              </w:rPr>
            </w:pPr>
            <w:r>
              <w:rPr>
                <w:rFonts w:ascii="Arial" w:cs="Arial" w:eastAsia="Arial" w:hAnsi="Arial"/>
                <w:sz w:val="18"/>
                <w:szCs w:val="18"/>
                <w:color w:val="auto"/>
              </w:rPr>
              <w:t>1,669</w:t>
            </w:r>
          </w:p>
        </w:tc>
        <w:tc>
          <w:tcPr>
            <w:tcW w:w="26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80,235</w:t>
            </w:r>
          </w:p>
        </w:tc>
        <w:tc>
          <w:tcPr>
            <w:tcW w:w="22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42,025</w:t>
            </w:r>
          </w:p>
        </w:tc>
        <w:tc>
          <w:tcPr>
            <w:tcW w:w="26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(36,029)</w:t>
            </w:r>
          </w:p>
        </w:tc>
      </w:tr>
      <w:tr>
        <w:trPr>
          <w:trHeight w:val="250"/>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(3,055,941</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(3,382,213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(5,505,584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(7,334,898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Additional</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color w:val="auto"/>
                <w:w w:val="93"/>
              </w:rPr>
              <w:t>Other</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5"/>
          </w:tcPr>
          <w:p>
            <w:pPr>
              <w:ind w:left="3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Paid-in</w:t>
            </w:r>
          </w:p>
        </w:tc>
        <w:tc>
          <w:tcPr>
            <w:tcW w:w="1280" w:type="dxa"/>
            <w:vAlign w:val="bottom"/>
            <w:gridSpan w:val="3"/>
          </w:tcPr>
          <w:p>
            <w:pPr>
              <w:jc w:val="right"/>
              <w:ind w:right="181"/>
              <w:spacing w:after="0"/>
              <w:rPr>
                <w:sz w:val="20"/>
                <w:szCs w:val="20"/>
                <w:color w:val="auto"/>
              </w:rPr>
            </w:pPr>
            <w:r>
              <w:rPr>
                <w:rFonts w:ascii="Arial" w:cs="Arial" w:eastAsia="Arial" w:hAnsi="Arial"/>
                <w:sz w:val="18"/>
                <w:szCs w:val="18"/>
                <w:color w:val="auto"/>
                <w:w w:val="96"/>
              </w:rPr>
              <w:t>Accumulated</w:t>
            </w:r>
          </w:p>
        </w:tc>
        <w:tc>
          <w:tcPr>
            <w:tcW w:w="1340" w:type="dxa"/>
            <w:vAlign w:val="bottom"/>
            <w:gridSpan w:val="3"/>
          </w:tcPr>
          <w:p>
            <w:pPr>
              <w:spacing w:after="0"/>
              <w:rPr>
                <w:sz w:val="20"/>
                <w:szCs w:val="20"/>
                <w:color w:val="auto"/>
              </w:rPr>
            </w:pPr>
            <w:r>
              <w:rPr>
                <w:rFonts w:ascii="Arial" w:cs="Arial" w:eastAsia="Arial" w:hAnsi="Arial"/>
                <w:sz w:val="18"/>
                <w:szCs w:val="18"/>
                <w:color w:val="auto"/>
              </w:rPr>
              <w:t>Comprehensive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80" w:type="dxa"/>
            <w:vAlign w:val="bottom"/>
            <w:gridSpan w:val="4"/>
          </w:tcPr>
          <w:p>
            <w:pPr>
              <w:spacing w:after="0"/>
              <w:rPr>
                <w:sz w:val="20"/>
                <w:szCs w:val="20"/>
                <w:color w:val="auto"/>
              </w:rPr>
            </w:pPr>
            <w:r>
              <w:rPr>
                <w:rFonts w:ascii="Arial" w:cs="Arial" w:eastAsia="Arial" w:hAnsi="Arial"/>
                <w:sz w:val="18"/>
                <w:szCs w:val="18"/>
                <w:color w:val="auto"/>
              </w:rPr>
              <w:t>Six Months Ended June 30, 2021</w:t>
            </w:r>
          </w:p>
        </w:tc>
        <w:tc>
          <w:tcPr>
            <w:tcW w:w="108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6"/>
              </w:rPr>
              <w:t>Amount</w:t>
            </w: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Capital</w:t>
            </w: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Deficit</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color w:val="auto"/>
                <w:w w:val="91"/>
              </w:rPr>
              <w:t>Income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3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Balances, December 31, 2020</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19,642,519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102,651,304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(98,234,151)</w:t>
            </w: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4,579,759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4"/>
          </w:tcPr>
          <w:p>
            <w:pPr>
              <w:ind w:left="18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2,261,126</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2,261,126</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Settlement of accrued expense with stock options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349,376</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349,376</w:t>
            </w:r>
          </w:p>
        </w:tc>
        <w:tc>
          <w:tcPr>
            <w:tcW w:w="0" w:type="dxa"/>
            <w:vAlign w:val="bottom"/>
          </w:tcPr>
          <w:p>
            <w:pPr>
              <w:spacing w:after="0"/>
              <w:rPr>
                <w:sz w:val="1"/>
                <w:szCs w:val="1"/>
                <w:color w:val="auto"/>
              </w:rPr>
            </w:pPr>
          </w:p>
        </w:tc>
      </w:tr>
      <w:tr>
        <w:trPr>
          <w:trHeight w:val="216"/>
        </w:trPr>
        <w:tc>
          <w:tcPr>
            <w:tcW w:w="4480" w:type="dxa"/>
            <w:vAlign w:val="bottom"/>
            <w:gridSpan w:val="4"/>
          </w:tcPr>
          <w:p>
            <w:pPr>
              <w:ind w:left="180"/>
              <w:spacing w:after="0"/>
              <w:rPr>
                <w:sz w:val="20"/>
                <w:szCs w:val="20"/>
                <w:color w:val="auto"/>
              </w:rPr>
            </w:pPr>
            <w:r>
              <w:rPr>
                <w:rFonts w:ascii="Arial" w:cs="Arial" w:eastAsia="Arial" w:hAnsi="Arial"/>
                <w:sz w:val="18"/>
                <w:szCs w:val="18"/>
                <w:color w:val="auto"/>
              </w:rPr>
              <w:t>Convertible notes converted to common stock</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1,171,296</w:t>
            </w:r>
          </w:p>
        </w:tc>
        <w:tc>
          <w:tcPr>
            <w:tcW w:w="1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6,232,223</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6,232,340</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Cashless stock option exercise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286,453</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4"/>
          </w:tcPr>
          <w:p>
            <w:pPr>
              <w:ind w:left="180"/>
              <w:spacing w:after="0"/>
              <w:rPr>
                <w:sz w:val="20"/>
                <w:szCs w:val="20"/>
                <w:color w:val="auto"/>
              </w:rPr>
            </w:pPr>
            <w:r>
              <w:rPr>
                <w:rFonts w:ascii="Arial" w:cs="Arial" w:eastAsia="Arial" w:hAnsi="Arial"/>
                <w:sz w:val="18"/>
                <w:szCs w:val="18"/>
                <w:color w:val="auto"/>
              </w:rPr>
              <w:t>Cashless warrant exercise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262,759</w:t>
            </w:r>
          </w:p>
        </w:tc>
        <w:tc>
          <w:tcPr>
            <w:tcW w:w="1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(5,547,609)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(5,547,609)</w:t>
            </w:r>
          </w:p>
        </w:tc>
        <w:tc>
          <w:tcPr>
            <w:tcW w:w="0" w:type="dxa"/>
            <w:vAlign w:val="bottom"/>
          </w:tcPr>
          <w:p>
            <w:pPr>
              <w:spacing w:after="0"/>
              <w:rPr>
                <w:sz w:val="1"/>
                <w:szCs w:val="1"/>
                <w:color w:val="auto"/>
              </w:rPr>
            </w:pPr>
          </w:p>
        </w:tc>
      </w:tr>
      <w:tr>
        <w:trPr>
          <w:trHeight w:val="229"/>
        </w:trPr>
        <w:tc>
          <w:tcPr>
            <w:tcW w:w="4480" w:type="dxa"/>
            <w:vAlign w:val="bottom"/>
            <w:gridSpan w:val="4"/>
          </w:tcPr>
          <w:p>
            <w:pPr>
              <w:ind w:left="180"/>
              <w:spacing w:after="0"/>
              <w:rPr>
                <w:sz w:val="20"/>
                <w:szCs w:val="20"/>
                <w:color w:val="auto"/>
              </w:rPr>
            </w:pPr>
            <w:r>
              <w:rPr>
                <w:rFonts w:ascii="Arial" w:cs="Arial" w:eastAsia="Arial" w:hAnsi="Arial"/>
                <w:sz w:val="18"/>
                <w:szCs w:val="18"/>
                <w:color w:val="auto"/>
              </w:rPr>
              <w:t>Foreign currency translation</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42,025</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42,025</w:t>
            </w:r>
          </w:p>
        </w:tc>
        <w:tc>
          <w:tcPr>
            <w:tcW w:w="0" w:type="dxa"/>
            <w:vAlign w:val="bottom"/>
          </w:tcPr>
          <w:p>
            <w:pPr>
              <w:spacing w:after="0"/>
              <w:rPr>
                <w:sz w:val="1"/>
                <w:szCs w:val="1"/>
                <w:color w:val="auto"/>
              </w:rPr>
            </w:pPr>
          </w:p>
        </w:tc>
      </w:tr>
      <w:tr>
        <w:trPr>
          <w:trHeight w:val="27"/>
        </w:trPr>
        <w:tc>
          <w:tcPr>
            <w:tcW w:w="448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Balances, June 30, 2021</w:t>
            </w: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gridSpan w:val="4"/>
            <w:vMerge w:val="continue"/>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21,363,027</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111,493,973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(103,781,760</w:t>
            </w:r>
          </w:p>
        </w:tc>
        <w:tc>
          <w:tcPr>
            <w:tcW w:w="200" w:type="dxa"/>
            <w:vAlign w:val="bottom"/>
            <w:tcBorders>
              <w:right w:val="single" w:sz="8" w:color="CCEEFF"/>
            </w:tcBorders>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202,667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7,917,017</w:t>
            </w:r>
          </w:p>
        </w:tc>
        <w:tc>
          <w:tcPr>
            <w:tcW w:w="0" w:type="dxa"/>
            <w:vAlign w:val="bottom"/>
          </w:tcPr>
          <w:p>
            <w:pPr>
              <w:spacing w:after="0"/>
              <w:rPr>
                <w:sz w:val="1"/>
                <w:szCs w:val="1"/>
                <w:color w:val="auto"/>
              </w:rPr>
            </w:pPr>
          </w:p>
        </w:tc>
      </w:tr>
      <w:tr>
        <w:trPr>
          <w:trHeight w:val="21"/>
        </w:trPr>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Three Months Ended June 30, 2021</w:t>
            </w:r>
          </w:p>
        </w:tc>
        <w:tc>
          <w:tcPr>
            <w:tcW w:w="190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4"/>
          </w:tcPr>
          <w:p>
            <w:pPr>
              <w:spacing w:after="0"/>
              <w:rPr>
                <w:sz w:val="20"/>
                <w:szCs w:val="20"/>
                <w:color w:val="auto"/>
              </w:rPr>
            </w:pPr>
            <w:r>
              <w:rPr>
                <w:rFonts w:ascii="Arial" w:cs="Arial" w:eastAsia="Arial" w:hAnsi="Arial"/>
                <w:sz w:val="18"/>
                <w:szCs w:val="18"/>
                <w:color w:val="auto"/>
              </w:rPr>
              <w:t>Balances, March 31, 2021</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20,116,348</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2,012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103,401,916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w w:val="90"/>
              </w:rPr>
              <w:t>(100,724,150)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200,998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2,880,776</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1,634,546</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1,634,546</w:t>
            </w:r>
          </w:p>
        </w:tc>
        <w:tc>
          <w:tcPr>
            <w:tcW w:w="0" w:type="dxa"/>
            <w:vAlign w:val="bottom"/>
          </w:tcPr>
          <w:p>
            <w:pPr>
              <w:spacing w:after="0"/>
              <w:rPr>
                <w:sz w:val="1"/>
                <w:szCs w:val="1"/>
                <w:color w:val="auto"/>
              </w:rPr>
            </w:pPr>
          </w:p>
        </w:tc>
      </w:tr>
      <w:tr>
        <w:trPr>
          <w:trHeight w:val="216"/>
        </w:trPr>
        <w:tc>
          <w:tcPr>
            <w:tcW w:w="4480" w:type="dxa"/>
            <w:vAlign w:val="bottom"/>
            <w:gridSpan w:val="4"/>
          </w:tcPr>
          <w:p>
            <w:pPr>
              <w:ind w:left="180"/>
              <w:spacing w:after="0"/>
              <w:rPr>
                <w:sz w:val="20"/>
                <w:szCs w:val="20"/>
                <w:color w:val="auto"/>
              </w:rPr>
            </w:pPr>
            <w:r>
              <w:rPr>
                <w:rFonts w:ascii="Arial" w:cs="Arial" w:eastAsia="Arial" w:hAnsi="Arial"/>
                <w:sz w:val="18"/>
                <w:szCs w:val="18"/>
                <w:color w:val="auto"/>
              </w:rPr>
              <w:t>Settlement of accrued expense with stock options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349,376</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349,376</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Convertible notes converted to common stock</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1,138,346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6,108,146</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6,108,260</w:t>
            </w:r>
          </w:p>
        </w:tc>
        <w:tc>
          <w:tcPr>
            <w:tcW w:w="0" w:type="dxa"/>
            <w:vAlign w:val="bottom"/>
          </w:tcPr>
          <w:p>
            <w:pPr>
              <w:spacing w:after="0"/>
              <w:rPr>
                <w:sz w:val="1"/>
                <w:szCs w:val="1"/>
                <w:color w:val="auto"/>
              </w:rPr>
            </w:pPr>
          </w:p>
        </w:tc>
      </w:tr>
      <w:tr>
        <w:trPr>
          <w:trHeight w:val="216"/>
        </w:trPr>
        <w:tc>
          <w:tcPr>
            <w:tcW w:w="4480" w:type="dxa"/>
            <w:vAlign w:val="bottom"/>
            <w:gridSpan w:val="4"/>
          </w:tcPr>
          <w:p>
            <w:pPr>
              <w:ind w:left="180"/>
              <w:spacing w:after="0"/>
              <w:rPr>
                <w:sz w:val="20"/>
                <w:szCs w:val="20"/>
                <w:color w:val="auto"/>
              </w:rPr>
            </w:pPr>
            <w:r>
              <w:rPr>
                <w:rFonts w:ascii="Arial" w:cs="Arial" w:eastAsia="Arial" w:hAnsi="Arial"/>
                <w:sz w:val="18"/>
                <w:szCs w:val="18"/>
                <w:color w:val="auto"/>
              </w:rPr>
              <w:t>Cashless stock option exercise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108,333</w:t>
            </w:r>
          </w:p>
        </w:tc>
        <w:tc>
          <w:tcPr>
            <w:tcW w:w="1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(3,057,610)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(3,057,610)</w:t>
            </w:r>
          </w:p>
        </w:tc>
        <w:tc>
          <w:tcPr>
            <w:tcW w:w="0" w:type="dxa"/>
            <w:vAlign w:val="bottom"/>
          </w:tcPr>
          <w:p>
            <w:pPr>
              <w:spacing w:after="0"/>
              <w:rPr>
                <w:sz w:val="1"/>
                <w:szCs w:val="1"/>
                <w:color w:val="auto"/>
              </w:rPr>
            </w:pPr>
          </w:p>
        </w:tc>
      </w:tr>
      <w:tr>
        <w:trPr>
          <w:trHeight w:val="230"/>
        </w:trPr>
        <w:tc>
          <w:tcPr>
            <w:tcW w:w="4480" w:type="dxa"/>
            <w:vAlign w:val="bottom"/>
            <w:gridSpan w:val="4"/>
          </w:tcPr>
          <w:p>
            <w:pPr>
              <w:ind w:left="180"/>
              <w:spacing w:after="0"/>
              <w:rPr>
                <w:sz w:val="20"/>
                <w:szCs w:val="20"/>
                <w:color w:val="auto"/>
              </w:rPr>
            </w:pPr>
            <w:r>
              <w:rPr>
                <w:rFonts w:ascii="Arial" w:cs="Arial" w:eastAsia="Arial" w:hAnsi="Arial"/>
                <w:sz w:val="18"/>
                <w:szCs w:val="18"/>
                <w:color w:val="auto"/>
              </w:rPr>
              <w:t>Foreign currency translation</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7"/>
        </w:trPr>
        <w:tc>
          <w:tcPr>
            <w:tcW w:w="448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Balances, June 30, 2021</w:t>
            </w: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gridSpan w:val="4"/>
            <w:vMerge w:val="continue"/>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21,363,027</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111,493,973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(103,781,760</w:t>
            </w:r>
          </w:p>
        </w:tc>
        <w:tc>
          <w:tcPr>
            <w:tcW w:w="200" w:type="dxa"/>
            <w:vAlign w:val="bottom"/>
            <w:tcBorders>
              <w:right w:val="single" w:sz="8" w:color="CCEEFF"/>
            </w:tcBorders>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202,667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7,917,017</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Six Months Ended June 30, 2020</w:t>
            </w:r>
          </w:p>
        </w:tc>
        <w:tc>
          <w:tcPr>
            <w:tcW w:w="208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4"/>
          </w:tcPr>
          <w:p>
            <w:pPr>
              <w:spacing w:after="0"/>
              <w:rPr>
                <w:sz w:val="20"/>
                <w:szCs w:val="20"/>
                <w:color w:val="auto"/>
              </w:rPr>
            </w:pPr>
            <w:r>
              <w:rPr>
                <w:rFonts w:ascii="Arial" w:cs="Arial" w:eastAsia="Arial" w:hAnsi="Arial"/>
                <w:sz w:val="18"/>
                <w:szCs w:val="18"/>
                <w:color w:val="auto"/>
              </w:rPr>
              <w:t>Balances, December 31, 2019</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17,270,848</w:t>
            </w:r>
          </w:p>
        </w:tc>
        <w:tc>
          <w:tcPr>
            <w:tcW w:w="1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1,727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95,032,252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(86,935,593)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177,385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8,275,771</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Modification of warrants issued with debt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95,223</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95,223</w:t>
            </w:r>
          </w:p>
        </w:tc>
        <w:tc>
          <w:tcPr>
            <w:tcW w:w="0" w:type="dxa"/>
            <w:vAlign w:val="bottom"/>
          </w:tcPr>
          <w:p>
            <w:pPr>
              <w:spacing w:after="0"/>
              <w:rPr>
                <w:sz w:val="1"/>
                <w:szCs w:val="1"/>
                <w:color w:val="auto"/>
              </w:rPr>
            </w:pPr>
          </w:p>
        </w:tc>
      </w:tr>
      <w:tr>
        <w:trPr>
          <w:trHeight w:val="216"/>
        </w:trPr>
        <w:tc>
          <w:tcPr>
            <w:tcW w:w="4480" w:type="dxa"/>
            <w:vAlign w:val="bottom"/>
            <w:gridSpan w:val="4"/>
          </w:tcPr>
          <w:p>
            <w:pPr>
              <w:ind w:left="180"/>
              <w:spacing w:after="0"/>
              <w:rPr>
                <w:sz w:val="20"/>
                <w:szCs w:val="20"/>
                <w:color w:val="auto"/>
              </w:rPr>
            </w:pPr>
            <w:r>
              <w:rPr>
                <w:rFonts w:ascii="Arial" w:cs="Arial" w:eastAsia="Arial" w:hAnsi="Arial"/>
                <w:sz w:val="18"/>
                <w:szCs w:val="18"/>
                <w:color w:val="auto"/>
              </w:rPr>
              <w:t>Sale of common stock for cash</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114,719</w:t>
            </w:r>
          </w:p>
        </w:tc>
        <w:tc>
          <w:tcPr>
            <w:tcW w:w="1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199,989</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Warrant exercise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682,700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1,248,915</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1,248,983</w:t>
            </w:r>
          </w:p>
        </w:tc>
        <w:tc>
          <w:tcPr>
            <w:tcW w:w="0" w:type="dxa"/>
            <w:vAlign w:val="bottom"/>
          </w:tcPr>
          <w:p>
            <w:pPr>
              <w:spacing w:after="0"/>
              <w:rPr>
                <w:sz w:val="1"/>
                <w:szCs w:val="1"/>
                <w:color w:val="auto"/>
              </w:rPr>
            </w:pPr>
          </w:p>
        </w:tc>
      </w:tr>
      <w:tr>
        <w:trPr>
          <w:trHeight w:val="216"/>
        </w:trPr>
        <w:tc>
          <w:tcPr>
            <w:tcW w:w="4480" w:type="dxa"/>
            <w:vAlign w:val="bottom"/>
            <w:gridSpan w:val="4"/>
          </w:tcPr>
          <w:p>
            <w:pPr>
              <w:ind w:left="180"/>
              <w:spacing w:after="0"/>
              <w:rPr>
                <w:sz w:val="20"/>
                <w:szCs w:val="20"/>
                <w:color w:val="auto"/>
              </w:rPr>
            </w:pPr>
            <w:r>
              <w:rPr>
                <w:rFonts w:ascii="Arial" w:cs="Arial" w:eastAsia="Arial" w:hAnsi="Arial"/>
                <w:sz w:val="18"/>
                <w:szCs w:val="18"/>
                <w:color w:val="auto"/>
              </w:rPr>
              <w:t>Warrant exercise inducement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366,795</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366,795</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150,000</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629,978</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629,993</w:t>
            </w:r>
          </w:p>
        </w:tc>
        <w:tc>
          <w:tcPr>
            <w:tcW w:w="0" w:type="dxa"/>
            <w:vAlign w:val="bottom"/>
          </w:tcPr>
          <w:p>
            <w:pPr>
              <w:spacing w:after="0"/>
              <w:rPr>
                <w:sz w:val="1"/>
                <w:szCs w:val="1"/>
                <w:color w:val="auto"/>
              </w:rPr>
            </w:pPr>
          </w:p>
        </w:tc>
      </w:tr>
      <w:tr>
        <w:trPr>
          <w:trHeight w:val="216"/>
        </w:trPr>
        <w:tc>
          <w:tcPr>
            <w:tcW w:w="4480" w:type="dxa"/>
            <w:vAlign w:val="bottom"/>
            <w:gridSpan w:val="4"/>
          </w:tcPr>
          <w:p>
            <w:pPr>
              <w:ind w:left="180"/>
              <w:spacing w:after="0"/>
              <w:rPr>
                <w:sz w:val="20"/>
                <w:szCs w:val="20"/>
                <w:color w:val="auto"/>
              </w:rPr>
            </w:pPr>
            <w:r>
              <w:rPr>
                <w:rFonts w:ascii="Arial" w:cs="Arial" w:eastAsia="Arial" w:hAnsi="Arial"/>
                <w:sz w:val="18"/>
                <w:szCs w:val="18"/>
                <w:color w:val="auto"/>
              </w:rPr>
              <w:t>Issuance of common stock to settle accounts payable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3,540</w:t>
            </w:r>
          </w:p>
        </w:tc>
        <w:tc>
          <w:tcPr>
            <w:tcW w:w="1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8,270</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8,270</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(7,298,869)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(7,298,869)</w:t>
            </w:r>
          </w:p>
        </w:tc>
        <w:tc>
          <w:tcPr>
            <w:tcW w:w="0" w:type="dxa"/>
            <w:vAlign w:val="bottom"/>
          </w:tcPr>
          <w:p>
            <w:pPr>
              <w:spacing w:after="0"/>
              <w:rPr>
                <w:sz w:val="1"/>
                <w:szCs w:val="1"/>
                <w:color w:val="auto"/>
              </w:rPr>
            </w:pPr>
          </w:p>
        </w:tc>
      </w:tr>
      <w:tr>
        <w:trPr>
          <w:trHeight w:val="230"/>
        </w:trPr>
        <w:tc>
          <w:tcPr>
            <w:tcW w:w="4480" w:type="dxa"/>
            <w:vAlign w:val="bottom"/>
            <w:gridSpan w:val="4"/>
          </w:tcPr>
          <w:p>
            <w:pPr>
              <w:ind w:left="180"/>
              <w:spacing w:after="0"/>
              <w:rPr>
                <w:sz w:val="20"/>
                <w:szCs w:val="20"/>
                <w:color w:val="auto"/>
              </w:rPr>
            </w:pPr>
            <w:r>
              <w:rPr>
                <w:rFonts w:ascii="Arial" w:cs="Arial" w:eastAsia="Arial" w:hAnsi="Arial"/>
                <w:sz w:val="18"/>
                <w:szCs w:val="18"/>
                <w:color w:val="auto"/>
              </w:rPr>
              <w:t>Foreign currency translation</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(36,029)</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(36,029)</w:t>
            </w:r>
          </w:p>
        </w:tc>
        <w:tc>
          <w:tcPr>
            <w:tcW w:w="0" w:type="dxa"/>
            <w:vAlign w:val="bottom"/>
          </w:tcPr>
          <w:p>
            <w:pPr>
              <w:spacing w:after="0"/>
              <w:rPr>
                <w:sz w:val="1"/>
                <w:szCs w:val="1"/>
                <w:color w:val="auto"/>
              </w:rPr>
            </w:pPr>
          </w:p>
        </w:tc>
      </w:tr>
      <w:tr>
        <w:trPr>
          <w:trHeight w:val="27"/>
        </w:trPr>
        <w:tc>
          <w:tcPr>
            <w:tcW w:w="448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Balances, June 30, 2020</w:t>
            </w: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gridSpan w:val="4"/>
            <w:vMerge w:val="continue"/>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18,221,807</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97,581,422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(94,234,462</w:t>
            </w:r>
          </w:p>
        </w:tc>
        <w:tc>
          <w:tcPr>
            <w:tcW w:w="200" w:type="dxa"/>
            <w:vAlign w:val="bottom"/>
            <w:tcBorders>
              <w:right w:val="single" w:sz="8" w:color="CCEEFF"/>
            </w:tcBorders>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141,356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3,490,138</w:t>
            </w:r>
          </w:p>
        </w:tc>
        <w:tc>
          <w:tcPr>
            <w:tcW w:w="0" w:type="dxa"/>
            <w:vAlign w:val="bottom"/>
          </w:tcPr>
          <w:p>
            <w:pPr>
              <w:spacing w:after="0"/>
              <w:rPr>
                <w:sz w:val="1"/>
                <w:szCs w:val="1"/>
                <w:color w:val="auto"/>
              </w:rPr>
            </w:pPr>
          </w:p>
        </w:tc>
      </w:tr>
      <w:tr>
        <w:trPr>
          <w:trHeight w:val="21"/>
        </w:trPr>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Three Months Ended June 30, 2020</w:t>
            </w:r>
          </w:p>
        </w:tc>
        <w:tc>
          <w:tcPr>
            <w:tcW w:w="190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4"/>
          </w:tcPr>
          <w:p>
            <w:pPr>
              <w:spacing w:after="0"/>
              <w:rPr>
                <w:sz w:val="20"/>
                <w:szCs w:val="20"/>
                <w:color w:val="auto"/>
              </w:rPr>
            </w:pPr>
            <w:r>
              <w:rPr>
                <w:rFonts w:ascii="Arial" w:cs="Arial" w:eastAsia="Arial" w:hAnsi="Arial"/>
                <w:sz w:val="18"/>
                <w:szCs w:val="18"/>
                <w:color w:val="auto"/>
              </w:rPr>
              <w:t>Balances, March 31, 2020</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17,424,388</w:t>
            </w:r>
          </w:p>
        </w:tc>
        <w:tc>
          <w:tcPr>
            <w:tcW w:w="1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95,304,840</w:t>
            </w:r>
          </w:p>
        </w:tc>
        <w:tc>
          <w:tcPr>
            <w:tcW w:w="100" w:type="dxa"/>
            <w:vAlign w:val="bottom"/>
          </w:tcPr>
          <w:p>
            <w:pPr>
              <w:spacing w:after="0"/>
              <w:rPr>
                <w:sz w:val="18"/>
                <w:szCs w:val="18"/>
                <w:color w:val="auto"/>
              </w:rPr>
            </w:pPr>
          </w:p>
        </w:tc>
        <w:tc>
          <w:tcPr>
            <w:tcW w:w="1180" w:type="dxa"/>
            <w:vAlign w:val="bottom"/>
            <w:gridSpan w:val="2"/>
          </w:tcPr>
          <w:p>
            <w:pPr>
              <w:jc w:val="right"/>
              <w:ind w:right="61"/>
              <w:spacing w:after="0"/>
              <w:rPr>
                <w:sz w:val="20"/>
                <w:szCs w:val="20"/>
                <w:color w:val="auto"/>
              </w:rPr>
            </w:pPr>
            <w:r>
              <w:rPr>
                <w:rFonts w:ascii="Arial" w:cs="Arial" w:eastAsia="Arial" w:hAnsi="Arial"/>
                <w:sz w:val="18"/>
                <w:szCs w:val="18"/>
                <w:color w:val="auto"/>
                <w:w w:val="99"/>
              </w:rPr>
              <w:t>(90,772,014)</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61,121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4,595,689</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Sale of common stock for cash</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114,719</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199,989</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4480" w:type="dxa"/>
            <w:vAlign w:val="bottom"/>
            <w:gridSpan w:val="4"/>
          </w:tcPr>
          <w:p>
            <w:pPr>
              <w:ind w:left="180"/>
              <w:spacing w:after="0"/>
              <w:rPr>
                <w:sz w:val="20"/>
                <w:szCs w:val="20"/>
                <w:color w:val="auto"/>
              </w:rPr>
            </w:pPr>
            <w:r>
              <w:rPr>
                <w:rFonts w:ascii="Arial" w:cs="Arial" w:eastAsia="Arial" w:hAnsi="Arial"/>
                <w:sz w:val="18"/>
                <w:szCs w:val="18"/>
                <w:color w:val="auto"/>
              </w:rPr>
              <w:t>Warrant exercise</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682,700</w:t>
            </w:r>
          </w:p>
        </w:tc>
        <w:tc>
          <w:tcPr>
            <w:tcW w:w="1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1,248,915</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1,248,983</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Warrant exercise inducement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366,795</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366,795</w:t>
            </w:r>
          </w:p>
        </w:tc>
        <w:tc>
          <w:tcPr>
            <w:tcW w:w="0" w:type="dxa"/>
            <w:vAlign w:val="bottom"/>
          </w:tcPr>
          <w:p>
            <w:pPr>
              <w:spacing w:after="0"/>
              <w:rPr>
                <w:sz w:val="1"/>
                <w:szCs w:val="1"/>
                <w:color w:val="auto"/>
              </w:rPr>
            </w:pPr>
          </w:p>
        </w:tc>
      </w:tr>
      <w:tr>
        <w:trPr>
          <w:trHeight w:val="216"/>
        </w:trPr>
        <w:tc>
          <w:tcPr>
            <w:tcW w:w="4480" w:type="dxa"/>
            <w:vAlign w:val="bottom"/>
            <w:gridSpan w:val="4"/>
          </w:tcPr>
          <w:p>
            <w:pPr>
              <w:ind w:left="180"/>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460,883</w:t>
            </w:r>
          </w:p>
        </w:tc>
        <w:tc>
          <w:tcPr>
            <w:tcW w:w="1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460,883</w:t>
            </w:r>
          </w:p>
        </w:tc>
        <w:tc>
          <w:tcPr>
            <w:tcW w:w="0" w:type="dxa"/>
            <w:vAlign w:val="bottom"/>
          </w:tcPr>
          <w:p>
            <w:pPr>
              <w:spacing w:after="0"/>
              <w:rPr>
                <w:sz w:val="1"/>
                <w:szCs w:val="1"/>
                <w:color w:val="auto"/>
              </w:rPr>
            </w:pPr>
          </w:p>
        </w:tc>
      </w:tr>
      <w:tr>
        <w:trPr>
          <w:trHeight w:val="216"/>
        </w:trPr>
        <w:tc>
          <w:tcPr>
            <w:tcW w:w="44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(3,462,448)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(3,462,448)</w:t>
            </w:r>
          </w:p>
        </w:tc>
        <w:tc>
          <w:tcPr>
            <w:tcW w:w="0" w:type="dxa"/>
            <w:vAlign w:val="bottom"/>
          </w:tcPr>
          <w:p>
            <w:pPr>
              <w:spacing w:after="0"/>
              <w:rPr>
                <w:sz w:val="1"/>
                <w:szCs w:val="1"/>
                <w:color w:val="auto"/>
              </w:rPr>
            </w:pPr>
          </w:p>
        </w:tc>
      </w:tr>
      <w:tr>
        <w:trPr>
          <w:trHeight w:val="230"/>
        </w:trPr>
        <w:tc>
          <w:tcPr>
            <w:tcW w:w="4480" w:type="dxa"/>
            <w:vAlign w:val="bottom"/>
            <w:gridSpan w:val="4"/>
          </w:tcPr>
          <w:p>
            <w:pPr>
              <w:ind w:left="180"/>
              <w:spacing w:after="0"/>
              <w:rPr>
                <w:sz w:val="20"/>
                <w:szCs w:val="20"/>
                <w:color w:val="auto"/>
              </w:rPr>
            </w:pPr>
            <w:r>
              <w:rPr>
                <w:rFonts w:ascii="Arial" w:cs="Arial" w:eastAsia="Arial" w:hAnsi="Arial"/>
                <w:sz w:val="18"/>
                <w:szCs w:val="18"/>
                <w:color w:val="auto"/>
              </w:rPr>
              <w:t>Foreign currency translation</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80,235</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80,235</w:t>
            </w:r>
          </w:p>
        </w:tc>
        <w:tc>
          <w:tcPr>
            <w:tcW w:w="0" w:type="dxa"/>
            <w:vAlign w:val="bottom"/>
          </w:tcPr>
          <w:p>
            <w:pPr>
              <w:spacing w:after="0"/>
              <w:rPr>
                <w:sz w:val="1"/>
                <w:szCs w:val="1"/>
                <w:color w:val="auto"/>
              </w:rPr>
            </w:pPr>
          </w:p>
        </w:tc>
      </w:tr>
      <w:tr>
        <w:trPr>
          <w:trHeight w:val="27"/>
        </w:trPr>
        <w:tc>
          <w:tcPr>
            <w:tcW w:w="448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Balances, June 30, 2020</w:t>
            </w:r>
          </w:p>
        </w:tc>
        <w:tc>
          <w:tcPr>
            <w:tcW w:w="9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Borders>
              <w:right w:val="single" w:sz="8" w:color="CCEEFF"/>
            </w:tcBorders>
            <w:vMerge w:val="restart"/>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gridSpan w:val="4"/>
            <w:vMerge w:val="continue"/>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18,221,807</w:t>
            </w:r>
          </w:p>
        </w:tc>
        <w:tc>
          <w:tcPr>
            <w:tcW w:w="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97,581,422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(94,234,462</w:t>
            </w:r>
          </w:p>
        </w:tc>
        <w:tc>
          <w:tcPr>
            <w:tcW w:w="200" w:type="dxa"/>
            <w:vAlign w:val="bottom"/>
            <w:tcBorders>
              <w:right w:val="single" w:sz="8" w:color="CCEEFF"/>
            </w:tcBorders>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141,356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3,490,138</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6"/>
          </w:tcPr>
          <w:p>
            <w:pPr>
              <w:jc w:val="right"/>
              <w:ind w:right="6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(5,547,609)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(7,298,869)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with cash flows from operations: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624,419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600,978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2,261,126</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629,993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Extinguishment of note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985,481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Warrant exercise inducement expense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366,795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discounts and issuance costs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237,435</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214,668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Impairment losses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1,059,495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Forgiveness of note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(485,760)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(127,930)</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(23,217)</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Net investment in direct financing lease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35,371</w:t>
            </w: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31,796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 and other assets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(308,479)</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21,984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113,870</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374,366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644,649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1,056,433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223,393</w:t>
            </w:r>
          </w:p>
        </w:tc>
        <w:tc>
          <w:tcPr>
            <w:tcW w:w="2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28,810</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(47,809)</w:t>
            </w:r>
          </w:p>
        </w:tc>
        <w:tc>
          <w:tcPr>
            <w:tcW w:w="2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Arial" w:cs="Arial" w:eastAsia="Arial" w:hAnsi="Arial"/>
                <w:sz w:val="18"/>
                <w:szCs w:val="18"/>
                <w:color w:val="auto"/>
              </w:rPr>
              <w:t>Net cash flows from operating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(2,377,324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(1,951,287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(78,325)</w:t>
            </w:r>
          </w:p>
        </w:tc>
        <w:tc>
          <w:tcPr>
            <w:tcW w:w="2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Investment in other assets including work in progress</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(10,829)</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(124,870)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13,462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Net cash flows from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(89,154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(113,802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convertible note payable</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 of debt issuance costs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(104,800)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exercise of warrants</w:t>
            </w: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283,950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payroll protection loan</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485,760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Payments on notes payable</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(2,892)</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capital lease obligation</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(19,224)</w:t>
            </w:r>
          </w:p>
        </w:tc>
        <w:tc>
          <w:tcPr>
            <w:tcW w:w="2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(19,487)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Net cash flows from financing activities</w:t>
            </w: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463,644</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2,355,423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Arial" w:cs="Arial" w:eastAsia="Arial" w:hAnsi="Arial"/>
                <w:sz w:val="18"/>
                <w:szCs w:val="18"/>
                <w:color w:val="auto"/>
              </w:rPr>
              <w:t>Effect of Foreign Currencies</w:t>
            </w:r>
          </w:p>
        </w:tc>
        <w:tc>
          <w:tcPr>
            <w:tcW w:w="22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42,971</w:t>
            </w:r>
          </w:p>
        </w:tc>
        <w:tc>
          <w:tcPr>
            <w:tcW w:w="26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(42,465)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Change in Cash</w:t>
            </w:r>
          </w:p>
        </w:tc>
        <w:tc>
          <w:tcPr>
            <w:tcW w:w="2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(1,959,863)</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247,869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the Period</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3,765,277</w:t>
            </w:r>
          </w:p>
        </w:tc>
        <w:tc>
          <w:tcPr>
            <w:tcW w:w="2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567,081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Cash, End of the Period</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1,805,414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814,950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8,779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9,853</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12,466</w:t>
            </w:r>
          </w:p>
        </w:tc>
        <w:tc>
          <w:tcPr>
            <w:tcW w:w="100" w:type="dxa"/>
            <w:vAlign w:val="bottom"/>
            <w:tcBorders>
              <w:bottom w:val="single" w:sz="8" w:color="CCEEFF"/>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Arial" w:cs="Arial" w:eastAsia="Arial" w:hAnsi="Arial"/>
                <w:sz w:val="18"/>
                <w:szCs w:val="18"/>
                <w:color w:val="auto"/>
              </w:rPr>
              <w:t>Modification of warrants issued with convertible debt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95,223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Exchange of notes payable and accrued interest for convertible notes payable</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Warrant exercise with a subscription receivable</w:t>
            </w: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965,033</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Settlement of accounts payable with issuance of common stock</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Conversion of convertible notes payable and accrued interest to common stock</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6,232,340</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Settlement of accounts payable with issuance of stock options</w:t>
            </w: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349,376</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227"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IPSIDY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2020. The results of operations for the six months ended June 30, 2021 are not necessarily indicative of the results to be expected for future periods or the full year.</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include the accounts of Ipsidy Inc. and its wholly-owned subsidiaries MultiPay S.A.S., ID Global LATAM, IDGS S.A.S., ID Solutions, Inc., FIN Holdings Inc., Ipsidy Enterprises Limited, Cards Plus Pty Ltd. and Ipsidy Peru S.A.C. (collectively the “Company”). All significant intercompany balances and transactions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Annual Meeting of stockholders of the Company held on March 22, 2021, the stockholders approved an amendment to our certificate of incorporation to effect a reverse stock split at a ratio not less than 1-for-2 and not greater than 1-for-50, with the exact ratio to be set within that range at the discretion of our board of directors before December 31,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14, 2021 (the “Effective Time”), the Company completed a 1-for-30 reverse stock split of its Common Stock, as previously authorized at the Annual Meeting. Pursuant to the reverse stock split, at the Effective Time, every 30 issued shares of Common Stock were automatically combined into one share of Common Stock without any change in the par value per share.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par value of the Company’s Common Stock was unchanged at $0.0001 per share after the reverse stock split. As a result, on the effective date of the reverse stock split, the stated capital on the Company’s balance sheet attributable to Common Stock was reduced proportionately based on the reverse stock split ratio of 1-for-30 and the additional paid-in capital account was credited with the amount by which the stated capital was reduced.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the reverse stock split, net income or loss per share, and other per share amounts were adjusted because there are fewer shares of the Company’s Common Stock outstanding.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net income or loss per share and other per share amounts for periods ending before the reverse stock split were recast to give retroactive effect to the reverse stock split.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the Company had an accumulated deficit of approximately $103.8 million. For the six months ended June 30, 2021 the Company earned revenue of approximately $1.2 million and incurred a loss from operations of approximately $5.5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The reports of our independent registered public accounting firm on our consolidated financial statements for the years ended December 31, 2020 and 2019 contained an explanatory paragraph regarding our ability to continue as a going concern based upon our net losses.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unaudited condensed consolidated financial statements have been prepared on a going concern basis, which implies the Company will continue to meet its obligations and continue its operations for the next fiscal year. The continuation of the Company as a going concern is dependent upon financial support from the Company’s current shareholders, the ability of the Company to obtain additional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28, 2021, the Company filed a Registration Statement on Form S-1 and a preliminary prospectus for an underwritten public offering of its Common Stock to be undertaken by ThinkEquity, a division of Fordham Financial Management, Inc. On July 16, 2021, the Company filed an Amendment to such Form S-1, indicating that, based on an assumed offering price of $11.03 per share, the Company was intending to offer approximately 1.8 million shares, for an aggregate offering price of approximately $20 million (before expenses). The Registration Statement also indicates that the Company has applied for its shares to be admitted to listing on the Nasdaq Capital Market under the symbol “AUID”. There is no assurance that such public offering will be completed, for the amount proposes, or at all, nor that the Company’s Common Stock will be admitted for listing to the Nasdaq market.</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assurance that the Company will ever be profitable or be able to secure funding or generate sufficient revenues to sustain operations. As such, there is substantial doubt about the Company’s ability to continue as a going concern.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novel strain of coronavirus (“Covid-19”) emerged globally in December 2019 and has been declared a pandemic. The extent to which Covid-19 will impact our customers, business, results and financial condition will depend on current and future developments, which are highly uncertain and cannot be predicted at this time. The Company’s day-to-day operations have been impacted differently depending on geographic location and services that are being performed. The Cards Plus business located in South Africa has had limitations on its operations as they are following the guidance and requirements of the South African government. Our operations in the United States and Colombia have suffered less immediate impact as most staff can work remotely and can continue to develop our product offerings.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said we have seen our business opportunities develop more slowly as business partners and potential customers are dealing with Covid-19 issues, working remotely and these issues are causing delays in decision making and finalization of negotiations and agreements.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dilutive potential common shares if their effect is anti-dilutive. The following potentially dilutive securities were excluded from the calculation of diluted loss per share for the three and six months ended June 30, 2021 and 2020 because their effect was antidilutive: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Security</w:t>
            </w: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140" w:type="dxa"/>
            <w:vAlign w:val="bottom"/>
          </w:tcPr>
          <w:p>
            <w:pPr>
              <w:ind w:left="38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117,529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87"/>
              </w:rPr>
              <w:t>1,182,557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1,411,308</w:t>
            </w:r>
          </w:p>
        </w:tc>
        <w:tc>
          <w:tcPr>
            <w:tcW w:w="1140" w:type="dxa"/>
            <w:vAlign w:val="bottom"/>
          </w:tcPr>
          <w:p>
            <w:pPr>
              <w:ind w:left="400"/>
              <w:spacing w:after="0"/>
              <w:rPr>
                <w:sz w:val="20"/>
                <w:szCs w:val="20"/>
                <w:color w:val="auto"/>
              </w:rPr>
            </w:pPr>
            <w:r>
              <w:rPr>
                <w:rFonts w:ascii="Arial" w:cs="Arial" w:eastAsia="Arial" w:hAnsi="Arial"/>
                <w:sz w:val="18"/>
                <w:szCs w:val="18"/>
                <w:color w:val="auto"/>
                <w:w w:val="87"/>
              </w:rPr>
              <w:t>1,581,774</w:t>
            </w:r>
          </w:p>
        </w:tc>
        <w:tc>
          <w:tcPr>
            <w:tcW w:w="80" w:type="dxa"/>
            <w:vAlign w:val="bottom"/>
          </w:tcPr>
          <w:p>
            <w:pPr>
              <w:spacing w:after="0"/>
              <w:rPr>
                <w:sz w:val="18"/>
                <w:szCs w:val="18"/>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9,167,642</w:t>
            </w:r>
          </w:p>
        </w:tc>
        <w:tc>
          <w:tcPr>
            <w:tcW w:w="114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87"/>
              </w:rPr>
              <w:t>3,660,778</w:t>
            </w:r>
          </w:p>
        </w:tc>
        <w:tc>
          <w:tcPr>
            <w:tcW w:w="80" w:type="dxa"/>
            <w:vAlign w:val="bottom"/>
            <w:shd w:val="clear" w:color="auto" w:fill="CCEEFF"/>
          </w:tcPr>
          <w:p>
            <w:pPr>
              <w:spacing w:after="0"/>
              <w:rPr>
                <w:sz w:val="19"/>
                <w:szCs w:val="19"/>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10,696,479</w:t>
            </w:r>
          </w:p>
        </w:tc>
        <w:tc>
          <w:tcPr>
            <w:tcW w:w="1140" w:type="dxa"/>
            <w:vAlign w:val="bottom"/>
          </w:tcPr>
          <w:p>
            <w:pPr>
              <w:ind w:left="400"/>
              <w:spacing w:after="0"/>
              <w:rPr>
                <w:sz w:val="20"/>
                <w:szCs w:val="20"/>
                <w:color w:val="auto"/>
              </w:rPr>
            </w:pPr>
            <w:r>
              <w:rPr>
                <w:rFonts w:ascii="Arial" w:cs="Arial" w:eastAsia="Arial" w:hAnsi="Arial"/>
                <w:sz w:val="18"/>
                <w:szCs w:val="18"/>
                <w:color w:val="auto"/>
                <w:w w:val="87"/>
              </w:rPr>
              <w:t>6,425,109</w:t>
            </w:r>
          </w:p>
        </w:tc>
        <w:tc>
          <w:tcPr>
            <w:tcW w:w="80" w:type="dxa"/>
            <w:vAlign w:val="bottom"/>
          </w:tcPr>
          <w:p>
            <w:pPr>
              <w:spacing w:after="0"/>
              <w:rPr>
                <w:sz w:val="21"/>
                <w:szCs w:val="2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Inventory of plastic/ID cards, digital printing material, which are held by Cards Plus Pty Ltd., are at the lower of cost (using the average method) or market. The Plastic/ID cards and digital printing material are used to provide plastic loyal ID and other types of cards. Inventories of kiosks held by IDGS S.A.S are stated at the lower of cost (using the first-in, first-out method) or net realizable value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at June 30, 2021 and December 31, 2020 consist of cards inventory. As of June 30, 2021 and December 31, 2020, the Company recorded an inventory valuation allowance of approximately $27,000 and $18,000 to reflect net realizable value of the cards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adjustments to reduce the cost of inventories to their net realizable value are recognized in earnings in the current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Cards Plus – The Company recognizes revenue for the design and production of cards at the point in time when products are shipped, or services have been performed due to the short term nature of the contracts. Additionally, the cards produced by the Company have no alternative use and the Company has an enforceable right to payment for work performed should the contract be cancelled. As of June 30, 2021 and December 31, 2020, Cards Plus had approximately $22,000 and $88,000, respectively, of contract liability from payments received in advance that will be earned in future periods.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Payment Processing – The Company recognizes revenue for variable fees generated for payment processing solutions that are earned on a usage fee over time based on monthly transaction volumes or on a monthly flat fee rate. Additionally, the Company also sells certain equipment from time to time for which revenue is recognized upon delivery to the customer.</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Identity Solutions Software – The Company recognizes revenue based on the identified performance obligations over the performance period for fixed consideration and for variable fees generated that are earned on a usage fee based over time based on monthly transaction volumes or on a monthly flat fee rate. The Company had a contract liability of approximately $439,000 and $150,000 as of June 30, 2021 and December 31, 2020 relating to certain revenue that will be earned in future periods. The majority of the $150,000 of deferred revenue contract liability as of December 31, 2020 was earned in the first quarter of fiscal year 2021. As of June 30, 2021, the majority of the deferred revenue contract liability of $439,000 will be recognized in the ensuing three quarters. We have allocated the selling price in the contract to one customer; the contract has multiple performance obligations based on the contract selling price that we believe represents a standalone selling price for the service rendered.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 w:name="page12"/>
    <w:bookmarkEnd w:id="11"/>
    <w:p>
      <w:pPr>
        <w:jc w:val="both"/>
        <w:spacing w:after="0" w:line="269" w:lineRule="auto"/>
        <w:rPr>
          <w:sz w:val="20"/>
          <w:szCs w:val="20"/>
          <w:color w:val="auto"/>
        </w:rPr>
      </w:pPr>
      <w:r>
        <w:rPr>
          <w:rFonts w:ascii="Arial" w:cs="Arial" w:eastAsia="Arial" w:hAnsi="Arial"/>
          <w:sz w:val="17"/>
          <w:szCs w:val="17"/>
          <w:color w:val="auto"/>
        </w:rPr>
        <w:t>All contracts are reviewed for their respective performance obligations and related revenue and expense recognition implications. Certain of the revenues are derived from identity services that could include multiple performance obligations. A performance obligation is defined as a promise to provide a “distinct” good or service to a customer. The Company has determined that one possible treatment under U.S. GAAP is that these services will represent a stand-ready series of distinct daily services that are substantially the same, with the same pattern of transfer to the customer. Further, the Company has determined that the performance obligation to provide account access and facilitate transactions should meet the criteria for the “as invoiced” practical expedient, in that the Company has a right to consideration from a customer in an amount that corresponds directly with the value to the customer of the Company’s performance completed to date. As a result, the Company anticipates it may recognize revenue in the amount to which the Company has a right to invoice, based on completed performance at the relevant date. Additionally, the contracts could include implementation services, or support on an “as needed” basis and we will review each contract and determine whether such performance obligations are separate and distinct and apply the new standard accordingly to the revenue and expense derived from or related to each such service.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Revenue related to direct financing leases is outside the scope of Topic 606 and is recognized over the term of the lease using the effective interest method.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2 – OTHER 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Other current assets consisted of the following as of June 30, 2021 and December 31, 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227,800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39,117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stock offering costs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166,967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license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Operating lease right of use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92,503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131,568</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93,539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38,697</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650,308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240,223</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NOTE 3 – PROPERTY AND EQUIPMENT,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Property and equipment consisted of the following as of June 30, 2021 and December 31, 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June 30,</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Equipment under finance lease (see Note 10)</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163,407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163,407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539,571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(391,078)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(363,417)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148,493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97,829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4"/>
              </w:rPr>
              <w:t>Depreciation expense totaled $27,661 and $26,533 for the six months ended June 30, 2021 and 2020, respectively.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NOTE 4 – OTHER 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Other assets consisted of the following at June 30, 2021 and December 31, 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June 30,</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49,856</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136,163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190,367</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240,223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5 – INTANGIBLE ASSETS, NET (OTHER THAN GOODWILL)</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Company’s intangible assets consist primarily of intellectual property acquired from MultiPay and FIN and are amortized over their estimated useful lives as indicated below. The following is a summary of activity related to intangible assets for the six months ended June 30,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Acquired and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Customer</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Developed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Intellectual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Relationships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Software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Property</w:t>
            </w:r>
          </w:p>
        </w:tc>
        <w:tc>
          <w:tcPr>
            <w:tcW w:w="2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Patents</w:t>
            </w: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Useful Lives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 Years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 Years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 Years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N/A</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at December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811,303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3,171,394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416,471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128,308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4,527,476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Additions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10,829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10,829</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(82,963)</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(466,294)</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(40,667)</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(596,758)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Carrying Value at June 30, 2021</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728,340</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2,705,100</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375,804</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132,303</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3,941,547</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6000" w:type="dxa"/>
            <w:vAlign w:val="bottom"/>
            <w:gridSpan w:val="4"/>
          </w:tcPr>
          <w:p>
            <w:pPr>
              <w:spacing w:after="0"/>
              <w:rPr>
                <w:sz w:val="20"/>
                <w:szCs w:val="20"/>
                <w:color w:val="auto"/>
              </w:rPr>
            </w:pPr>
            <w:r>
              <w:rPr>
                <w:rFonts w:ascii="Arial" w:cs="Arial" w:eastAsia="Arial" w:hAnsi="Arial"/>
                <w:sz w:val="18"/>
                <w:szCs w:val="18"/>
                <w:color w:val="auto"/>
              </w:rPr>
              <w:t>The following is a summary of intangible assets as of June 30, 2021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Acquired and</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Customer</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Developed</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Intellectual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Relationships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Software</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Property</w:t>
            </w:r>
          </w:p>
        </w:tc>
        <w:tc>
          <w:tcPr>
            <w:tcW w:w="2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Patents</w:t>
            </w: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1,587,159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4,476,273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828,580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142,424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7,034,436</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(858,819)</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(1,771,173)</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(452,776)</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(10,121)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(3,092,889)</w:t>
            </w:r>
          </w:p>
        </w:tc>
        <w:tc>
          <w:tcPr>
            <w:tcW w:w="0" w:type="dxa"/>
            <w:vAlign w:val="bottom"/>
          </w:tcPr>
          <w:p>
            <w:pPr>
              <w:spacing w:after="0"/>
              <w:rPr>
                <w:sz w:val="1"/>
                <w:szCs w:val="1"/>
                <w:color w:val="auto"/>
              </w:rPr>
            </w:pPr>
          </w:p>
        </w:tc>
      </w:tr>
      <w:tr>
        <w:trPr>
          <w:trHeight w:val="27"/>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Carrying Value at June 30, 2021</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728,340</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2,705,100</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375,804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132,303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3,941,547</w:t>
            </w:r>
          </w:p>
        </w:tc>
        <w:tc>
          <w:tcPr>
            <w:tcW w:w="0" w:type="dxa"/>
            <w:vAlign w:val="bottom"/>
          </w:tcPr>
          <w:p>
            <w:pPr>
              <w:spacing w:after="0"/>
              <w:rPr>
                <w:sz w:val="1"/>
                <w:szCs w:val="1"/>
                <w:color w:val="auto"/>
              </w:rPr>
            </w:pP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totaled $596,758 and $579,371 for the six months ended June 30, 2021 and 2020,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Future expected amortization of intangible assets is as follows:</w:t>
            </w:r>
          </w:p>
        </w:tc>
        <w:tc>
          <w:tcPr>
            <w:tcW w:w="4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Fiscal Year Ending December 31,</w:t>
            </w:r>
          </w:p>
        </w:tc>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5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593,476</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2022</w:t>
            </w: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1,093,618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1,042,629</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2024</w:t>
            </w: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818,316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301,699</w:t>
            </w:r>
          </w:p>
        </w:tc>
        <w:tc>
          <w:tcPr>
            <w:tcW w:w="0" w:type="dxa"/>
            <w:vAlign w:val="bottom"/>
          </w:tcPr>
          <w:p>
            <w:pPr>
              <w:spacing w:after="0"/>
              <w:rPr>
                <w:sz w:val="1"/>
                <w:szCs w:val="1"/>
                <w:color w:val="auto"/>
              </w:rPr>
            </w:pPr>
          </w:p>
        </w:tc>
      </w:tr>
      <w:tr>
        <w:trPr>
          <w:trHeight w:val="236"/>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91,809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spacing w:after="0"/>
              <w:rPr>
                <w:sz w:val="21"/>
                <w:szCs w:val="21"/>
                <w:color w:val="auto"/>
              </w:rPr>
            </w:pPr>
          </w:p>
        </w:tc>
        <w:tc>
          <w:tcPr>
            <w:tcW w:w="5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3,941,547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bottom w:val="single" w:sz="8" w:color="CCEEFF"/>
            </w:tcBorders>
            <w:vMerge w:val="restart"/>
          </w:tcPr>
          <w:p>
            <w:pPr>
              <w:jc w:val="right"/>
              <w:ind w:right="421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04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6 – ACCOUNTS PAYABLE AND ACCRUED EXPENSES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6"/>
              </w:rPr>
              <w:t>Accounts payable and accrued expenses consisted of the following as of June 30, 2021 and December 31, 2020:</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8"/>
                <w:szCs w:val="18"/>
                <w:color w:val="auto"/>
                <w:w w:val="86"/>
              </w:rPr>
              <w:t>June 30,</w:t>
            </w:r>
          </w:p>
        </w:tc>
        <w:tc>
          <w:tcPr>
            <w:tcW w:w="1220" w:type="dxa"/>
            <w:vAlign w:val="bottom"/>
            <w:gridSpan w:val="4"/>
          </w:tcPr>
          <w:p>
            <w:pPr>
              <w:ind w:left="4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438,702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311,024</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919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554,755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obligations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1,160,478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891,790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92,503</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117,414</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411,352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790,149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2,103,954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2,665,132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Other expenses was accrued non-employee Directors’ Compensation of approximately $349,000 at December 31, 2020. In May 2021, the non-employee Directors were compensated for their service through a grant of stock options and therefore the balance of the accrual for Director’s Compensation was $ 0 at June 30, 2021. See Note 10.</w:t>
      </w:r>
    </w:p>
    <w:p>
      <w:pPr>
        <w:spacing w:after="0" w:line="183"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 June 2021, the majority of the accrued interest was converted into common stock. See Note 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NOTE 7 - NOTES PAYABLE, NET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The following is a summary of notes payable as of June 30, 2021 and December 31, 2020: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June 30,</w:t>
            </w: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Paycheck Protection Program Loan #1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485,760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Paycheck Protection Program Loan #2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485,760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Installment loan payable related to a vehicle acquisition payable in monthly payments of $539 per month at an interest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 of 10.8% per annum payable for 36 months</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Notes Payable, Net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490,392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493,286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 current portion,</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485,760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487,339</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490,392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493,286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Paycheck Protection Program Loans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2020, the Company received a loan of approximately $486,000 under the Paycheck Protection Program (“PPP”) as part of the CARES Act which is administered by the U.S. Small Business Association (“USSBA”) related to its U.S. Operations. The Company received notice from the USSBA on May 23, 2021, that the May 2020 PPP loan was forgiven as we met the applicable requirements. In accordance with ASC 470, extinguishment accounting, the amount forgiven by the USSBA is recorded as other income – gain on extinguishment of notes payable.</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January 2021, the Company received a second loan of approximately $486,000 under the PPP related to its U.S. Operations. The Company anticipates subject to approval by USSBA, if certain requirements are met the second loan will be forgiven. Any amounts not forgiven will be required to be repaid. The loan bears interest at an annual rate 1% per annum and matures on January 31, 2023.</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USSBA determines that either PPP loan was not properly obtained and/or expenditures supporting forgiveness were not appropriate, the Company would need to repay some or all of the PPP loans and record additional expense which could have a material adverse effect on the Company’s financial condition and results of operations in a future period.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8 – CONVERTIBLE NOTES PAYABLE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13, 2019, the Company entered into Securities Purchase Agreements with several accredited investors (the “8% Note Investors”) providing for the sale by the Company to the 8% Note Investors of 8% Convertible Notes in the aggregate amount of $428,000 (the “8% Notes”). The 8% Notes were to mature on November 30, 2021 and were a general unsecured obligation of the Company.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February 2020, the Company and the holders of the 8% Notes entered into an amendment agreement pursuant to which the principal and interest due under the 8% Notes will remain due and payable on the same terms as exist in the 8% Notes prior to modification, that the maturity shall be extended to the same maturity date as the 2020 Notes, namely February 28, 2022, and the 8% Notes became a secured obligation of the Company.</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14, 2020 the Company, entered into Securities Purchase Agreements with several accredited investors (the “2020 Note Investors”) providing for the sale by the Company to the 2020 Note Investors of 15% Senior Secured Convertible Notes in the aggregate amount of $1,510,000 (the “2020 Notes”). Philip D. Beck, Chief Executive Officer and Chairman of the Board, invested $50,000 in consideration of a 2020 Note in the principal amount of $50,000 paid by a deduction from his salary. Theodore Stern, a director of the Company, invested $50,000 in consideration of a 2020 Note in the principal amount of $50,000. Herbert Selzer, a director of the Company invested $100,000 in consideration of a 2020 Note in the principal amount of $100,000. Mr. Selzer provided $50,000 on the closing date and provided the balance of the funding in April 2020.</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2020 Notes mature February 28, 2022 and are a secured obligation of the Company. At the option of the 2020 Note Investors, they may at any time convert the 2020 Notes. The number of shares delivered shall be equal to 150% of the amount of the principal converted divided by the conversion price of $6.00 per share. The Company may require that the 2020 Note Investors convert all or a portion of the 2020 Notes, if the Company’s volume weighted average price for any preceding 20-day period is equal to or greater than $9.00.</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this private offering, the Company paid Network 1 Financial Securities, Inc., a registered broker-dealer, a cash fee of approximately $104,800.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2021, convertible notes totaling $120,000 and a portion of their accrued interest at the option of the noteholders were converted into approximately 33,000 shares of common stock of the Company.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during the six months ended June 30, 2021, the Company received conversion notices from (i) the Stern Trust converting the principal amount, repayment premium and interest in the amount of approximately $3.5 million payable under the Restated Stern Note into approximately 561,000 shares of common stock, (ii) the 8% Note Investors converting principal and interest in the amount of approximately $0.4 million into approximately 180,000 shares of common stock and (iii) the 2020 Note Investors converting principal, repayment premium and interest in the amount of approximately $2.5 million into approximately 398,000 shares of common stock. The Stern Trust is owed approximately $0.7 million in interest under the Restated Stern Note, which has not been converted and remains outstanding. As a result, a total of approximately $6.1 million of Company net indebtedness was converted and the Company issued approximately 1,138,000 shares of common stock in the aggregate.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The following is a summary of the convertible notes payable outstanding at June 30, 2021:</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8% convertible notes payable issued December 2019</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15% convertible notes payable issued February 2020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 convertible notes payable issued February 2020</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662,000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vMerge w:val="restart"/>
          </w:tcPr>
          <w:p>
            <w:pPr>
              <w:spacing w:after="0"/>
              <w:rPr>
                <w:sz w:val="20"/>
                <w:szCs w:val="20"/>
                <w:color w:val="auto"/>
              </w:rPr>
            </w:pPr>
            <w:r>
              <w:rPr>
                <w:rFonts w:ascii="Arial" w:cs="Arial" w:eastAsia="Arial" w:hAnsi="Arial"/>
                <w:sz w:val="18"/>
                <w:szCs w:val="18"/>
                <w:color w:val="auto"/>
              </w:rPr>
              <w:t>Future maturities of convertible notes payable are as follows:</w:t>
            </w: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662,000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Payable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2021, the Company received conversion notices from Stern Trust of which Theodore Stern, (a former member of the Board of Directors as of June 14, 2021) is the Trustee, converting the principal amount, repayment premium and interest in the amount of approximately $3.5 million payable under the Restated Stern Note into approximately 561,000 shares of common stock. Additionally, Theodore Stern and Herbert Selzer (also a former member of the Board of Directors as of June 14, 2021) provided conversion notices for their respective 2020 Notes converting the principal, repayment premium and interest in the amount of approximately $256,000 into approximately 41,000 shares of common stock. The Stern Trust is owed approximately $0.7 million in interest under the Restated Stern Note, which has not been converted and remains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Officers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June 14, 2021, Phillip L. Kumnick resigned as Chief Executive Officer of Ipsidy Inc., a Delaware corporation (the “Company”) and Thomas L. Thimot was appointed Chief Executive Officer in his place. Further, Philip R. Broenniman resigned as President and Chief Operating Officer and Cecil N. Smith</w:t>
      </w:r>
    </w:p>
    <w:p>
      <w:pPr>
        <w:jc w:val="both"/>
        <w:ind w:firstLine="8"/>
        <w:spacing w:after="0" w:line="255" w:lineRule="auto"/>
        <w:tabs>
          <w:tab w:leader="none" w:pos="226" w:val="left"/>
        </w:tabs>
        <w:numPr>
          <w:ilvl w:val="0"/>
          <w:numId w:val="5"/>
        </w:numPr>
        <w:rPr>
          <w:rFonts w:ascii="Arial" w:cs="Arial" w:eastAsia="Arial" w:hAnsi="Arial"/>
          <w:sz w:val="18"/>
          <w:szCs w:val="18"/>
          <w:color w:val="auto"/>
        </w:rPr>
      </w:pPr>
      <w:r>
        <w:rPr>
          <w:rFonts w:ascii="Arial" w:cs="Arial" w:eastAsia="Arial" w:hAnsi="Arial"/>
          <w:sz w:val="18"/>
          <w:szCs w:val="18"/>
          <w:color w:val="auto"/>
        </w:rPr>
        <w:t>(Tripp) was appointed President and Chief Technology Officer. The Company granted to each of Mr. Kumnick and Mr. Broenniman options to acquire a total of 1,166,667 shares of common stock at an exercise price of $7.20 per share for a term of ten years that vest upon the achievement of certain market capitalization thresholds, or performance conditions.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Mr. Thomas Thimot and Mr. Cecil Smith, became employed by the Company as Chief Executive Officer and President and Chief Technology Officer effective June 14, 2021. Mr. Thimot and the Company entered into an Offer Letter pursuant to which Mr. Thimot will earn an annual salary of $325,000 with a bonus target at 50% of the base salary (pro-rated for 2021) upon terms to be agreed with the Compensation Committee for 2021 and on the understanding that the 2022 target will include a requirement of the Company achieving three times the annual revenue of 2021. Additionally, Mr. Thimot was granted an option to acquire 1,200,000 shares of common stock at an exercise price of $7.80 per share for a term of ten years of which half of the options vest monthly over four years and the balance is subject to certain performance vesting requirements.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14, 2021, Mr. Smith and the Company entered an into an Offer Letter pursuant to which Mr. Smith will earn an annual salary of $275,000 with a bonus target at 50% of the base salary (pro-rated for 2021) upon terms to be agreed with the Compensation Committee for 2021. In addition, Mr. Smith will receive a bonus of $50,000 after 90 days of service. Additionally. Mr. Smith was granted an option to acquire 600,000 shares of common stock at an exercise price of $7.80 per share for a term of ten years of which half of the options vest monthly over four years and the balance is subject to certain performance vesting requirements.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Appointment of Board of Directors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9, 2021 Theodore Stern, Herbert Selzer and Thomas Szoke resigned as directors of the Company. The size of the Board of directors was increased to seven and Dr. Michael A. Gorriz, Michael L. Koehneman, Sanjay Puri, Mr. Thimot and Jacqueline L. White were appointed as additional directors of the Company. Messrs. Stern, Selzer and Szoke did not advise the Company of any disagreement with the Company on any matter relating to its operations, policies or practices. Mr. Szoke will continue with the Company as Chief Solutions Architect.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granted each of the four new Board of Directors as of June 2021 stock options to acquire 62,500 shares of common stock or a total of 250,000 at an exercise price of $7.80 per share for a term of ten years that vest one third per year after each Annual Meeting. The Company granted the previously serving Board of Directors stock options to acquire 93,470 common shares that are vested as the services were previously rendered. The stock options were granted in lieu of other forms of Board of Director Compensation The Company also granted Mr. Selzer and Mr. Stern 22,388 stock options to acquire common shares for service in 2021 prior to their resignation as Board Members. Upon their resignation as directors in June 2021, 13,992 stock options were vested and the balance were forfeited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June 30, 2021, shares of common stock were issued as a result of the following non-cash transactions:</w:t>
      </w:r>
    </w:p>
    <w:p>
      <w:pPr>
        <w:spacing w:after="0" w:line="225"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first quarter of 2021, convertible notes totaling $120,000 and a portion of their accrued interest at the option of the noteholders were converted into approximately 33,000 shares of common stock of the Company</w:t>
      </w:r>
    </w:p>
    <w:p>
      <w:pPr>
        <w:spacing w:after="0" w:line="170" w:lineRule="exact"/>
        <w:rPr>
          <w:rFonts w:ascii="Arial" w:cs="Arial" w:eastAsia="Arial" w:hAnsi="Arial"/>
          <w:sz w:val="18"/>
          <w:szCs w:val="18"/>
          <w:color w:val="auto"/>
        </w:rPr>
      </w:pPr>
    </w:p>
    <w:p>
      <w:pPr>
        <w:jc w:val="both"/>
        <w:ind w:left="66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Additionally, during the three and six months ended June 30, 2021, the Company received conversion notices from (i) the Stern Trust converting the principal amount, repayment premium and interest in the amount of approximately $3.5 million payable under the Restated Stern Note into approximately 561,000 shares of common stock, (ii) the 8% Note Investors converting principal and interest in the amount of approximately $0.4 million into approximately 180,000 shares of common stock and (iii) the 2020 Note Investors converting principal, repayment premium and interest in the amount of approximately $2.5 million into approximately 398,000 shares of common stock. The Stern Trust is owed approximately $0.7 million in interest under the Restated Stern Note, which has not been converted and remains outstanding. As a result, a total of approximately $6.1 million of Company indebtedness was converted and the Company issued approximately 1,138,000 shares of common stock in the aggregate.</w:t>
      </w:r>
    </w:p>
    <w:p>
      <w:pPr>
        <w:spacing w:after="0" w:line="166"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warrant and stock option holders exercised their respective warrants and stock options by means of the cashless exercise feature and were issued approximately 549,000 common shares of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74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Warrants</w:t>
            </w: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80" w:type="dxa"/>
            <w:vAlign w:val="bottom"/>
            <w:gridSpan w:val="2"/>
          </w:tcPr>
          <w:p>
            <w:pPr>
              <w:spacing w:after="0"/>
              <w:rPr>
                <w:sz w:val="20"/>
                <w:szCs w:val="20"/>
                <w:color w:val="auto"/>
              </w:rPr>
            </w:pPr>
            <w:r>
              <w:rPr>
                <w:rFonts w:ascii="Arial" w:cs="Arial" w:eastAsia="Arial" w:hAnsi="Arial"/>
                <w:sz w:val="18"/>
                <w:szCs w:val="18"/>
                <w:color w:val="auto"/>
                <w:w w:val="91"/>
              </w:rPr>
              <w:t>The following is a summary of the Company’s warrant activity for the six months ended June 30, 2021:</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7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w:t>
            </w: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Average</w:t>
            </w: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r>
      <w:tr>
        <w:trPr>
          <w:trHeight w:val="237"/>
        </w:trPr>
        <w:tc>
          <w:tcPr>
            <w:tcW w:w="7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Price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rPr>
              <w:t>Life</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1,823,267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4.20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5"/>
              </w:rPr>
              <w:t>3.4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480" w:type="dxa"/>
            <w:vAlign w:val="bottom"/>
            <w:gridSpan w:val="2"/>
          </w:tcPr>
          <w:p>
            <w:pPr>
              <w:spacing w:after="0"/>
              <w:rPr>
                <w:sz w:val="20"/>
                <w:szCs w:val="20"/>
                <w:color w:val="auto"/>
              </w:rPr>
            </w:pPr>
            <w:r>
              <w:rPr>
                <w:rFonts w:ascii="Arial" w:cs="Arial" w:eastAsia="Arial" w:hAnsi="Arial"/>
                <w:sz w:val="18"/>
                <w:szCs w:val="18"/>
                <w:color w:val="auto"/>
              </w:rPr>
              <w:t>Exercised/cancelled</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(411,926)</w:t>
            </w:r>
          </w:p>
        </w:tc>
        <w:tc>
          <w:tcPr>
            <w:tcW w:w="160" w:type="dxa"/>
            <w:vAlign w:val="bottom"/>
          </w:tcPr>
          <w:p>
            <w:pPr>
              <w:spacing w:after="0"/>
              <w:rPr>
                <w:sz w:val="20"/>
                <w:szCs w:val="20"/>
                <w:color w:val="auto"/>
              </w:rPr>
            </w:pP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3.00</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2021</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1,411,341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4.41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5"/>
              </w:rPr>
              <w:t>3.7 Years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options for the six months ended June 30, 2021 is summarized as follows: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granted Mr. Thimot and Mr. Smith stock options to acquire 1,200,000 and 600,000 shares of common stock respectively upon their employment of which half of the options vest monthly over four years and the balance vest upon the achievement of certain market capitalization thresholds or performance conditions.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granted each of Mr. Kumnick and Mr. Broenniman stock options to acquire 583,333 shares of common stock that vest upon the achievement of certain market capitalization thresholds or performance conditions.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granted each of the four new Board of Directors as of June 2021 stock options to acquire 62,500 shares of common stock or a total of 250,000 that vest one third a year after each Annual Meeting.</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granted the previously serving Board of Directors stock options to acquire 93,470 common shares that are vested as the services were rendered. The stock options were granted in lieu of other forms of Board of Director Compensation and was used to eliminate previously accrued Board of Director compensation. The Company also granted to each of Mr. Selzer and Mr. Stern 22,388 stock options to acquire common shares for service in 2021 prior to their resignation as Board Members. Upon their resignation as directors in June 2021, 6,997 stock options to each of them were vested and the balance were forfeited.</w:t>
      </w:r>
    </w:p>
    <w:p>
      <w:pPr>
        <w:spacing w:after="0" w:line="18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granted options to acquire 583,334 shares of common stock to employees. The options for 383,334 vest annually over a three-year period, 100,000 vest equally over a four-year period, and the balance of 100,000 vest upon the achievement of certain market capitalization thresholds or performance conditions.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options have a term of ten years and all options were granted at market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stock options for the six months ended June 30, 2021,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Number of</w:t>
            </w:r>
          </w:p>
        </w:tc>
        <w:tc>
          <w:tcPr>
            <w:tcW w:w="14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Price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Term (Yrs.)</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6"/>
              </w:rPr>
              <w:t>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2020</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5,645,802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8,283,639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Granted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vMerge w:val="continue"/>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3,938,246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Exercised/cancelled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(416,405)</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Outstanding as of June 30, 2021</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9,167,643</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55,257,928</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as of June 30,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4,111,087</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27,405,283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gridSpan w:val="5"/>
          </w:tcPr>
          <w:p>
            <w:pPr>
              <w:spacing w:after="0"/>
              <w:rPr>
                <w:sz w:val="20"/>
                <w:szCs w:val="20"/>
                <w:color w:val="auto"/>
              </w:rPr>
            </w:pPr>
            <w:r>
              <w:rPr>
                <w:rFonts w:ascii="Arial" w:cs="Arial" w:eastAsia="Arial" w:hAnsi="Arial"/>
                <w:sz w:val="18"/>
                <w:szCs w:val="18"/>
                <w:color w:val="auto"/>
                <w:w w:val="92"/>
              </w:rPr>
              <w:t>The following table summarizes stock option information as of June 30, 2021:</w:t>
            </w:r>
          </w:p>
        </w:tc>
        <w:tc>
          <w:tcPr>
            <w:tcW w:w="2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18"/>
        </w:trPr>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6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Weighted Average</w:t>
            </w: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380" w:type="dxa"/>
            <w:vAlign w:val="bottom"/>
          </w:tcPr>
          <w:p>
            <w:pPr>
              <w:spacing w:after="0"/>
              <w:rPr>
                <w:sz w:val="20"/>
                <w:szCs w:val="20"/>
                <w:color w:val="auto"/>
              </w:rPr>
            </w:pPr>
          </w:p>
        </w:tc>
        <w:tc>
          <w:tcPr>
            <w:tcW w:w="2460" w:type="dxa"/>
            <w:vAlign w:val="bottom"/>
            <w:gridSpan w:val="2"/>
          </w:tcPr>
          <w:p>
            <w:pPr>
              <w:jc w:val="right"/>
              <w:ind w:right="1120"/>
              <w:spacing w:after="0"/>
              <w:rPr>
                <w:sz w:val="20"/>
                <w:szCs w:val="20"/>
                <w:color w:val="auto"/>
              </w:rPr>
            </w:pPr>
            <w:r>
              <w:rPr>
                <w:rFonts w:ascii="Arial" w:cs="Arial" w:eastAsia="Arial" w:hAnsi="Arial"/>
                <w:sz w:val="18"/>
                <w:szCs w:val="18"/>
                <w:color w:val="auto"/>
              </w:rPr>
              <w:t>Exercise Price</w:t>
            </w:r>
          </w:p>
        </w:tc>
        <w:tc>
          <w:tcPr>
            <w:tcW w:w="2860" w:type="dxa"/>
            <w:vAlign w:val="bottom"/>
            <w:gridSpan w:val="2"/>
          </w:tcPr>
          <w:p>
            <w:pPr>
              <w:ind w:left="760"/>
              <w:spacing w:after="0"/>
              <w:rPr>
                <w:sz w:val="20"/>
                <w:szCs w:val="20"/>
                <w:color w:val="auto"/>
              </w:rPr>
            </w:pPr>
            <w:r>
              <w:rPr>
                <w:rFonts w:ascii="Arial" w:cs="Arial" w:eastAsia="Arial" w:hAnsi="Arial"/>
                <w:sz w:val="18"/>
                <w:szCs w:val="18"/>
                <w:color w:val="auto"/>
              </w:rPr>
              <w:t>Outstanding</w:t>
            </w:r>
          </w:p>
        </w:tc>
        <w:tc>
          <w:tcPr>
            <w:tcW w:w="2860" w:type="dxa"/>
            <w:vAlign w:val="bottom"/>
            <w:gridSpan w:val="2"/>
          </w:tcPr>
          <w:p>
            <w:pPr>
              <w:jc w:val="center"/>
              <w:ind w:right="480"/>
              <w:spacing w:after="0"/>
              <w:rPr>
                <w:sz w:val="20"/>
                <w:szCs w:val="20"/>
                <w:color w:val="auto"/>
              </w:rPr>
            </w:pPr>
            <w:r>
              <w:rPr>
                <w:rFonts w:ascii="Arial" w:cs="Arial" w:eastAsia="Arial" w:hAnsi="Arial"/>
                <w:sz w:val="18"/>
                <w:szCs w:val="18"/>
                <w:color w:val="auto"/>
                <w:w w:val="94"/>
              </w:rPr>
              <w:t>Contractual Life (Yrs).</w:t>
            </w:r>
          </w:p>
        </w:tc>
        <w:tc>
          <w:tcPr>
            <w:tcW w:w="2680" w:type="dxa"/>
            <w:vAlign w:val="bottom"/>
            <w:gridSpan w:val="2"/>
          </w:tcPr>
          <w:p>
            <w:pPr>
              <w:ind w:left="800"/>
              <w:spacing w:after="0"/>
              <w:rPr>
                <w:sz w:val="20"/>
                <w:szCs w:val="20"/>
                <w:color w:val="auto"/>
              </w:rPr>
            </w:pPr>
            <w:r>
              <w:rPr>
                <w:rFonts w:ascii="Arial" w:cs="Arial" w:eastAsia="Arial" w:hAnsi="Arial"/>
                <w:sz w:val="18"/>
                <w:szCs w:val="18"/>
                <w:color w:val="auto"/>
              </w:rPr>
              <w:t>Exercisable</w:t>
            </w:r>
          </w:p>
        </w:tc>
      </w:tr>
      <w:tr>
        <w:trPr>
          <w:trHeight w:val="216"/>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0.0030</w:t>
            </w:r>
          </w:p>
        </w:tc>
        <w:tc>
          <w:tcPr>
            <w:tcW w:w="46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116,667</w:t>
            </w:r>
          </w:p>
        </w:tc>
        <w:tc>
          <w:tcPr>
            <w:tcW w:w="460" w:type="dxa"/>
            <w:vAlign w:val="bottom"/>
            <w:tcBorders>
              <w:top w:val="single" w:sz="8" w:color="CCEEFF"/>
            </w:tcBorders>
            <w:shd w:val="clear" w:color="auto" w:fill="CCEEFF"/>
          </w:tcPr>
          <w:p>
            <w:pPr>
              <w:spacing w:after="0"/>
              <w:rPr>
                <w:sz w:val="18"/>
                <w:szCs w:val="18"/>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6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116,667</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460"/>
              <w:spacing w:after="0"/>
              <w:rPr>
                <w:sz w:val="20"/>
                <w:szCs w:val="20"/>
                <w:color w:val="auto"/>
              </w:rPr>
            </w:pPr>
            <w:r>
              <w:rPr>
                <w:rFonts w:ascii="Arial" w:cs="Arial" w:eastAsia="Arial" w:hAnsi="Arial"/>
                <w:sz w:val="18"/>
                <w:szCs w:val="18"/>
                <w:color w:val="auto"/>
              </w:rPr>
              <w:t>1.5000</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756,667</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6.0</w:t>
            </w:r>
          </w:p>
        </w:tc>
        <w:tc>
          <w:tcPr>
            <w:tcW w:w="2680" w:type="dxa"/>
            <w:vAlign w:val="bottom"/>
            <w:gridSpan w:val="2"/>
          </w:tcPr>
          <w:p>
            <w:pPr>
              <w:jc w:val="right"/>
              <w:ind w:right="240"/>
              <w:spacing w:after="0"/>
              <w:rPr>
                <w:sz w:val="20"/>
                <w:szCs w:val="20"/>
                <w:color w:val="auto"/>
              </w:rPr>
            </w:pPr>
            <w:r>
              <w:rPr>
                <w:rFonts w:ascii="Arial" w:cs="Arial" w:eastAsia="Arial" w:hAnsi="Arial"/>
                <w:sz w:val="18"/>
                <w:szCs w:val="18"/>
                <w:color w:val="auto"/>
              </w:rPr>
              <w:t>698,334</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1.8000</w:t>
            </w:r>
          </w:p>
        </w:tc>
        <w:tc>
          <w:tcPr>
            <w:tcW w:w="2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34,735</w:t>
            </w:r>
          </w:p>
        </w:tc>
        <w:tc>
          <w:tcPr>
            <w:tcW w:w="2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w:t>
            </w:r>
          </w:p>
        </w:tc>
        <w:tc>
          <w:tcPr>
            <w:tcW w:w="2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34,735</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460"/>
              <w:spacing w:after="0"/>
              <w:rPr>
                <w:sz w:val="20"/>
                <w:szCs w:val="20"/>
                <w:color w:val="auto"/>
              </w:rPr>
            </w:pPr>
            <w:r>
              <w:rPr>
                <w:rFonts w:ascii="Arial" w:cs="Arial" w:eastAsia="Arial" w:hAnsi="Arial"/>
                <w:sz w:val="18"/>
                <w:szCs w:val="18"/>
                <w:color w:val="auto"/>
              </w:rPr>
              <w:t>2.1000</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1,666,667</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2680" w:type="dxa"/>
            <w:vAlign w:val="bottom"/>
            <w:gridSpan w:val="2"/>
          </w:tcPr>
          <w:p>
            <w:pPr>
              <w:jc w:val="right"/>
              <w:ind w:right="240"/>
              <w:spacing w:after="0"/>
              <w:rPr>
                <w:sz w:val="20"/>
                <w:szCs w:val="20"/>
                <w:color w:val="auto"/>
              </w:rPr>
            </w:pPr>
            <w:r>
              <w:rPr>
                <w:rFonts w:ascii="Arial" w:cs="Arial" w:eastAsia="Arial" w:hAnsi="Arial"/>
                <w:sz w:val="18"/>
                <w:szCs w:val="18"/>
                <w:color w:val="auto"/>
              </w:rPr>
              <w:t>866,667</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2.7000</w:t>
            </w:r>
          </w:p>
        </w:tc>
        <w:tc>
          <w:tcPr>
            <w:tcW w:w="2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387,667</w:t>
            </w:r>
          </w:p>
        </w:tc>
        <w:tc>
          <w:tcPr>
            <w:tcW w:w="2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w:t>
            </w:r>
          </w:p>
        </w:tc>
        <w:tc>
          <w:tcPr>
            <w:tcW w:w="2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460"/>
              <w:spacing w:after="0"/>
              <w:rPr>
                <w:sz w:val="20"/>
                <w:szCs w:val="20"/>
                <w:color w:val="auto"/>
              </w:rPr>
            </w:pPr>
            <w:r>
              <w:rPr>
                <w:rFonts w:ascii="Arial" w:cs="Arial" w:eastAsia="Arial" w:hAnsi="Arial"/>
                <w:sz w:val="18"/>
                <w:szCs w:val="18"/>
                <w:color w:val="auto"/>
              </w:rPr>
              <w:t>3.0000</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906,667</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2680" w:type="dxa"/>
            <w:vAlign w:val="bottom"/>
            <w:gridSpan w:val="2"/>
          </w:tcPr>
          <w:p>
            <w:pPr>
              <w:jc w:val="right"/>
              <w:ind w:right="240"/>
              <w:spacing w:after="0"/>
              <w:rPr>
                <w:sz w:val="20"/>
                <w:szCs w:val="20"/>
                <w:color w:val="auto"/>
              </w:rPr>
            </w:pPr>
            <w:r>
              <w:rPr>
                <w:rFonts w:ascii="Arial" w:cs="Arial" w:eastAsia="Arial" w:hAnsi="Arial"/>
                <w:sz w:val="18"/>
                <w:szCs w:val="18"/>
                <w:color w:val="auto"/>
              </w:rPr>
              <w:t>906,667</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3.5700</w:t>
            </w:r>
          </w:p>
        </w:tc>
        <w:tc>
          <w:tcPr>
            <w:tcW w:w="2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31,111</w:t>
            </w:r>
          </w:p>
        </w:tc>
        <w:tc>
          <w:tcPr>
            <w:tcW w:w="2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w:t>
            </w:r>
          </w:p>
        </w:tc>
        <w:tc>
          <w:tcPr>
            <w:tcW w:w="2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20,556</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460"/>
              <w:spacing w:after="0"/>
              <w:rPr>
                <w:sz w:val="20"/>
                <w:szCs w:val="20"/>
                <w:color w:val="auto"/>
              </w:rPr>
            </w:pPr>
            <w:r>
              <w:rPr>
                <w:rFonts w:ascii="Arial" w:cs="Arial" w:eastAsia="Arial" w:hAnsi="Arial"/>
                <w:sz w:val="18"/>
                <w:szCs w:val="18"/>
                <w:color w:val="auto"/>
              </w:rPr>
              <w:t>3.9000</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8,333</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7.2</w:t>
            </w:r>
          </w:p>
        </w:tc>
        <w:tc>
          <w:tcPr>
            <w:tcW w:w="2680" w:type="dxa"/>
            <w:vAlign w:val="bottom"/>
            <w:gridSpan w:val="2"/>
          </w:tcPr>
          <w:p>
            <w:pPr>
              <w:jc w:val="right"/>
              <w:ind w:right="240"/>
              <w:spacing w:after="0"/>
              <w:rPr>
                <w:sz w:val="20"/>
                <w:szCs w:val="20"/>
                <w:color w:val="auto"/>
              </w:rPr>
            </w:pPr>
            <w:r>
              <w:rPr>
                <w:rFonts w:ascii="Arial" w:cs="Arial" w:eastAsia="Arial" w:hAnsi="Arial"/>
                <w:sz w:val="18"/>
                <w:szCs w:val="18"/>
                <w:color w:val="auto"/>
              </w:rPr>
              <w:t>8,333</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4.5000</w:t>
            </w:r>
          </w:p>
        </w:tc>
        <w:tc>
          <w:tcPr>
            <w:tcW w:w="2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93,333</w:t>
            </w:r>
          </w:p>
        </w:tc>
        <w:tc>
          <w:tcPr>
            <w:tcW w:w="2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w:t>
            </w:r>
          </w:p>
        </w:tc>
        <w:tc>
          <w:tcPr>
            <w:tcW w:w="2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93,333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460"/>
              <w:spacing w:after="0"/>
              <w:rPr>
                <w:sz w:val="20"/>
                <w:szCs w:val="20"/>
                <w:color w:val="auto"/>
              </w:rPr>
            </w:pPr>
            <w:r>
              <w:rPr>
                <w:rFonts w:ascii="Arial" w:cs="Arial" w:eastAsia="Arial" w:hAnsi="Arial"/>
                <w:sz w:val="18"/>
                <w:szCs w:val="18"/>
                <w:color w:val="auto"/>
              </w:rPr>
              <w:t>6.6000</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69,444</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7.4</w:t>
            </w:r>
          </w:p>
        </w:tc>
        <w:tc>
          <w:tcPr>
            <w:tcW w:w="2680" w:type="dxa"/>
            <w:vAlign w:val="bottom"/>
            <w:gridSpan w:val="2"/>
          </w:tcPr>
          <w:p>
            <w:pPr>
              <w:jc w:val="right"/>
              <w:ind w:right="240"/>
              <w:spacing w:after="0"/>
              <w:rPr>
                <w:sz w:val="20"/>
                <w:szCs w:val="20"/>
                <w:color w:val="auto"/>
              </w:rPr>
            </w:pPr>
            <w:r>
              <w:rPr>
                <w:rFonts w:ascii="Arial" w:cs="Arial" w:eastAsia="Arial" w:hAnsi="Arial"/>
                <w:sz w:val="18"/>
                <w:szCs w:val="18"/>
                <w:color w:val="auto"/>
              </w:rPr>
              <w:t>69,444</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7.2000</w:t>
            </w:r>
          </w:p>
        </w:tc>
        <w:tc>
          <w:tcPr>
            <w:tcW w:w="2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1,657,463</w:t>
            </w:r>
          </w:p>
        </w:tc>
        <w:tc>
          <w:tcPr>
            <w:tcW w:w="2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w:t>
            </w:r>
          </w:p>
        </w:tc>
        <w:tc>
          <w:tcPr>
            <w:tcW w:w="2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107,463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460"/>
              <w:spacing w:after="0"/>
              <w:rPr>
                <w:sz w:val="20"/>
                <w:szCs w:val="20"/>
                <w:color w:val="auto"/>
              </w:rPr>
            </w:pPr>
            <w:r>
              <w:rPr>
                <w:rFonts w:ascii="Arial" w:cs="Arial" w:eastAsia="Arial" w:hAnsi="Arial"/>
                <w:sz w:val="18"/>
                <w:szCs w:val="18"/>
                <w:color w:val="auto"/>
              </w:rPr>
              <w:t>7.5000</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83,333</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7.2</w:t>
            </w:r>
          </w:p>
        </w:tc>
        <w:tc>
          <w:tcPr>
            <w:tcW w:w="2680" w:type="dxa"/>
            <w:vAlign w:val="bottom"/>
            <w:gridSpan w:val="2"/>
          </w:tcPr>
          <w:p>
            <w:pPr>
              <w:jc w:val="right"/>
              <w:ind w:right="240"/>
              <w:spacing w:after="0"/>
              <w:rPr>
                <w:sz w:val="20"/>
                <w:szCs w:val="20"/>
                <w:color w:val="auto"/>
              </w:rPr>
            </w:pPr>
            <w:r>
              <w:rPr>
                <w:rFonts w:ascii="Arial" w:cs="Arial" w:eastAsia="Arial" w:hAnsi="Arial"/>
                <w:sz w:val="18"/>
                <w:szCs w:val="18"/>
                <w:color w:val="auto"/>
              </w:rPr>
              <w:t>83,333</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7.8000</w:t>
            </w:r>
          </w:p>
        </w:tc>
        <w:tc>
          <w:tcPr>
            <w:tcW w:w="2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2,255,557</w:t>
            </w:r>
          </w:p>
        </w:tc>
        <w:tc>
          <w:tcPr>
            <w:tcW w:w="2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w:t>
            </w:r>
          </w:p>
        </w:tc>
        <w:tc>
          <w:tcPr>
            <w:tcW w:w="2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5,556</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460"/>
              <w:spacing w:after="0"/>
              <w:rPr>
                <w:sz w:val="20"/>
                <w:szCs w:val="20"/>
                <w:color w:val="auto"/>
              </w:rPr>
            </w:pPr>
            <w:r>
              <w:rPr>
                <w:rFonts w:ascii="Arial" w:cs="Arial" w:eastAsia="Arial" w:hAnsi="Arial"/>
                <w:sz w:val="18"/>
                <w:szCs w:val="18"/>
                <w:color w:val="auto"/>
              </w:rPr>
              <w:t>8.7000</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33,333</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6.7</w:t>
            </w:r>
          </w:p>
        </w:tc>
        <w:tc>
          <w:tcPr>
            <w:tcW w:w="2680" w:type="dxa"/>
            <w:vAlign w:val="bottom"/>
            <w:gridSpan w:val="2"/>
          </w:tcPr>
          <w:p>
            <w:pPr>
              <w:jc w:val="right"/>
              <w:ind w:right="240"/>
              <w:spacing w:after="0"/>
              <w:rPr>
                <w:sz w:val="20"/>
                <w:szCs w:val="20"/>
                <w:color w:val="auto"/>
              </w:rPr>
            </w:pPr>
            <w:r>
              <w:rPr>
                <w:rFonts w:ascii="Arial" w:cs="Arial" w:eastAsia="Arial" w:hAnsi="Arial"/>
                <w:sz w:val="18"/>
                <w:szCs w:val="18"/>
                <w:color w:val="auto"/>
              </w:rPr>
              <w:t>33,333</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12.0000</w:t>
            </w:r>
          </w:p>
        </w:tc>
        <w:tc>
          <w:tcPr>
            <w:tcW w:w="2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33,333</w:t>
            </w:r>
          </w:p>
        </w:tc>
        <w:tc>
          <w:tcPr>
            <w:tcW w:w="2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w:t>
            </w:r>
          </w:p>
        </w:tc>
        <w:tc>
          <w:tcPr>
            <w:tcW w:w="2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33,333</w:t>
            </w:r>
          </w:p>
        </w:tc>
      </w:tr>
      <w:tr>
        <w:trPr>
          <w:trHeight w:val="237"/>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460"/>
              <w:spacing w:after="0"/>
              <w:rPr>
                <w:sz w:val="20"/>
                <w:szCs w:val="20"/>
                <w:color w:val="auto"/>
              </w:rPr>
            </w:pPr>
            <w:r>
              <w:rPr>
                <w:rFonts w:ascii="Arial" w:cs="Arial" w:eastAsia="Arial" w:hAnsi="Arial"/>
                <w:sz w:val="18"/>
                <w:szCs w:val="18"/>
                <w:color w:val="auto"/>
              </w:rPr>
              <w:t>13.5000</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1,033,333</w:t>
            </w:r>
          </w:p>
        </w:tc>
        <w:tc>
          <w:tcPr>
            <w:tcW w:w="2860" w:type="dxa"/>
            <w:vAlign w:val="bottom"/>
            <w:gridSpan w:val="2"/>
          </w:tcPr>
          <w:p>
            <w:pPr>
              <w:jc w:val="right"/>
              <w:ind w:right="460"/>
              <w:spacing w:after="0"/>
              <w:rPr>
                <w:sz w:val="20"/>
                <w:szCs w:val="20"/>
                <w:color w:val="auto"/>
              </w:rPr>
            </w:pPr>
            <w:r>
              <w:rPr>
                <w:rFonts w:ascii="Arial" w:cs="Arial" w:eastAsia="Arial" w:hAnsi="Arial"/>
                <w:sz w:val="18"/>
                <w:szCs w:val="18"/>
                <w:color w:val="auto"/>
              </w:rPr>
              <w:t>5.2</w:t>
            </w:r>
          </w:p>
        </w:tc>
        <w:tc>
          <w:tcPr>
            <w:tcW w:w="2680" w:type="dxa"/>
            <w:vAlign w:val="bottom"/>
            <w:gridSpan w:val="2"/>
          </w:tcPr>
          <w:p>
            <w:pPr>
              <w:jc w:val="right"/>
              <w:ind w:right="240"/>
              <w:spacing w:after="0"/>
              <w:rPr>
                <w:sz w:val="20"/>
                <w:szCs w:val="20"/>
                <w:color w:val="auto"/>
              </w:rPr>
            </w:pPr>
            <w:r>
              <w:rPr>
                <w:rFonts w:ascii="Arial" w:cs="Arial" w:eastAsia="Arial" w:hAnsi="Arial"/>
                <w:sz w:val="18"/>
                <w:szCs w:val="18"/>
                <w:color w:val="auto"/>
              </w:rPr>
              <w:t>1,033,333</w:t>
            </w:r>
          </w:p>
        </w:tc>
      </w:tr>
      <w:tr>
        <w:trPr>
          <w:trHeight w:val="223"/>
        </w:trPr>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9,167,643</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4,111,087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six months ended June 30, 2021, the Company recognized approximately $1,635,000 of stock option compensation expense of which approximately $1,229,000 relates to performance-based awards of directors and officers. As of June 30, 2021, there was approximately $16,527,000 of unrecognized compensation costs related to stock options outstanding that are expected to be expensed through 2025.</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recorded approximately $625,000 for restricted stock expense as the Company estimated that a portion of its performance-based awards will be earned.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stock-based compensation expense consisting of stock options and restricted stock in the six months ended June 30, 2021 was approximately $2,261,000.</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Annual Meeting of Stockholders held on March 22, 2021, the stockholders approved and ratified an increase of 2,500,000 shares of common stock allocated to the Company’s 2017 Incentive Stock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6 for additional information regarding accrued Directors’ compensation.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 DIRECT FINANCING LEASE</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and an entity in Colombia entered into a rental contract for the rental of 78 kiosks to provide cash collection and fare services at transportation stations. The lease term began in May 2016 when the kiosk was installed and operational and when the lease commenced. The term of the rental contract is ten years at an approximate monthly rental of $11,900. The lease has the option at the end of the lease term to purchase each unit for approximately $40. The term of the lease approximates the expected economic life of the kiosks. The lease was accounted for as a direct financing lease.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recorded the transaction as its net investment in the lease and will receive monthly payments of $11,856 before estimated executory costs, or $142,272, annually, to reduce investment in the lease and record income associated with the related amount due. Executory costs are estimated to be $1,677 per month and initial direct costs are not considered significant. The transaction resulted in incremental revenue in the quarter ended June 30, 2021 of approximately $26,000.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equipment is subject to a direct lease valued at approximately $748,000. At the inception of the lease term, the aggregate minimum future lease payments to be received is approximately $1,422,000 before executory cost. Unearned income recorded at the inception of this lease was approximately $474,000 and will be recorded over the term of the lease using the effective income rate method. Future minimum lease payments to be received under the lease for the next five years and thereafter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6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6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61,074</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2022</w:t>
            </w:r>
          </w:p>
        </w:tc>
        <w:tc>
          <w:tcPr>
            <w:tcW w:w="6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122,148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122,148</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2024</w:t>
            </w:r>
          </w:p>
        </w:tc>
        <w:tc>
          <w:tcPr>
            <w:tcW w:w="6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122,148</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122,148</w:t>
            </w: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Thereafter</w:t>
            </w:r>
          </w:p>
        </w:tc>
        <w:tc>
          <w:tcPr>
            <w:tcW w:w="6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Arial" w:cs="Arial" w:eastAsia="Arial" w:hAnsi="Arial"/>
                <w:sz w:val="18"/>
                <w:szCs w:val="18"/>
                <w:color w:val="auto"/>
              </w:rPr>
              <w:t>40,716</w:t>
            </w:r>
          </w:p>
        </w:tc>
        <w:tc>
          <w:tcPr>
            <w:tcW w:w="0" w:type="dxa"/>
            <w:vAlign w:val="bottom"/>
          </w:tcPr>
          <w:p>
            <w:pPr>
              <w:spacing w:after="0"/>
              <w:rPr>
                <w:sz w:val="1"/>
                <w:szCs w:val="1"/>
                <w:color w:val="auto"/>
              </w:rPr>
            </w:pPr>
          </w:p>
        </w:tc>
      </w:tr>
      <w:tr>
        <w:trPr>
          <w:trHeight w:val="236"/>
        </w:trPr>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w:t>
            </w:r>
          </w:p>
        </w:tc>
        <w:tc>
          <w:tcPr>
            <w:tcW w:w="63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590,382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Less deferred revenue</w:t>
            </w:r>
          </w:p>
        </w:tc>
        <w:tc>
          <w:tcPr>
            <w:tcW w:w="6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(131,050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5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 lease</w:t>
            </w:r>
          </w:p>
        </w:tc>
        <w:tc>
          <w:tcPr>
            <w:tcW w:w="6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459,332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bottom w:val="single" w:sz="8" w:color="CCEEFF"/>
            </w:tcBorders>
            <w:vMerge w:val="restart"/>
          </w:tcPr>
          <w:p>
            <w:pPr>
              <w:jc w:val="right"/>
              <w:ind w:right="4210"/>
              <w:spacing w:after="0"/>
              <w:rPr>
                <w:sz w:val="20"/>
                <w:szCs w:val="20"/>
                <w:color w:val="auto"/>
              </w:rPr>
            </w:pPr>
            <w:r>
              <w:rPr>
                <w:rFonts w:ascii="Arial" w:cs="Arial" w:eastAsia="Arial" w:hAnsi="Arial"/>
                <w:sz w:val="18"/>
                <w:szCs w:val="18"/>
                <w:color w:val="auto"/>
              </w:rPr>
              <w:t>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0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12 – LEASE OBLIGATION PAYABLE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entered into a lease in March 2017 for the rental of its printer for its secured plastic and credential card products business under an arrangement that is classified as a finance lease. The leased equipment is amortized on a straight-line basis over its lease term including the last payment (61 payments) which would transfer ownership to the Company. The cost basis of the lease equipment is $163,407 and the accumulated amortization as of June 30, 2021 is $139,297. The following is a schedule showing the future minimum lease payments under finance lease by year and the present value of the minimum lease payments as of June 30, 2021. The interest rate related to the lease obligation is 12% and the maturity date is March 31,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21,548</w:t>
            </w: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10,774</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(1,559)</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our business. While any litigation contains an element of uncertainty, we have no reason to believe the outcome of such proceedings will have a material adverse effect on the financial condition or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i w:val="1"/>
                <w:iCs w:val="1"/>
                <w:color w:val="auto"/>
              </w:rPr>
              <w:t>Leases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For the six months ended June 30, 2021, lease expense was approximately $103,000 inclusive of short-term leases.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The lease related balances included in the Condensed Consolidated Balance Sheet as of June 30, 2021 were as follows: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operating lease ROU assets - included in other current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89,210</w:t>
            </w: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ROU assets – included in Other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assets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89,210</w:t>
            </w:r>
          </w:p>
        </w:tc>
        <w:tc>
          <w:tcPr>
            <w:tcW w:w="0" w:type="dxa"/>
            <w:vAlign w:val="bottom"/>
          </w:tcPr>
          <w:p>
            <w:pPr>
              <w:spacing w:after="0"/>
              <w:rPr>
                <w:sz w:val="1"/>
                <w:szCs w:val="1"/>
                <w:color w:val="auto"/>
              </w:rPr>
            </w:pPr>
          </w:p>
        </w:tc>
      </w:tr>
      <w:tr>
        <w:trPr>
          <w:trHeight w:val="20"/>
        </w:trPr>
        <w:tc>
          <w:tcPr>
            <w:tcW w:w="10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Liabilities: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00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ROU liabilities – included in Accounts payable and accrued expenses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92,503</w:t>
            </w: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ROU liabilities – included in Other liabilities</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92,503</w:t>
            </w:r>
          </w:p>
        </w:tc>
        <w:tc>
          <w:tcPr>
            <w:tcW w:w="0" w:type="dxa"/>
            <w:vAlign w:val="bottom"/>
          </w:tcPr>
          <w:p>
            <w:pPr>
              <w:spacing w:after="0"/>
              <w:rPr>
                <w:sz w:val="1"/>
                <w:szCs w:val="1"/>
                <w:color w:val="auto"/>
              </w:rPr>
            </w:pPr>
          </w:p>
        </w:tc>
      </w:tr>
      <w:tr>
        <w:trPr>
          <w:trHeight w:val="21"/>
        </w:trPr>
        <w:tc>
          <w:tcPr>
            <w:tcW w:w="1002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002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The weighted average lease of the remaining term is approximately 1.0 years and weighted average discount rate used in the calculations were 13.55%.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maturity of the Company’s operating lease liabilities as of June 30,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48,303</w:t>
            </w:r>
          </w:p>
        </w:tc>
      </w:tr>
      <w:tr>
        <w:trPr>
          <w:trHeight w:val="237"/>
        </w:trPr>
        <w:tc>
          <w:tcPr>
            <w:tcW w:w="10020" w:type="dxa"/>
            <w:vAlign w:val="bottom"/>
          </w:tcPr>
          <w:p>
            <w:pPr>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860" w:type="dxa"/>
            <w:vAlign w:val="bottom"/>
            <w:gridSpan w:val="2"/>
          </w:tcPr>
          <w:p>
            <w:pPr>
              <w:jc w:val="right"/>
              <w:ind w:right="21"/>
              <w:spacing w:after="0"/>
              <w:rPr>
                <w:sz w:val="20"/>
                <w:szCs w:val="20"/>
                <w:color w:val="auto"/>
              </w:rPr>
            </w:pPr>
            <w:r>
              <w:rPr>
                <w:rFonts w:ascii="Arial" w:cs="Arial" w:eastAsia="Arial" w:hAnsi="Arial"/>
                <w:sz w:val="18"/>
                <w:szCs w:val="18"/>
                <w:color w:val="auto"/>
              </w:rPr>
              <w:t>49,716</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payments</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1002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(5,516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92,503</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rents office space in Long Beach, New York at a monthly cost of $2,500. The agreement is month to month and can be terminated on 30 days’ notice.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leases an office location in Bogota, Colombia. In April 2017, MultiPay S.A.S. entered an office lease beginning April 22, 2017. The lease cost is approximately $8,500 per month with an inflation adjustment after one year. The lease is automatically extended for one additional year unless written notice to the contrary is provided at least six months in advance. Multipay extended the lease through April 2021. In April 2021, Multipay entered into a six-month lease for a monthly rental of approximately $1,375.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also leases space for its operation in South Africa. The current lease is through June 30, 2022 and the approximate monthly rent is $8,000.</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segment and geographic information provided in the table below is being reported consistent with the Company’s method of internal reporting. Operating segments are defined as components of an enterprise for which separate financial information is available and which is evaluated regularly by the chief operating decision maker (“CODM”) in deciding how to allocate resources and in assessing performance. The CODM regularly reviews net revenue and gross profit by geographic regions. The Company’s products and services operate in two reportable segments; identity management and payment processing.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revenue, profit/loss and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CODM evaluates performance and allocates resources based on net revenue and operating results of the geographic region as the current operations of each geography are either primarily identity management or payment processing. Identity management revenue is generated in North America and Africa and payment processing revenue is earned in South America which are the three geographic regions of the Company. We have included the lease income in payment processing as the leases are related to unattended ticketing kiosks.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Long lived assets are in North America, South America and Africa. Most assets are intangible assets recorded from the acquisition of MultiPay (South America) in 2015 and FIN Holdings (North America and Africa) in 2016. Long-lived assets for North America, South America and Africa amounted to approximately $8.0 million, $0.1 million and $0.2 million consisting of property and equipment – net, intangible assets – net and goodwill.</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Analysis of revenue by segment and geographic region and reconciliation to consolidated revenue, gross profit, and net loss are provided below. The Company has included in the schedule below an allocation of corporate overhead based on management’s estimate of resource requirements.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961"/>
              <w:spacing w:after="0"/>
              <w:rPr>
                <w:sz w:val="20"/>
                <w:szCs w:val="20"/>
                <w:color w:val="auto"/>
              </w:rPr>
            </w:pPr>
            <w:r>
              <w:rPr>
                <w:rFonts w:ascii="Arial" w:cs="Arial" w:eastAsia="Arial" w:hAnsi="Arial"/>
                <w:sz w:val="18"/>
                <w:szCs w:val="18"/>
                <w:color w:val="auto"/>
              </w:rPr>
              <w:t>(Unaudited)</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5"/>
          </w:tcPr>
          <w:p>
            <w:pPr>
              <w:jc w:val="right"/>
              <w:ind w:right="621"/>
              <w:spacing w:after="0"/>
              <w:rPr>
                <w:sz w:val="20"/>
                <w:szCs w:val="20"/>
                <w:color w:val="auto"/>
              </w:rPr>
            </w:pPr>
            <w:r>
              <w:rPr>
                <w:rFonts w:ascii="Arial" w:cs="Arial" w:eastAsia="Arial" w:hAnsi="Arial"/>
                <w:sz w:val="18"/>
                <w:szCs w:val="18"/>
                <w:color w:val="auto"/>
              </w:rPr>
              <w:t>Three Months Ended</w:t>
            </w:r>
          </w:p>
        </w:tc>
        <w:tc>
          <w:tcPr>
            <w:tcW w:w="180" w:type="dxa"/>
            <w:vAlign w:val="bottom"/>
          </w:tcPr>
          <w:p>
            <w:pPr>
              <w:spacing w:after="0"/>
              <w:rPr>
                <w:sz w:val="20"/>
                <w:szCs w:val="20"/>
                <w:color w:val="auto"/>
              </w:rPr>
            </w:pPr>
          </w:p>
        </w:tc>
        <w:tc>
          <w:tcPr>
            <w:tcW w:w="2260" w:type="dxa"/>
            <w:vAlign w:val="bottom"/>
            <w:gridSpan w:val="4"/>
          </w:tcPr>
          <w:p>
            <w:pPr>
              <w:jc w:val="right"/>
              <w:ind w:right="471"/>
              <w:spacing w:after="0"/>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ind w:right="441"/>
              <w:spacing w:after="0"/>
              <w:rPr>
                <w:sz w:val="20"/>
                <w:szCs w:val="20"/>
                <w:color w:val="auto"/>
              </w:rPr>
            </w:pPr>
            <w:r>
              <w:rPr>
                <w:rFonts w:ascii="Arial" w:cs="Arial" w:eastAsia="Arial" w:hAnsi="Arial"/>
                <w:sz w:val="18"/>
                <w:szCs w:val="18"/>
                <w:color w:val="auto"/>
                <w:w w:val="95"/>
              </w:rPr>
              <w:t>June 30,</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w w:val="95"/>
              </w:rPr>
              <w:t>June 30,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2"/>
          </w:tcPr>
          <w:p>
            <w:pPr>
              <w:jc w:val="right"/>
              <w:ind w:right="381"/>
              <w:spacing w:after="0"/>
              <w:rPr>
                <w:sz w:val="20"/>
                <w:szCs w:val="20"/>
                <w:color w:val="auto"/>
              </w:rPr>
            </w:pPr>
            <w:r>
              <w:rPr>
                <w:rFonts w:ascii="Arial" w:cs="Arial" w:eastAsia="Arial" w:hAnsi="Arial"/>
                <w:sz w:val="18"/>
                <w:szCs w:val="18"/>
                <w:color w:val="auto"/>
                <w:w w:val="95"/>
              </w:rPr>
              <w:t>June 30,</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w w:val="95"/>
              </w:rPr>
              <w:t>June 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153,687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135,698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301,747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269,252</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South America</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Arial" w:cs="Arial" w:eastAsia="Arial" w:hAnsi="Arial"/>
                <w:sz w:val="18"/>
                <w:szCs w:val="18"/>
                <w:color w:val="auto"/>
              </w:rPr>
              <w:t>89,415</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72,133</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185,598</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185,757</w:t>
            </w:r>
          </w:p>
        </w:tc>
        <w:tc>
          <w:tcPr>
            <w:tcW w:w="0" w:type="dxa"/>
            <w:vAlign w:val="bottom"/>
          </w:tcPr>
          <w:p>
            <w:pPr>
              <w:spacing w:after="0"/>
              <w:rPr>
                <w:sz w:val="1"/>
                <w:szCs w:val="1"/>
                <w:color w:val="auto"/>
              </w:rPr>
            </w:pPr>
          </w:p>
        </w:tc>
      </w:tr>
      <w:tr>
        <w:trPr>
          <w:trHeight w:val="24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2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334,679</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113,288</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679,435</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659,899</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tcPr>
          <w:p>
            <w:pPr>
              <w:spacing w:after="0"/>
              <w:rPr>
                <w:sz w:val="18"/>
                <w:szCs w:val="18"/>
                <w:color w:val="auto"/>
              </w:rPr>
            </w:pPr>
          </w:p>
        </w:tc>
        <w:tc>
          <w:tcPr>
            <w:tcW w:w="23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577,781</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321,119</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1,166,780</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1,114,908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Identity Management</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Arial" w:cs="Arial" w:eastAsia="Arial" w:hAnsi="Arial"/>
                <w:sz w:val="18"/>
                <w:szCs w:val="18"/>
                <w:color w:val="auto"/>
              </w:rPr>
              <w:t>488,366</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248,986</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981,182</w:t>
            </w:r>
          </w:p>
        </w:tc>
        <w:tc>
          <w:tcPr>
            <w:tcW w:w="18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Arial" w:cs="Arial" w:eastAsia="Arial" w:hAnsi="Arial"/>
                <w:sz w:val="18"/>
                <w:szCs w:val="18"/>
                <w:color w:val="auto"/>
              </w:rPr>
              <w:t>929,151</w:t>
            </w:r>
          </w:p>
        </w:tc>
        <w:tc>
          <w:tcPr>
            <w:tcW w:w="0" w:type="dxa"/>
            <w:vAlign w:val="bottom"/>
          </w:tcPr>
          <w:p>
            <w:pPr>
              <w:spacing w:after="0"/>
              <w:rPr>
                <w:sz w:val="1"/>
                <w:szCs w:val="1"/>
                <w:color w:val="auto"/>
              </w:rPr>
            </w:pPr>
          </w:p>
        </w:tc>
      </w:tr>
      <w:tr>
        <w:trPr>
          <w:trHeight w:val="25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Payment Processing</w:t>
            </w:r>
          </w:p>
        </w:tc>
        <w:tc>
          <w:tcPr>
            <w:tcW w:w="2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89,415</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72,133</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185,598</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185,757</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tcPr>
          <w:p>
            <w:pPr>
              <w:spacing w:after="0"/>
              <w:rPr>
                <w:sz w:val="18"/>
                <w:szCs w:val="18"/>
                <w:color w:val="auto"/>
              </w:rPr>
            </w:pPr>
          </w:p>
        </w:tc>
        <w:tc>
          <w:tcPr>
            <w:tcW w:w="23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577,781</w:t>
            </w:r>
          </w:p>
        </w:tc>
        <w:tc>
          <w:tcPr>
            <w:tcW w:w="26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321,119</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1,166,780</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1,114,908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(2,017,716)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(669,183)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(3,288,119)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(1,076,575)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South America</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(1,053,365)</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(1,803,784)</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(1,785,053)</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(3,015,936)</w:t>
            </w:r>
          </w:p>
        </w:tc>
        <w:tc>
          <w:tcPr>
            <w:tcW w:w="0" w:type="dxa"/>
            <w:vAlign w:val="bottom"/>
          </w:tcPr>
          <w:p>
            <w:pPr>
              <w:spacing w:after="0"/>
              <w:rPr>
                <w:sz w:val="1"/>
                <w:szCs w:val="1"/>
                <w:color w:val="auto"/>
              </w:rPr>
            </w:pPr>
          </w:p>
        </w:tc>
      </w:tr>
      <w:tr>
        <w:trPr>
          <w:trHeight w:val="25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2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(219,506)</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(333,654)</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(404,325)</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(1,386,718)</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tcPr>
          <w:p>
            <w:pPr>
              <w:spacing w:after="0"/>
              <w:rPr>
                <w:sz w:val="18"/>
                <w:szCs w:val="18"/>
                <w:color w:val="auto"/>
              </w:rPr>
            </w:pPr>
          </w:p>
        </w:tc>
        <w:tc>
          <w:tcPr>
            <w:tcW w:w="23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(3,290,587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(2,806,621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(5,477,497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(5,479,229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Identity Management</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(2,237,222)</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(1,002,837)</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(3,692,444)</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(2,463,293)</w:t>
            </w:r>
          </w:p>
        </w:tc>
        <w:tc>
          <w:tcPr>
            <w:tcW w:w="0" w:type="dxa"/>
            <w:vAlign w:val="bottom"/>
          </w:tcPr>
          <w:p>
            <w:pPr>
              <w:spacing w:after="0"/>
              <w:rPr>
                <w:sz w:val="1"/>
                <w:szCs w:val="1"/>
                <w:color w:val="auto"/>
              </w:rPr>
            </w:pPr>
          </w:p>
        </w:tc>
      </w:tr>
      <w:tr>
        <w:trPr>
          <w:trHeight w:val="24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Payment Processing</w:t>
            </w:r>
          </w:p>
        </w:tc>
        <w:tc>
          <w:tcPr>
            <w:tcW w:w="2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(1,053,365)</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(1,803,784)</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(1,785,053)</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(3,015,936)</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bottom w:val="single" w:sz="8" w:color="CCEEFF"/>
            </w:tcBorders>
          </w:tcPr>
          <w:p>
            <w:pPr>
              <w:spacing w:after="0"/>
              <w:rPr>
                <w:sz w:val="18"/>
                <w:szCs w:val="18"/>
                <w:color w:val="auto"/>
              </w:rPr>
            </w:pPr>
          </w:p>
        </w:tc>
        <w:tc>
          <w:tcPr>
            <w:tcW w:w="230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(3,290,587</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(2,806,621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(5,477,497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(5,479,229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Interest Expense</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1"/>
              <w:spacing w:after="0"/>
              <w:rPr>
                <w:sz w:val="20"/>
                <w:szCs w:val="20"/>
                <w:color w:val="auto"/>
              </w:rPr>
            </w:pPr>
            <w:r>
              <w:rPr>
                <w:rFonts w:ascii="Arial" w:cs="Arial" w:eastAsia="Arial" w:hAnsi="Arial"/>
                <w:sz w:val="18"/>
                <w:szCs w:val="18"/>
                <w:color w:val="auto"/>
              </w:rPr>
              <w:t>(256,550)</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(310,153)</w:t>
            </w:r>
          </w:p>
        </w:tc>
        <w:tc>
          <w:tcPr>
            <w:tcW w:w="18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(553,988)</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(489,203)</w:t>
            </w: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491,881</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(342,082)</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493,418</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(1,317,971)</w:t>
            </w: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(3,055,256)</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(3,458,856)</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(5,538,067)</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(7,286,403)</w:t>
            </w: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(2,354)</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(3,592)</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(9,542)</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0" w:type="dxa"/>
            <w:vAlign w:val="bottom"/>
          </w:tcPr>
          <w:p>
            <w:pPr>
              <w:spacing w:after="0"/>
              <w:rPr>
                <w:sz w:val="1"/>
                <w:szCs w:val="1"/>
                <w:color w:val="auto"/>
              </w:rPr>
            </w:pPr>
          </w:p>
        </w:tc>
      </w:tr>
      <w:tr>
        <w:trPr>
          <w:trHeight w:val="216"/>
        </w:trPr>
        <w:tc>
          <w:tcPr>
            <w:tcW w:w="36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1"/>
              <w:spacing w:after="0" w:line="256" w:lineRule="exact"/>
              <w:rPr>
                <w:sz w:val="20"/>
                <w:szCs w:val="20"/>
                <w:color w:val="auto"/>
              </w:rPr>
            </w:pPr>
            <w:r>
              <w:rPr>
                <w:rFonts w:ascii="Arial" w:cs="Arial" w:eastAsia="Arial" w:hAnsi="Arial"/>
                <w:sz w:val="16"/>
                <w:szCs w:val="16"/>
                <w:color w:val="auto"/>
              </w:rPr>
              <w:t>(3,057,610</w:t>
            </w:r>
            <w:r>
              <w:rPr>
                <w:rFonts w:ascii="Arial" w:cs="Arial" w:eastAsia="Arial" w:hAnsi="Arial"/>
                <w:sz w:val="29"/>
                <w:szCs w:val="29"/>
                <w:color w:val="auto"/>
                <w:vertAlign w:val="superscript"/>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(3,462,448</w:t>
            </w:r>
            <w:r>
              <w:rPr>
                <w:rFonts w:ascii="Arial" w:cs="Arial" w:eastAsia="Arial" w:hAnsi="Arial"/>
                <w:sz w:val="29"/>
                <w:szCs w:val="29"/>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1"/>
              <w:spacing w:after="0" w:line="256" w:lineRule="exact"/>
              <w:rPr>
                <w:sz w:val="20"/>
                <w:szCs w:val="20"/>
                <w:color w:val="auto"/>
              </w:rPr>
            </w:pPr>
            <w:r>
              <w:rPr>
                <w:rFonts w:ascii="Arial" w:cs="Arial" w:eastAsia="Arial" w:hAnsi="Arial"/>
                <w:sz w:val="16"/>
                <w:szCs w:val="16"/>
                <w:color w:val="auto"/>
              </w:rPr>
              <w:t>(5,547,609</w:t>
            </w:r>
            <w:r>
              <w:rPr>
                <w:rFonts w:ascii="Arial" w:cs="Arial" w:eastAsia="Arial" w:hAnsi="Arial"/>
                <w:sz w:val="29"/>
                <w:szCs w:val="29"/>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(7,298,869</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20</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 Company had an accumulated deficit of approximately $103.8 million. For the six months ended June 30, 2021, the Company earned revenue of approximately $1.2 million and incurred a loss from operations of approximately $5.5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reports of our independent registered public accounting firm on our consolidated financial statements for the years ended December 31, 2020 and 2019 contained an explanatory paragraph regarding our ability to continue as a going concern based upon our net losses.</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These unaudited condensed consolidated financial statements have been prepared on a going concern basis, which implies the Company will continue to meet its obligations and continue its operations for the next fiscal year. The continuation of the Company as a going concern is dependent upon financial support from the Company’s current shareholders, the ability of the Company to obtain additional equity financing to continue operations, the Company’s ability to generate sufficient cash flows from operations, successfully locating and negotiating with other business entities for potential acquisition and /or acquiring new clients to generate revenues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 January 2021, the Company received a second loan of approximately $486,000 under the PPP of the USSBA related to its U.S. operations.</w:t>
      </w:r>
    </w:p>
    <w:p>
      <w:pPr>
        <w:spacing w:after="0" w:line="2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28, 2021, the Company filed a Registration Statement on Form S-1 and a preliminary prospectus for an underwritten public offering of its Common Stockto be undertaken by ThinkEquity, a division of Fordham Financial Management, Inc. On July 16, 2021, the Company filed an Amendment to such Form S-1, indicating that, based on an assumed offering price of $11.03 per share, the Company was intending to offer approximately $1.8 million shares, for an aggregate offering price of approximately $20 million (before expenses). The Registration Statement also indicates that the Company has applied for its shares to be admitted to listing on the Nasdaq Capital Market under the symbol “AUID”. There is no assurance that such public offering will be completed, for the amount proposes, or at all, nor that the Company’s Common Stock will be admitted for listing to the Nasdaq market.</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is no assurance that the Company will ever be profitable or be able to secure funding or generate sufficient revenues to sustain operations. As such, there is substantial doubt about the Company’s ability to continue as a going concern. These unaudited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authID.ai (Ipsidy Inc.) is a leading provider of secure, mobile, biometric identity verification software products delivered by an easy to integrate Identity as a Service (IDaaS) platform. Our mission is to eliminate all passwords and to be the preferred global platform for biometric identity authentication. Our vision is to enable every organization to “Recognise Your Customer” instantly, without friction or loss of privacy, powered by the most sophisticated biometric and artificial intelligence technologies.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t>The explosive growth in online and mobile commerce, telemedicine, remote working and digital activities of all descriptions is self-evident to everyone who lived through 2020. Identity theft, phishing attacks, spear-phishing, password vulnerabilities, account takeovers, benefits fraud - words that have entered our daily lexicon it seems like overnight. These risks are significant impediments to the operations and growth of any business or organization, and dealing with the consequences of these criminal activities has created significant friction in both time, cost and lost opportunity. Consider all the methods that organizations have had to implement in order to prevent fraud. The requests to receive and enter one-time passwords. The maddening questions you get asked – whether on-line or when reaching out to a call center – what was your first pet’s name? who was your best friend in high school? These steps all add up to friction, making it difficult for consumers to login, transact and execute daily tasks. Surely there is a better way to address these challenges? authID.ai believes there is.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authID.ai provides secure, biometric, identity verification, FIDO2 passwordless login and strong customer authentication. We maintain a global, cloud-based, IDaaS platform for our enterprise customers to enable their users to easily verify and authenticate their identity through a mobile phone or portable device of their choosing (as opposed to dedicated hardware). We establish a proven identity, creating a root of trust that ensures the highest level of assurance for our passwordless login and step-up verification products. Our system enables participants to consent to transactions using their biometric information with a digitally signed authentication response, embedding the underlying transaction data and each user’s identity attributes within every electronic transaction message processed through our platform.</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Digital transformation across all market segments requires trusted identity. Our identity platform offers innovative solutions that are flexible, fast and easy to integrate and offer seamless user experiences. authID’s products help advance digital transformation efforts without the fear of identity fraud, while delivering frictionless user experiences. We believe that it is also essential that every electronic transaction has an audit trail, proving that the identity of the individual was duly authenticated. Our platform provides biometric and multi-factor identity software, which are intended to establish, authenticate, and verify identity across a wide range of use cases and electronic transactions.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authID’s products focus on the broad requirement for enabling frictionless commerce by allowing an entity to instantly “Recognise their Customer”. Organizations of all descriptions require cost-effective and secure means of growing their business while mitigating identity fraud. We aim to offer our enterprise customers products that can be integrated easily into each of their business and organizational operations, in order to facilitate their adoption and enhance the end user customer experience.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believes that some of the advantages of our IDaaS Platform approach are the ability to leverage the platform to support a variety of vertical markets and the adaptability of the platform to the requirements of new markets and new products requiring cost-effective, secure, and configurable mobile solutions. Our target markets include banking, fintech and other disrupters of traditional commerce, small and medium sized businesses, and system integrators working with government and Fortune 1000 enterprises. At its core, the Company’s offering, combining its proprietary and acquired biometric and artificial intelligence technologies (or AI), is intended to facilitate frictionless commerce, whether in the physical or digital world. The Company intends to increase its investment in developing, patenting, and acquiring the various elements necessary to enhance the platform, which are intended to allow us to achieve our goals. One of the principal intended areas of investment is to enhance and expand our use of artificial intelligence in proprietary software, that we believe will increase our value to enterprise customers and stockholders alike.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authid.ai is dedicated to developing advanced methods of protecting consumer privacy and deploying ethical and socially responsible AI. authID is developing a culture that proactively encourages and rewards our employees for considering the ethical implications of our products. We believe that a proactive commitment to ethical AI presents a strong business opportunity for authID and will enable us to bring more accurate products to market more quickly and with less risk to better serve our global user base. Our methods to achieve ethical AI include engaging the users of our products with informed consent, prioritizing the security of our user’s personal information, considering and avoiding potential bias in our algorithms, and monitoring of algorithm performance in our applications.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jc w:val="both"/>
        <w:spacing w:after="0" w:line="279" w:lineRule="auto"/>
        <w:rPr>
          <w:sz w:val="20"/>
          <w:szCs w:val="20"/>
          <w:color w:val="auto"/>
        </w:rPr>
      </w:pPr>
      <w:r>
        <w:rPr>
          <w:rFonts w:ascii="Arial" w:cs="Arial" w:eastAsia="Arial" w:hAnsi="Arial"/>
          <w:sz w:val="17"/>
          <w:szCs w:val="17"/>
          <w:color w:val="auto"/>
        </w:rPr>
        <w:t>The Company was incorporated in the State of Delaware on September 21, 2011 and changed its name to Ipsidy Inc. on February 1, 2017, and our common stock is currently (beginning July 13, 2021) traded on the OTCQB U.S. Market under the trading symbol “AUID”. Our corporate headquarters is located at 670 Long Beach Blvd., Long Beach, NY 11561 and our main phone number is (516) 274-8700. We maintain a website at www.authID.ai. The contents of our website are not incorporated into, or otherwise to be regarded as part of, this Quarterly Report on Form 10-Q</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is a non-GAAP financial measure that represents GAAP net income (loss) adjusted to exclude (1) interest expense, (2) interest income,</w:t>
      </w:r>
    </w:p>
    <w:p>
      <w:pPr>
        <w:spacing w:after="0" w:line="46" w:lineRule="exact"/>
        <w:rPr>
          <w:sz w:val="20"/>
          <w:szCs w:val="20"/>
          <w:color w:val="auto"/>
        </w:rPr>
      </w:pPr>
    </w:p>
    <w:p>
      <w:pPr>
        <w:ind w:right="20" w:firstLine="8"/>
        <w:spacing w:after="0" w:line="260" w:lineRule="auto"/>
        <w:tabs>
          <w:tab w:leader="none" w:pos="256"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 for income taxes, (4) depreciation and amortization, (5) stock-based compensation expense (stock options and restricted stock) and (6) certain other items management believes affect the comparability of operating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items include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2021:</w:t>
      </w:r>
    </w:p>
    <w:p>
      <w:pPr>
        <w:spacing w:after="0" w:line="225" w:lineRule="exact"/>
        <w:rPr>
          <w:sz w:val="20"/>
          <w:szCs w:val="20"/>
          <w:color w:val="auto"/>
        </w:rPr>
      </w:pPr>
    </w:p>
    <w:p>
      <w:pPr>
        <w:ind w:right="6600" w:firstLine="332"/>
        <w:spacing w:after="0" w:line="500"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Gain on extinguishment of notes payable - $0.5 million For the six months ended June 30, 2020: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on extinguishment of debt of $1.0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Impairment loss of $0.9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Warrant exercise inducement expense $0.4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Severance expense $0.4 million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 Additionally, we will continue to use Adjusted EBITDA in connection with our executive performance-based compensation in 2021.</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ind w:right="20"/>
        <w:spacing w:after="0" w:line="277" w:lineRule="auto"/>
        <w:rPr>
          <w:sz w:val="20"/>
          <w:szCs w:val="20"/>
          <w:color w:val="auto"/>
        </w:rPr>
      </w:pPr>
      <w:r>
        <w:rPr>
          <w:rFonts w:ascii="Arial" w:cs="Arial" w:eastAsia="Arial" w:hAnsi="Arial"/>
          <w:sz w:val="18"/>
          <w:szCs w:val="18"/>
          <w:color w:val="auto"/>
        </w:rPr>
        <w:t>Adjusted EBITDA has limitations as an analytical tool, and you should not consider it in isolation from, or as a substitute for, analysis of our results as reported under GAAP. Some of these limitations are:</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does not include the impact of certain charges or gains resulting from matters we consider not to be indicative of our ongoing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r>
              <w:rPr>
                <w:rFonts w:ascii="Arial" w:cs="Arial" w:eastAsia="Arial" w:hAnsi="Arial"/>
                <w:sz w:val="18"/>
                <w:szCs w:val="18"/>
                <w:b w:val="1"/>
                <w:bCs w:val="1"/>
                <w:color w:val="auto"/>
              </w:rPr>
              <w:t>Reconciliation of Net Loss to Adjusted EBITDA</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40"/>
              <w:spacing w:after="0"/>
              <w:rPr>
                <w:sz w:val="20"/>
                <w:szCs w:val="20"/>
                <w:color w:val="auto"/>
              </w:rPr>
            </w:pPr>
            <w:r>
              <w:rPr>
                <w:rFonts w:ascii="Arial" w:cs="Arial" w:eastAsia="Arial" w:hAnsi="Arial"/>
                <w:sz w:val="18"/>
                <w:szCs w:val="18"/>
                <w:color w:val="auto"/>
              </w:rPr>
              <w:t>For the Quarter Ended</w:t>
            </w:r>
          </w:p>
        </w:tc>
        <w:tc>
          <w:tcPr>
            <w:tcW w:w="180" w:type="dxa"/>
            <w:vAlign w:val="bottom"/>
          </w:tcPr>
          <w:p>
            <w:pPr>
              <w:spacing w:after="0"/>
              <w:rPr>
                <w:sz w:val="24"/>
                <w:szCs w:val="24"/>
                <w:color w:val="auto"/>
              </w:rPr>
            </w:pPr>
          </w:p>
        </w:tc>
        <w:tc>
          <w:tcPr>
            <w:tcW w:w="2360" w:type="dxa"/>
            <w:vAlign w:val="bottom"/>
            <w:gridSpan w:val="5"/>
          </w:tcPr>
          <w:p>
            <w:pPr>
              <w:ind w:left="80"/>
              <w:spacing w:after="0"/>
              <w:rPr>
                <w:sz w:val="20"/>
                <w:szCs w:val="20"/>
                <w:color w:val="auto"/>
              </w:rPr>
            </w:pPr>
            <w:r>
              <w:rPr>
                <w:rFonts w:ascii="Arial" w:cs="Arial" w:eastAsia="Arial" w:hAnsi="Arial"/>
                <w:sz w:val="18"/>
                <w:szCs w:val="18"/>
                <w:color w:val="auto"/>
              </w:rPr>
              <w:t>For the Six Months Ended</w:t>
            </w:r>
          </w:p>
        </w:tc>
      </w:tr>
      <w:tr>
        <w:trPr>
          <w:trHeight w:val="202"/>
        </w:trPr>
        <w:tc>
          <w:tcPr>
            <w:tcW w:w="59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jc w:val="center"/>
              <w:ind w:right="440"/>
              <w:spacing w:after="0" w:line="201" w:lineRule="exact"/>
              <w:rPr>
                <w:sz w:val="20"/>
                <w:szCs w:val="20"/>
                <w:color w:val="auto"/>
              </w:rPr>
            </w:pPr>
            <w:r>
              <w:rPr>
                <w:rFonts w:ascii="Arial" w:cs="Arial" w:eastAsia="Arial" w:hAnsi="Arial"/>
                <w:sz w:val="18"/>
                <w:szCs w:val="18"/>
                <w:color w:val="auto"/>
                <w:w w:val="86"/>
              </w:rPr>
              <w:t>June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1"/>
              <w:spacing w:after="0" w:line="201" w:lineRule="exact"/>
              <w:rPr>
                <w:sz w:val="20"/>
                <w:szCs w:val="20"/>
                <w:color w:val="auto"/>
              </w:rPr>
            </w:pPr>
            <w:r>
              <w:rPr>
                <w:rFonts w:ascii="Arial" w:cs="Arial" w:eastAsia="Arial" w:hAnsi="Arial"/>
                <w:sz w:val="18"/>
                <w:szCs w:val="18"/>
                <w:color w:val="auto"/>
                <w:w w:val="95"/>
              </w:rPr>
              <w:t>June 30,</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June 30,</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171"/>
              <w:spacing w:after="0" w:line="201" w:lineRule="exact"/>
              <w:rPr>
                <w:sz w:val="20"/>
                <w:szCs w:val="20"/>
                <w:color w:val="auto"/>
              </w:rPr>
            </w:pPr>
            <w:r>
              <w:rPr>
                <w:rFonts w:ascii="Arial" w:cs="Arial" w:eastAsia="Arial" w:hAnsi="Arial"/>
                <w:sz w:val="18"/>
                <w:szCs w:val="18"/>
                <w:color w:val="auto"/>
                <w:w w:val="95"/>
              </w:rPr>
              <w:t>June 30,</w:t>
            </w:r>
          </w:p>
        </w:tc>
        <w:tc>
          <w:tcPr>
            <w:tcW w:w="100" w:type="dxa"/>
            <w:vAlign w:val="bottom"/>
          </w:tcPr>
          <w:p>
            <w:pPr>
              <w:spacing w:after="0"/>
              <w:rPr>
                <w:sz w:val="17"/>
                <w:szCs w:val="17"/>
                <w:color w:val="auto"/>
              </w:rPr>
            </w:pPr>
          </w:p>
        </w:tc>
      </w:tr>
      <w:tr>
        <w:trPr>
          <w:trHeight w:val="237"/>
        </w:trPr>
        <w:tc>
          <w:tcPr>
            <w:tcW w:w="5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432"/>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(3,057,610)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(3,462,448)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(5,547,609)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(7,298,869)</w:t>
            </w: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Add Back:</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256,550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310,153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553,988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489,203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Debt extinguishment - loss/(gain)</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(485,760)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(485,760)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985,842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Warrant exercise inducement expense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366,795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366,795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Severance cost</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426,175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426,175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(7,658)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(34,666)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314,317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321,987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624,146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647,331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Impairment loss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163,822</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1,035,629</w:t>
            </w:r>
          </w:p>
        </w:tc>
      </w:tr>
      <w:tr>
        <w:trPr>
          <w:trHeight w:val="23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1,623,547</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460,883</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2,261,126</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629,993</w:t>
            </w:r>
          </w:p>
        </w:tc>
      </w:tr>
      <w:tr>
        <w:trPr>
          <w:trHeight w:val="216"/>
        </w:trPr>
        <w:tc>
          <w:tcPr>
            <w:tcW w:w="5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(Non-GAAP)</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line="256" w:lineRule="exact"/>
              <w:rPr>
                <w:sz w:val="20"/>
                <w:szCs w:val="20"/>
                <w:color w:val="auto"/>
              </w:rPr>
            </w:pPr>
            <w:r>
              <w:rPr>
                <w:rFonts w:ascii="Arial" w:cs="Arial" w:eastAsia="Arial" w:hAnsi="Arial"/>
                <w:sz w:val="16"/>
                <w:szCs w:val="16"/>
                <w:color w:val="auto"/>
              </w:rPr>
              <w:t>(1,352,723</w:t>
            </w:r>
            <w:r>
              <w:rPr>
                <w:rFonts w:ascii="Arial" w:cs="Arial" w:eastAsia="Arial" w:hAnsi="Arial"/>
                <w:sz w:val="29"/>
                <w:szCs w:val="29"/>
                <w:color w:val="auto"/>
                <w:vertAlign w:val="superscript"/>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(1,433,754</w:t>
            </w:r>
            <w:r>
              <w:rPr>
                <w:rFonts w:ascii="Arial" w:cs="Arial" w:eastAsia="Arial" w:hAnsi="Arial"/>
                <w:sz w:val="29"/>
                <w:szCs w:val="29"/>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(2,592,225</w:t>
            </w:r>
            <w:r>
              <w:rPr>
                <w:rFonts w:ascii="Arial" w:cs="Arial" w:eastAsia="Arial" w:hAnsi="Arial"/>
                <w:sz w:val="29"/>
                <w:szCs w:val="29"/>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(2,740,101</w:t>
            </w:r>
            <w:r>
              <w:rPr>
                <w:rFonts w:ascii="Arial" w:cs="Arial" w:eastAsia="Arial" w:hAnsi="Arial"/>
                <w:sz w:val="29"/>
                <w:szCs w:val="29"/>
                <w:color w:val="auto"/>
                <w:vertAlign w:val="superscript"/>
              </w:rPr>
              <w:t>)</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Adjusted EBITDA loss for the six months ended June 30, 2021, decreased approximately $0.1 million compared to the previous year, due to a decrease in overall spending while focusing costs on key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2021 and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net</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three months and six months ended June 30, 2021, the Company had revenues of approximately $0.6 million and $1.2 million compared to $0.3 million and $1.1 million in the three months and six months ended June 30, 2020. The increase in revenue in the three months period ended June 30, 2021 is principally related to increased activity at Cards Plus in the current year compared to the prior year, when business was severely impacted due to Covid-</w:t>
      </w:r>
    </w:p>
    <w:p>
      <w:pPr>
        <w:spacing w:after="0" w:line="2" w:lineRule="exact"/>
        <w:rPr>
          <w:sz w:val="20"/>
          <w:szCs w:val="20"/>
          <w:color w:val="auto"/>
        </w:rPr>
      </w:pPr>
    </w:p>
    <w:p>
      <w:pPr>
        <w:ind w:right="20" w:firstLine="8"/>
        <w:spacing w:after="0" w:line="260" w:lineRule="auto"/>
        <w:tabs>
          <w:tab w:leader="none" w:pos="2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Ipsidy revenues increased slightly in the three and six month periods ended June 30, 2021 and Multipay revenues were relatively flat during both periods.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2021, cost of sales was higher than the cost of sales in the three months ended June 30, 2020 principally due to higher revenue at Cards Plus. In the six month period ended June 30, 2021 compared to June 30, 2020, cost of sales was lower as Cards Plus sold products at higher margins.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and six-month periods ended June 30, 2021, compared to June 30, 2020, general and administrative expense increased by approximately $0.7 million and $1.1 million due to higher non-cash stock compensation charges.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During the three-month and six-month periods ended June 30, 2021 compared to June 30, 2020, research and development expenses increased by approximately $0.2 million and $0.1 million. In the three months ended June 30, 2020, the Company reduced overall spend including lower staff levels and in the six months ended June 30, 2021, the Company focused resources on key products initiatives and moderately adding certain skillsets.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and six months ended June 30, 2020, the Company recorded an impairment loss of approximately $164,000 and $1,036,000, respectively, associated with goodwill of one of its reporting units.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current pandemic and its potential impact on future results, the Company updated its reporting unit projections, and it indicated a goodwill impairment as the carrying value was in excess of its estimated recoverable value. The fair value of the reporting unit was determined using a discounted cash flow analysis.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expense was approximately the same in both the three and six months ended June 30, 2021 and June 30, 2020.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2021, the Company recorded a gain on the extinguishment of a note payable of approximately $486,000 related to the forgiveness of one Paycheck Protection Program loan.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six months ended June 30, 2020, the Company recorded a charge of approximately $985,000 related to an extinguishment of a note payable and a charge of approximately $367,000 in connection with an inducement to certain warrant holders to exercise their outstanding warrants.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Interest expense decreased during the three months ended June 30, 2021 and increased in the six months ended June 30, 2021 compared to the three and six months ended June 30, 2020. The increase in the six months ended June 30, 2021, is principally due to the issuance of convertible debt in February 2020.</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2021 the Company had approximately $1.8 million of cash on hand and has a deficiency in working capital of approximately $0.4 million as the remaining convertible debt has been reclassified to a current liability as it is due in February 2022.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Cash used in operating activities was approximately $2.4 million and $2.0 million in the six months ended June 30, 2021, and June 30, 2020, respectively.</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2021, the Company received a second loan of approximately $486,000 under the Paycheck Protection Program of the U.S. Small Business Association (“USSBA”) related to its U.S. operations. The Company anticipates, subject to approval by the USSBA, if certain requirements are met, the loan will be forgiven. Any amount not forgiven will be required to be repaid.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2021, convertible notes totaling $120,000 and a portion of their accrued interest at the option of the noteholders were converted into approximately 33,000 shares of common stock of the Company.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Additionally, in the six months ended June 30, 2021, the Company received conversion notices from (i) the Stern Trust converting the principal amount, repayment premium and interest in the amount of approximately $3.5 million payable under the Restated Stern Note into approximately 561,000 shares of common stock, (ii) the 8% Note Investors converting principal and interest in the amount of approximately $0.4 million into approximately 180,000 shares of common stock and (iii) the 2020 Note Investors converting principal, repayment premium and interest in the amount of approximately $2.5 million into approximately 398,000 shares of common stock. The Stern Trust is owed approximately $0.7 million in interest under the Restated Stern Note, which has not been converted and remains outstanding. As a result, a total of approximately $6.1 million of Company net indebtedness was converted and the Company issued 1,138,000 shares of common stock in the aggregate.</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28, 2021, the Company filed a Registration Statement on Form S-1 and a preliminary prospectus for an underwritten public offering of its common stock par value $0.0001 (“Common Stock”) to be undertaken by ThinkEquity, a division of Fordham Financial Management, Inc. On July 16, 2021, the Company filed an Amendment to such Form S-1, indicating that, based on an assumed offering price of $11.03 per share, the Company was intending to offer approximately $1.8 million shares, for an aggregate offering price of approximately $20 million (before expenses). The Registration Statement also indicates that the Company has applied for its shares to be admitted to listing on the Nasdaq Capital Market under the symbol “AUID”. There is no assurance that such public offering will be completed, for the amount proposes, or at all, nor that the Company’s Common Stock will be admitted for listing to the Nasdaq market.</w:t>
      </w:r>
    </w:p>
    <w:p>
      <w:pPr>
        <w:spacing w:after="0" w:line="19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order to implement and grow our operations through December 31, 2022, achieve an expected revenue stream from our products and repay our outstanding convertible debt obligation (to the extent that the same is not converted to common stock), we expect that we will need to raise approximately $9.0 to $12.0 million. There is no guarantee that our current business plan will not change and, as a result of such change, that we will need additional capital to implement such business plan.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Covid 19</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novel strain of coronavirus (“Covid-19”) emerged globally in December 2019 and has been declared a pandemic. The extent to which Covid-19 will impact our customers, business, results and financial condition will depend on current and future developments, which are highly uncertain and cannot be predicted at this time. The Company’s day-to-day operations have been impacted differently depending on geographic location and services that are being performed. The Cards Plus business located in South Africa operations has had limitations on its operations as they are following the guidance and requirements of the South African government. Our operations in the United States and Colombia have suffered less immediate impact as most staff can work remotely and can continue to develop our product offerings.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said we have seen our business opportunities develop more slowly as business partners and potential customers are dealing with Covid-19 issues, working remotely and these issues are causing delays in decision making and finalization of negotiations and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above – Impairment loss and Note 13 to the unaudited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Policies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recent material accounting policies that may be the most critical to understanding of the financial results and conditions are discussed in Note 1 of the unaudited financial statements.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2020 the FASB issued a new standard (ASU 2020-06) to reduce the complexity of accounting for convertible debt and other equity-linked instruments. For certain convertible debt instruments with a cash conversion feature, the changes are a trade-off between simplifications in the accounting model (no separation of an “equity” component to impute a market interest rate, and simpler analysis of embedded equity features) and a potentially adverse impact to diluted EPS by requiring the use of the if-converted method. The new standard will also impact other financial instruments commonly issued by both public and private companies. For example, the separation model for beneficial conversion features is eliminated simplifying the analysis for issuers of convertible debt and convertible preferred stock. Also, certain specific requirements to achieve equity classification and/ or qualify for the derivative scope exception for contracts indexed to an entity’s own equity are removed, enabling more freestanding instruments and embedded features to avoid mark-to-market accounting. The new standard is effective for companies that are SEC filers (except for Smaller Reporting Companies) for fiscal years beginning after December 15, 2021 and interim periods within that year, and two years later for other companies. Companies can early adopt the standard at the start of a fiscal year beginning after December 15, 2020. The standard can either be adopted on a modified retrospective or a full retrospective basis. The Company is currently reviewing the newly issued standard and does not believe it will materially impact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include disclosure under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June 30, 2021,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that occurred during the six months ended June 30, 2021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Risk factors describing the major risks to our business can be found under Item 1A, “Risk Factors”, in our Annual Report on Form 10-K for the year ended December 31, 2020. There has been no material change in our risk factors from those previously discussed in the Annual Report on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 to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240"/>
          </w:cols>
          <w:pgMar w:left="320" w:top="877"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11" w:lineRule="auto"/>
        <w:rPr>
          <w:sz w:val="20"/>
          <w:szCs w:val="20"/>
          <w:color w:val="auto"/>
        </w:rPr>
      </w:pPr>
      <w:r>
        <w:rPr>
          <w:rFonts w:ascii="Arial" w:cs="Arial" w:eastAsia="Arial" w:hAnsi="Arial"/>
          <w:sz w:val="18"/>
          <w:szCs w:val="18"/>
          <w:color w:val="auto"/>
        </w:rPr>
        <w:t>3.1</w:t>
      </w:r>
      <w:r>
        <w:rPr>
          <w:rFonts w:ascii="Arial" w:cs="Arial" w:eastAsia="Arial" w:hAnsi="Arial"/>
          <w:sz w:val="29"/>
          <w:szCs w:val="29"/>
          <w:color w:val="auto"/>
          <w:vertAlign w:val="superscript"/>
        </w:rPr>
        <w:t>(1)</w:t>
      </w:r>
    </w:p>
    <w:p>
      <w:pPr>
        <w:spacing w:after="0" w:line="185" w:lineRule="auto"/>
        <w:rPr>
          <w:sz w:val="20"/>
          <w:szCs w:val="20"/>
          <w:color w:val="auto"/>
        </w:rPr>
      </w:pPr>
      <w:r>
        <w:rPr>
          <w:rFonts w:ascii="Arial" w:cs="Arial" w:eastAsia="Arial" w:hAnsi="Arial"/>
          <w:sz w:val="18"/>
          <w:szCs w:val="18"/>
          <w:color w:val="auto"/>
        </w:rPr>
        <w:t>4.1</w:t>
      </w:r>
      <w:r>
        <w:rPr>
          <w:rFonts w:ascii="Arial" w:cs="Arial" w:eastAsia="Arial" w:hAnsi="Arial"/>
          <w:sz w:val="29"/>
          <w:szCs w:val="29"/>
          <w:color w:val="auto"/>
          <w:vertAlign w:val="superscript"/>
        </w:rPr>
        <w:t>(1)</w:t>
      </w:r>
    </w:p>
    <w:p>
      <w:pPr>
        <w:spacing w:after="0" w:line="184" w:lineRule="auto"/>
        <w:rPr>
          <w:sz w:val="20"/>
          <w:szCs w:val="20"/>
          <w:color w:val="auto"/>
        </w:rPr>
      </w:pPr>
      <w:r>
        <w:rPr>
          <w:rFonts w:ascii="Arial" w:cs="Arial" w:eastAsia="Arial" w:hAnsi="Arial"/>
          <w:sz w:val="18"/>
          <w:szCs w:val="18"/>
          <w:color w:val="auto"/>
        </w:rPr>
        <w:t>10.1</w:t>
      </w:r>
      <w:r>
        <w:rPr>
          <w:rFonts w:ascii="Arial" w:cs="Arial" w:eastAsia="Arial" w:hAnsi="Arial"/>
          <w:sz w:val="29"/>
          <w:szCs w:val="29"/>
          <w:color w:val="auto"/>
          <w:vertAlign w:val="superscript"/>
        </w:rPr>
        <w:t>(1)</w:t>
      </w:r>
    </w:p>
    <w:p>
      <w:pPr>
        <w:spacing w:after="0" w:line="185" w:lineRule="auto"/>
        <w:rPr>
          <w:sz w:val="20"/>
          <w:szCs w:val="20"/>
          <w:color w:val="auto"/>
        </w:rPr>
      </w:pPr>
      <w:r>
        <w:rPr>
          <w:rFonts w:ascii="Arial" w:cs="Arial" w:eastAsia="Arial" w:hAnsi="Arial"/>
          <w:sz w:val="18"/>
          <w:szCs w:val="18"/>
          <w:color w:val="auto"/>
        </w:rPr>
        <w:t>10.2</w:t>
      </w:r>
      <w:r>
        <w:rPr>
          <w:rFonts w:ascii="Arial" w:cs="Arial" w:eastAsia="Arial" w:hAnsi="Arial"/>
          <w:sz w:val="29"/>
          <w:szCs w:val="29"/>
          <w:color w:val="auto"/>
          <w:vertAlign w:val="superscript"/>
        </w:rPr>
        <w:t>(1)</w:t>
      </w:r>
    </w:p>
    <w:p>
      <w:pPr>
        <w:spacing w:after="0" w:line="184" w:lineRule="auto"/>
        <w:rPr>
          <w:sz w:val="20"/>
          <w:szCs w:val="20"/>
          <w:color w:val="auto"/>
        </w:rPr>
      </w:pPr>
      <w:r>
        <w:rPr>
          <w:rFonts w:ascii="Arial" w:cs="Arial" w:eastAsia="Arial" w:hAnsi="Arial"/>
          <w:sz w:val="18"/>
          <w:szCs w:val="18"/>
          <w:color w:val="auto"/>
        </w:rPr>
        <w:t>10.3</w:t>
      </w:r>
      <w:r>
        <w:rPr>
          <w:rFonts w:ascii="Arial" w:cs="Arial" w:eastAsia="Arial" w:hAnsi="Arial"/>
          <w:sz w:val="29"/>
          <w:szCs w:val="29"/>
          <w:color w:val="auto"/>
          <w:vertAlign w:val="superscript"/>
        </w:rPr>
        <w:t>(1)</w:t>
      </w:r>
    </w:p>
    <w:p>
      <w:pPr>
        <w:spacing w:after="0" w:line="185" w:lineRule="auto"/>
        <w:rPr>
          <w:sz w:val="20"/>
          <w:szCs w:val="20"/>
          <w:color w:val="auto"/>
        </w:rPr>
      </w:pPr>
      <w:r>
        <w:rPr>
          <w:rFonts w:ascii="Arial" w:cs="Arial" w:eastAsia="Arial" w:hAnsi="Arial"/>
          <w:sz w:val="18"/>
          <w:szCs w:val="18"/>
          <w:color w:val="auto"/>
        </w:rPr>
        <w:t>10.4</w:t>
      </w:r>
      <w:r>
        <w:rPr>
          <w:rFonts w:ascii="Arial" w:cs="Arial" w:eastAsia="Arial" w:hAnsi="Arial"/>
          <w:sz w:val="29"/>
          <w:szCs w:val="29"/>
          <w:color w:val="auto"/>
          <w:vertAlign w:val="superscript"/>
        </w:rPr>
        <w:t>(1)</w:t>
      </w:r>
    </w:p>
    <w:p>
      <w:pPr>
        <w:spacing w:after="0" w:line="185" w:lineRule="auto"/>
        <w:rPr>
          <w:sz w:val="20"/>
          <w:szCs w:val="20"/>
          <w:color w:val="auto"/>
        </w:rPr>
      </w:pPr>
      <w:r>
        <w:rPr>
          <w:rFonts w:ascii="Arial" w:cs="Arial" w:eastAsia="Arial" w:hAnsi="Arial"/>
          <w:sz w:val="18"/>
          <w:szCs w:val="18"/>
          <w:color w:val="auto"/>
        </w:rPr>
        <w:t>10.5</w:t>
      </w:r>
      <w:r>
        <w:rPr>
          <w:rFonts w:ascii="Arial" w:cs="Arial" w:eastAsia="Arial" w:hAnsi="Arial"/>
          <w:sz w:val="29"/>
          <w:szCs w:val="29"/>
          <w:color w:val="auto"/>
          <w:vertAlign w:val="superscript"/>
        </w:rPr>
        <w:t>(1)</w:t>
      </w:r>
    </w:p>
    <w:p>
      <w:pPr>
        <w:spacing w:after="0" w:line="184" w:lineRule="auto"/>
        <w:rPr>
          <w:sz w:val="20"/>
          <w:szCs w:val="20"/>
          <w:color w:val="auto"/>
        </w:rPr>
      </w:pPr>
      <w:r>
        <w:rPr>
          <w:rFonts w:ascii="Arial" w:cs="Arial" w:eastAsia="Arial" w:hAnsi="Arial"/>
          <w:sz w:val="18"/>
          <w:szCs w:val="18"/>
          <w:color w:val="auto"/>
        </w:rPr>
        <w:t>10.6</w:t>
      </w:r>
      <w:r>
        <w:rPr>
          <w:rFonts w:ascii="Arial" w:cs="Arial" w:eastAsia="Arial" w:hAnsi="Arial"/>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101.INS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101.SCH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101.CAL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101.DEF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101.LAB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101.PRE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6" w:lineRule="exact"/>
        <w:rPr>
          <w:sz w:val="20"/>
          <w:szCs w:val="20"/>
          <w:color w:val="auto"/>
        </w:rPr>
      </w:pPr>
    </w:p>
    <w:p>
      <w:pPr>
        <w:spacing w:after="0"/>
        <w:rPr>
          <w:rFonts w:ascii="Arial" w:cs="Arial" w:eastAsia="Arial" w:hAnsi="Arial"/>
          <w:sz w:val="18"/>
          <w:szCs w:val="18"/>
          <w:u w:val="single" w:color="auto"/>
          <w:color w:val="0000EE"/>
        </w:rPr>
      </w:pPr>
      <w:hyperlink r:id="rId45">
        <w:r>
          <w:rPr>
            <w:rFonts w:ascii="Arial" w:cs="Arial" w:eastAsia="Arial" w:hAnsi="Arial"/>
            <w:sz w:val="18"/>
            <w:szCs w:val="18"/>
            <w:u w:val="single" w:color="auto"/>
            <w:color w:val="0000EE"/>
          </w:rPr>
          <w:t>Certificate of Amendment dated June 1, 2021</w:t>
        </w:r>
      </w:hyperlink>
    </w:p>
    <w:p>
      <w:pPr>
        <w:spacing w:after="0" w:line="50" w:lineRule="exact"/>
        <w:rPr>
          <w:sz w:val="20"/>
          <w:szCs w:val="20"/>
          <w:color w:val="auto"/>
        </w:rPr>
      </w:pPr>
    </w:p>
    <w:p>
      <w:pPr>
        <w:spacing w:after="0"/>
        <w:rPr>
          <w:rFonts w:ascii="Arial" w:cs="Arial" w:eastAsia="Arial" w:hAnsi="Arial"/>
          <w:sz w:val="18"/>
          <w:szCs w:val="18"/>
          <w:u w:val="single" w:color="auto"/>
          <w:color w:val="0000EE"/>
        </w:rPr>
      </w:pPr>
      <w:hyperlink r:id="rId46">
        <w:r>
          <w:rPr>
            <w:rFonts w:ascii="Arial" w:cs="Arial" w:eastAsia="Arial" w:hAnsi="Arial"/>
            <w:sz w:val="18"/>
            <w:szCs w:val="18"/>
            <w:u w:val="single" w:color="auto"/>
            <w:color w:val="0000EE"/>
          </w:rPr>
          <w:t>Form of Stock Option</w:t>
        </w:r>
      </w:hyperlink>
    </w:p>
    <w:p>
      <w:pPr>
        <w:spacing w:after="0" w:line="50" w:lineRule="exact"/>
        <w:rPr>
          <w:sz w:val="20"/>
          <w:szCs w:val="20"/>
          <w:color w:val="auto"/>
        </w:rPr>
      </w:pPr>
    </w:p>
    <w:p>
      <w:pPr>
        <w:spacing w:after="0"/>
        <w:rPr>
          <w:rFonts w:ascii="Arial" w:cs="Arial" w:eastAsia="Arial" w:hAnsi="Arial"/>
          <w:sz w:val="18"/>
          <w:szCs w:val="18"/>
          <w:u w:val="single" w:color="auto"/>
          <w:color w:val="0000EE"/>
        </w:rPr>
      </w:pPr>
      <w:hyperlink r:id="rId47">
        <w:r>
          <w:rPr>
            <w:rFonts w:ascii="Arial" w:cs="Arial" w:eastAsia="Arial" w:hAnsi="Arial"/>
            <w:sz w:val="18"/>
            <w:szCs w:val="18"/>
            <w:u w:val="single" w:color="auto"/>
            <w:color w:val="0000EE"/>
          </w:rPr>
          <w:t>Form of Director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-121920</wp:posOffset>
            </wp:positionV>
            <wp:extent cx="713232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rFonts w:ascii="Arial" w:cs="Arial" w:eastAsia="Arial" w:hAnsi="Arial"/>
          <w:sz w:val="18"/>
          <w:szCs w:val="18"/>
          <w:u w:val="single" w:color="auto"/>
          <w:color w:val="0000EE"/>
        </w:rPr>
      </w:pPr>
      <w:hyperlink r:id="rId49">
        <w:r>
          <w:rPr>
            <w:rFonts w:ascii="Arial" w:cs="Arial" w:eastAsia="Arial" w:hAnsi="Arial"/>
            <w:sz w:val="18"/>
            <w:szCs w:val="18"/>
            <w:u w:val="single" w:color="auto"/>
            <w:color w:val="0000EE"/>
          </w:rPr>
          <w:t>Form of Indemnification Agreement</w:t>
        </w:r>
      </w:hyperlink>
    </w:p>
    <w:p>
      <w:pPr>
        <w:spacing w:after="0" w:line="50" w:lineRule="exact"/>
        <w:rPr>
          <w:sz w:val="20"/>
          <w:szCs w:val="20"/>
          <w:color w:val="auto"/>
        </w:rPr>
      </w:pPr>
    </w:p>
    <w:p>
      <w:pPr>
        <w:spacing w:after="0"/>
        <w:rPr>
          <w:rFonts w:ascii="Arial" w:cs="Arial" w:eastAsia="Arial" w:hAnsi="Arial"/>
          <w:sz w:val="18"/>
          <w:szCs w:val="18"/>
          <w:u w:val="single" w:color="auto"/>
          <w:color w:val="0000EE"/>
        </w:rPr>
      </w:pPr>
      <w:hyperlink r:id="rId50">
        <w:r>
          <w:rPr>
            <w:rFonts w:ascii="Arial" w:cs="Arial" w:eastAsia="Arial" w:hAnsi="Arial"/>
            <w:sz w:val="18"/>
            <w:szCs w:val="18"/>
            <w:u w:val="single" w:color="auto"/>
            <w:color w:val="0000EE"/>
          </w:rPr>
          <w:t>Executive Retention Agreement entered between the Company and Thomas L. Thimot dated June 14,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-121920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rFonts w:ascii="Arial" w:cs="Arial" w:eastAsia="Arial" w:hAnsi="Arial"/>
          <w:sz w:val="18"/>
          <w:szCs w:val="18"/>
          <w:u w:val="single" w:color="auto"/>
          <w:color w:val="0000EE"/>
        </w:rPr>
      </w:pPr>
      <w:hyperlink r:id="rId52">
        <w:r>
          <w:rPr>
            <w:rFonts w:ascii="Arial" w:cs="Arial" w:eastAsia="Arial" w:hAnsi="Arial"/>
            <w:sz w:val="18"/>
            <w:szCs w:val="18"/>
            <w:u w:val="single" w:color="auto"/>
            <w:color w:val="0000EE"/>
          </w:rPr>
          <w:t>Executive Retention Agreement entered between the Company and Cecil N. Smith III dated June 14, 2021</w:t>
        </w:r>
      </w:hyperlink>
    </w:p>
    <w:p>
      <w:pPr>
        <w:spacing w:after="0" w:line="50" w:lineRule="exact"/>
        <w:rPr>
          <w:sz w:val="20"/>
          <w:szCs w:val="20"/>
          <w:color w:val="auto"/>
        </w:rPr>
      </w:pPr>
    </w:p>
    <w:p>
      <w:pPr>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Letter Agreement between the Company and Thomas L. Thimot dated June 14,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-121920</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rFonts w:ascii="Arial" w:cs="Arial" w:eastAsia="Arial" w:hAnsi="Arial"/>
          <w:sz w:val="18"/>
          <w:szCs w:val="18"/>
          <w:u w:val="single" w:color="auto"/>
          <w:color w:val="0000EE"/>
        </w:rPr>
      </w:pPr>
      <w:hyperlink r:id="rId55">
        <w:r>
          <w:rPr>
            <w:rFonts w:ascii="Arial" w:cs="Arial" w:eastAsia="Arial" w:hAnsi="Arial"/>
            <w:sz w:val="18"/>
            <w:szCs w:val="18"/>
            <w:u w:val="single" w:color="auto"/>
            <w:color w:val="0000EE"/>
          </w:rPr>
          <w:t>Letter Agreement between the Company and Cecil N. Smith III dated June 14, 2021</w:t>
        </w:r>
      </w:hyperlink>
    </w:p>
    <w:p>
      <w:pPr>
        <w:spacing w:after="0" w:line="50" w:lineRule="exact"/>
        <w:rPr>
          <w:sz w:val="20"/>
          <w:szCs w:val="20"/>
          <w:color w:val="auto"/>
        </w:rPr>
      </w:pPr>
    </w:p>
    <w:p>
      <w:pPr>
        <w:ind w:right="2100"/>
        <w:spacing w:after="0" w:line="291" w:lineRule="auto"/>
        <w:rPr>
          <w:rFonts w:ascii="Arial" w:cs="Arial" w:eastAsia="Arial" w:hAnsi="Arial"/>
          <w:sz w:val="16"/>
          <w:szCs w:val="16"/>
          <w:u w:val="single" w:color="auto"/>
          <w:color w:val="0000EE"/>
        </w:rPr>
      </w:pPr>
      <w:hyperlink w:anchor="page34">
        <w:r>
          <w:rPr>
            <w:rFonts w:ascii="Arial" w:cs="Arial" w:eastAsia="Arial" w:hAnsi="Arial"/>
            <w:sz w:val="16"/>
            <w:szCs w:val="16"/>
            <w:u w:val="single" w:color="auto"/>
            <w:color w:val="0000EE"/>
          </w:rPr>
          <w:t>Certification of Chief Executive Officer pursuant to Rule 13a-14(a)/15d-14(a) of the Securities Exchange Act</w:t>
        </w:r>
      </w:hyperlink>
      <w:r>
        <w:rPr>
          <w:rFonts w:ascii="Arial" w:cs="Arial" w:eastAsia="Arial" w:hAnsi="Arial"/>
          <w:sz w:val="16"/>
          <w:szCs w:val="16"/>
          <w:u w:val="single" w:color="auto"/>
          <w:color w:val="0000EE"/>
        </w:rPr>
        <w:t xml:space="preserve"> </w:t>
      </w:r>
      <w:hyperlink w:anchor="page35">
        <w:r>
          <w:rPr>
            <w:rFonts w:ascii="Arial" w:cs="Arial" w:eastAsia="Arial" w:hAnsi="Arial"/>
            <w:sz w:val="16"/>
            <w:szCs w:val="16"/>
            <w:u w:val="single" w:color="auto"/>
            <w:color w:val="0000EE"/>
          </w:rPr>
          <w:t>Certification of Chief Financial Officer pursuant to Rule 13a-14(a)/15d-14(a) of the Securities Exchange Act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-273685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0</wp:posOffset>
            </wp:positionV>
            <wp:extent cx="71323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50" w:lineRule="auto"/>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Certification of Chief Executive Officer and Chief Financial Officer pursuant to 18 U.S.C. §1350, as adopted pursuant to Section 906 of</w:t>
        </w:r>
      </w:hyperlink>
      <w:r>
        <w:rPr>
          <w:rFonts w:ascii="Arial" w:cs="Arial" w:eastAsia="Arial" w:hAnsi="Arial"/>
          <w:sz w:val="18"/>
          <w:szCs w:val="18"/>
          <w:u w:val="single" w:color="auto"/>
          <w:color w:val="0000EE"/>
        </w:rPr>
        <w:t xml:space="preserve"> </w:t>
      </w:r>
      <w:hyperlink w:anchor="page36">
        <w:r>
          <w:rPr>
            <w:rFonts w:ascii="Arial" w:cs="Arial" w:eastAsia="Arial" w:hAnsi="Arial"/>
            <w:sz w:val="18"/>
            <w:szCs w:val="18"/>
            <w:u w:val="single" w:color="auto"/>
            <w:color w:val="0000EE"/>
          </w:rPr>
          <w:t>the Sarbanes-Oxley Act of 2002</w:t>
        </w:r>
      </w:hyperlink>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XBRL Taxonomy Extension Schema Document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 Document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XBRL Taxonomy Extension Definition Linkbase Document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Label Linkbase Document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5715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XBRL Taxonomy Extension Presentation Linkbase Document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680" w:space="580"/>
            <w:col w:w="9980"/>
          </w:cols>
          <w:pgMar w:left="320" w:top="877" w:right="339" w:bottom="1440" w:gutter="0" w:footer="0" w:header="0"/>
          <w:type w:val="continuous"/>
        </w:sectPr>
      </w:pPr>
    </w:p>
    <w:p>
      <w:pPr>
        <w:spacing w:after="0" w:line="1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5540" w:right="1920" w:hanging="5532"/>
        <w:spacing w:after="0" w:line="778" w:lineRule="auto"/>
        <w:tabs>
          <w:tab w:leader="none" w:pos="33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Form 8-K Current Report filed with the Securities Exchange Commission on June 15, 2021.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IPSIDY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Thomas Thimot, Chief Executive Officer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Thomas Thimot, Chief Executive Officer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Ipsidy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6"/>
          <w:szCs w:val="16"/>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Thomas Thimot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Stuart Stoller Chief Financial Officer,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Ipsidy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46"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 August 5, 2021</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Ipsidy Inc. (the “Company”) on Form 10-Q for the quarter ended June 30, 2021as filed with the Securities and Exchange Commission (the “Report”), I, Philip Kumnick, Chairman of the Board of Directors, Chief Executive Officer and President of the Company, and, Stuart Stoller, Chief Financial Officer of the Company, certify, pursuant to 18 U.S.C. SS. 1350, as adopted pursuant to SS. 906 of the Sarbanes-Oxley Act of 2002, that:</w:t>
      </w:r>
    </w:p>
    <w:p>
      <w:pPr>
        <w:spacing w:after="0" w:line="18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7"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August 5, 2021</w:t>
      </w:r>
      <w:r>
        <w:rPr>
          <w:sz w:val="20"/>
          <w:szCs w:val="20"/>
          <w:color w:val="auto"/>
        </w:rPr>
        <w:tab/>
      </w:r>
      <w:r>
        <w:rPr>
          <w:rFonts w:ascii="Arial" w:cs="Arial" w:eastAsia="Arial" w:hAnsi="Arial"/>
          <w:sz w:val="16"/>
          <w:szCs w:val="16"/>
          <w:color w:val="auto"/>
        </w:rPr>
        <w:t>/s/ Thomas Thimot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Thomas Thimot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August 5, 2021</w:t>
      </w:r>
      <w:r>
        <w:rPr>
          <w:sz w:val="20"/>
          <w:szCs w:val="20"/>
          <w:color w:val="auto"/>
        </w:rPr>
        <w:tab/>
      </w:r>
      <w:r>
        <w:rPr>
          <w:rFonts w:ascii="Arial" w:cs="Arial" w:eastAsia="Arial" w:hAnsi="Arial"/>
          <w:sz w:val="16"/>
          <w:szCs w:val="16"/>
          <w:color w:val="auto"/>
        </w:rPr>
        <w:t>/s/ Stuart Stoller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Stuart Stoller, Chief Financial Officer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upperLetter"/>
      <w:start w:val="6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3"/>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9"/>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8" Type="http://schemas.openxmlformats.org/officeDocument/2006/relationships/image" Target="media/image38.png"/><Relationship Id="rId51" Type="http://schemas.openxmlformats.org/officeDocument/2006/relationships/image" Target="media/image39.png"/><Relationship Id="rId54"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45" Type="http://schemas.openxmlformats.org/officeDocument/2006/relationships/hyperlink" Target="http://www.sec.gov/Archives/edgar/data/1534154/000121390021032569/ea142763ex3-1_ipsidyinc.htm" TargetMode="External"/><Relationship Id="rId46" Type="http://schemas.openxmlformats.org/officeDocument/2006/relationships/hyperlink" Target="http://www.sec.gov/Archives/edgar/data/1534154/000121390021032569/ea142763ex4-1_ipsidyinc.htm" TargetMode="External"/><Relationship Id="rId47" Type="http://schemas.openxmlformats.org/officeDocument/2006/relationships/hyperlink" Target="http://www.sec.gov/Archives/edgar/data/1534154/000121390021032569/ea142763ex10-6_ipsidyinc.htm" TargetMode="External"/><Relationship Id="rId49" Type="http://schemas.openxmlformats.org/officeDocument/2006/relationships/hyperlink" Target="http://www.sec.gov/Archives/edgar/data/1534154/000121390021032569/ea142763ex10-5_ipsidyinc.htm" TargetMode="External"/><Relationship Id="rId50" Type="http://schemas.openxmlformats.org/officeDocument/2006/relationships/hyperlink" Target="http://www.sec.gov/Archives/edgar/data/1534154/000121390021032569/ea142763ex10-1_ipsidyinc.htm" TargetMode="External"/><Relationship Id="rId52" Type="http://schemas.openxmlformats.org/officeDocument/2006/relationships/hyperlink" Target="http://www.sec.gov/Archives/edgar/data/1534154/000121390021032569/ea142763ex10-2_ipsidyinc.htm" TargetMode="External"/><Relationship Id="rId53" Type="http://schemas.openxmlformats.org/officeDocument/2006/relationships/hyperlink" Target="http://www.sec.gov/Archives/edgar/data/1534154/000121390021032569/ea142763ex10-3_ipsidyinc.htm" TargetMode="External"/><Relationship Id="rId55" Type="http://schemas.openxmlformats.org/officeDocument/2006/relationships/hyperlink" Target="http://www.sec.gov/Archives/edgar/data/1534154/000121390021032569/ea142763ex10-4_ipsidy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2021-08-05T05:58:21Z</dcterms:created>
  <dcterms:modified xsi:type="dcterms:W3CDTF">2021-08-05T05:58:21Z</dcterms:modified>
</cp:coreProperties>
</file>