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720" w:right="0" w:hanging="720"/>
        <w:jc w:val="left"/>
        <w:rPr>
          <w:caps w:val="false"/>
          <w:smallCaps w:val="false"/>
          <w:bdr w:val="single" w:sz="16" w:space="1" w:color="000000"/>
        </w:rPr>
      </w:pPr>
      <w:bookmarkStart w:id="0" w:name="ea0205258-10q_authid.htm"/>
      <w:bookmarkStart w:id="1" w:name="ksea020525810q_authid"/>
      <w:bookmarkEnd w:id="0"/>
      <w:bookmarkEnd w:id="1"/>
      <w:r>
        <w:rPr>
          <w:caps w:val="false"/>
          <w:smallCaps w:val="false"/>
          <w:bdr w:val="single" w:sz="16" w:space="1" w:color="000000"/>
        </w:rPr>
        <w:t> </w:t>
      </w:r>
    </w:p>
    <w:p>
      <w:pPr>
        <w:pStyle w:val="TextBody"/>
        <w:bidi w:val="0"/>
        <w:spacing w:before="0" w:after="0"/>
        <w:ind w:left="720" w:right="0" w:hanging="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10-Q</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 One)</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QUARTERLY REPORT UNDER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quarterly period ended March 31, 2024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TRANSITION REPORT 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transition period from               to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 001-40747</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3257550" cy="25336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257550" cy="253365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authID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4090" w:type="dxa"/>
        <w:jc w:val="left"/>
        <w:tblInd w:w="0" w:type="dxa"/>
        <w:tblLayout w:type="fixed"/>
        <w:tblCellMar>
          <w:top w:w="0" w:type="dxa"/>
          <w:left w:w="0" w:type="dxa"/>
          <w:bottom w:w="28" w:type="dxa"/>
          <w:right w:w="0" w:type="dxa"/>
        </w:tblCellMar>
      </w:tblPr>
      <w:tblGrid>
        <w:gridCol w:w="2495"/>
        <w:gridCol w:w="60"/>
        <w:gridCol w:w="1535"/>
      </w:tblGrid>
      <w:tr>
        <w:trPr/>
        <w:tc>
          <w:tcPr>
            <w:tcW w:w="2495" w:type="dxa"/>
            <w:tcBorders>
              <w:bottom w:val="single" w:sz="12" w:space="0" w:color="000000"/>
            </w:tcBorders>
            <w:vAlign w:val="center"/>
          </w:tcPr>
          <w:p>
            <w:pPr>
              <w:pStyle w:val="TableContents"/>
              <w:bidi w:val="0"/>
              <w:spacing w:before="0" w:after="283"/>
              <w:jc w:val="center"/>
              <w:rPr>
                <w:sz w:val="20"/>
              </w:rPr>
            </w:pPr>
            <w:r>
              <w:rPr>
                <w:sz w:val="20"/>
              </w:rPr>
              <w:t>Delaware</w:t>
            </w:r>
          </w:p>
        </w:tc>
        <w:tc>
          <w:tcPr>
            <w:tcW w:w="60" w:type="dxa"/>
            <w:tcBorders/>
            <w:tcMar>
              <w:bottom w:w="0" w:type="dxa"/>
            </w:tcMar>
            <w:vAlign w:val="center"/>
          </w:tcPr>
          <w:p>
            <w:pPr>
              <w:pStyle w:val="TableContents"/>
              <w:bidi w:val="0"/>
              <w:spacing w:before="0" w:after="283"/>
              <w:jc w:val="left"/>
              <w:rPr/>
            </w:pPr>
            <w:r>
              <w:rPr/>
              <w:t> </w:t>
            </w:r>
          </w:p>
        </w:tc>
        <w:tc>
          <w:tcPr>
            <w:tcW w:w="1535" w:type="dxa"/>
            <w:tcBorders>
              <w:bottom w:val="single" w:sz="12" w:space="0" w:color="000000"/>
            </w:tcBorders>
            <w:vAlign w:val="center"/>
          </w:tcPr>
          <w:p>
            <w:pPr>
              <w:pStyle w:val="TableContents"/>
              <w:bidi w:val="0"/>
              <w:spacing w:before="0" w:after="283"/>
              <w:jc w:val="center"/>
              <w:rPr>
                <w:sz w:val="20"/>
              </w:rPr>
            </w:pPr>
            <w:r>
              <w:rPr>
                <w:sz w:val="20"/>
              </w:rPr>
              <w:t>46-2069547</w:t>
            </w:r>
          </w:p>
        </w:tc>
      </w:tr>
      <w:tr>
        <w:trPr/>
        <w:tc>
          <w:tcPr>
            <w:tcW w:w="249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incorporation or organization)</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283"/>
              <w:jc w:val="center"/>
              <w:rPr>
                <w:sz w:val="20"/>
              </w:rPr>
            </w:pPr>
            <w:r>
              <w:rPr>
                <w:sz w:val="20"/>
              </w:rPr>
              <w:t xml:space="preserve">(I.R.S. Employer </w:t>
              <w:b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1580 North Logan Street, Suite 660, Unit 51767,</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Denver, CO 80203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516-274-8700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former address and former fiscal year,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center"/>
        <w:rPr>
          <w:caps w:val="false"/>
          <w:smallCaps w:val="false"/>
        </w:rPr>
      </w:pPr>
      <w:r>
        <w:rPr>
          <w:caps w:val="false"/>
          <w:smallCaps w:val="false"/>
        </w:rPr>
        <w:t> </w:t>
      </w:r>
    </w:p>
    <w:tbl>
      <w:tblPr>
        <w:tblW w:w="8625" w:type="dxa"/>
        <w:jc w:val="left"/>
        <w:tblInd w:w="0" w:type="dxa"/>
        <w:tblLayout w:type="fixed"/>
        <w:tblCellMar>
          <w:top w:w="0" w:type="dxa"/>
          <w:left w:w="0" w:type="dxa"/>
          <w:bottom w:w="28" w:type="dxa"/>
          <w:right w:w="0" w:type="dxa"/>
        </w:tblCellMar>
      </w:tblPr>
      <w:tblGrid>
        <w:gridCol w:w="3575"/>
        <w:gridCol w:w="60"/>
        <w:gridCol w:w="1340"/>
        <w:gridCol w:w="60"/>
        <w:gridCol w:w="3590"/>
      </w:tblGrid>
      <w:tr>
        <w:trPr/>
        <w:tc>
          <w:tcPr>
            <w:tcW w:w="3575" w:type="dxa"/>
            <w:tcBorders>
              <w:bottom w:val="single" w:sz="12" w:space="0" w:color="000000"/>
            </w:tcBorders>
            <w:vAlign w:val="center"/>
          </w:tcPr>
          <w:p>
            <w:pPr>
              <w:pStyle w:val="TableContents"/>
              <w:bidi w:val="0"/>
              <w:spacing w:before="0" w:after="283"/>
              <w:jc w:val="center"/>
              <w:rPr>
                <w:sz w:val="20"/>
              </w:rPr>
            </w:pPr>
            <w:r>
              <w:rPr>
                <w:sz w:val="20"/>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340" w:type="dxa"/>
            <w:tcBorders>
              <w:bottom w:val="single" w:sz="12" w:space="0" w:color="000000"/>
            </w:tcBorders>
            <w:vAlign w:val="center"/>
          </w:tcPr>
          <w:p>
            <w:pPr>
              <w:pStyle w:val="TableContents"/>
              <w:bidi w:val="0"/>
              <w:spacing w:before="0" w:after="283"/>
              <w:jc w:val="center"/>
              <w:rPr>
                <w:sz w:val="20"/>
              </w:rPr>
            </w:pPr>
            <w:r>
              <w:rPr>
                <w:sz w:val="20"/>
              </w:rPr>
              <w:t>Trading Symbol</w:t>
            </w:r>
          </w:p>
        </w:tc>
        <w:tc>
          <w:tcPr>
            <w:tcW w:w="60" w:type="dxa"/>
            <w:tcBorders/>
            <w:tcMar>
              <w:bottom w:w="0" w:type="dxa"/>
            </w:tcMar>
            <w:vAlign w:val="center"/>
          </w:tcPr>
          <w:p>
            <w:pPr>
              <w:pStyle w:val="TableContents"/>
              <w:bidi w:val="0"/>
              <w:spacing w:before="0" w:after="283"/>
              <w:jc w:val="center"/>
              <w:rPr/>
            </w:pPr>
            <w:r>
              <w:rPr/>
              <w:t> </w:t>
            </w:r>
          </w:p>
        </w:tc>
        <w:tc>
          <w:tcPr>
            <w:tcW w:w="3590" w:type="dxa"/>
            <w:tcBorders>
              <w:bottom w:val="single" w:sz="12" w:space="0" w:color="000000"/>
            </w:tcBorders>
            <w:vAlign w:val="center"/>
          </w:tcPr>
          <w:p>
            <w:pPr>
              <w:pStyle w:val="TableContents"/>
              <w:bidi w:val="0"/>
              <w:spacing w:before="0" w:after="283"/>
              <w:jc w:val="center"/>
              <w:rPr>
                <w:sz w:val="20"/>
              </w:rPr>
            </w:pPr>
            <w:r>
              <w:rPr>
                <w:sz w:val="20"/>
              </w:rPr>
              <w:t>Name of each exchange on which registered</w:t>
            </w:r>
          </w:p>
        </w:tc>
      </w:tr>
      <w:tr>
        <w:trPr/>
        <w:tc>
          <w:tcPr>
            <w:tcW w:w="3575" w:type="dxa"/>
            <w:tcBorders/>
            <w:shd w:fill="CCEEFF" w:val="clear"/>
            <w:tcMar>
              <w:bottom w:w="0" w:type="dxa"/>
            </w:tcMar>
            <w:vAlign w:val="center"/>
          </w:tcPr>
          <w:p>
            <w:pPr>
              <w:pStyle w:val="TableContents"/>
              <w:bidi w:val="0"/>
              <w:spacing w:before="0" w:after="283"/>
              <w:jc w:val="center"/>
              <w:rPr>
                <w:sz w:val="20"/>
              </w:rPr>
            </w:pPr>
            <w:r>
              <w:rPr>
                <w:sz w:val="20"/>
              </w:rPr>
              <w:t>Common Stock par value $0.0001 per share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340" w:type="dxa"/>
            <w:tcBorders/>
            <w:shd w:fill="CCEEFF" w:val="clear"/>
            <w:tcMar>
              <w:bottom w:w="0" w:type="dxa"/>
            </w:tcMar>
            <w:vAlign w:val="center"/>
          </w:tcPr>
          <w:p>
            <w:pPr>
              <w:pStyle w:val="TableContents"/>
              <w:bidi w:val="0"/>
              <w:spacing w:before="0" w:after="283"/>
              <w:jc w:val="center"/>
              <w:rPr>
                <w:sz w:val="20"/>
              </w:rPr>
            </w:pPr>
            <w:r>
              <w:rPr>
                <w:sz w:val="20"/>
              </w:rPr>
              <w:t>AUID</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3590" w:type="dxa"/>
            <w:tcBorders/>
            <w:shd w:fill="CCEEFF" w:val="clear"/>
            <w:tcMar>
              <w:bottom w:w="0" w:type="dxa"/>
            </w:tcMar>
            <w:vAlign w:val="center"/>
          </w:tcPr>
          <w:p>
            <w:pPr>
              <w:pStyle w:val="TableContents"/>
              <w:bidi w:val="0"/>
              <w:spacing w:before="0" w:after="283"/>
              <w:jc w:val="center"/>
              <w:rPr>
                <w:sz w:val="20"/>
              </w:rPr>
            </w:pPr>
            <w:r>
              <w:rPr>
                <w:sz w:val="20"/>
              </w:rPr>
              <w:t>The NASDAQ Stock Market LLC</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before="0" w:after="0"/>
        <w:ind w:left="94" w:right="94"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Yes ☐ No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pStyle w:val="TextBody"/>
        <w:bidi w:val="0"/>
        <w:spacing w:before="0" w:after="0"/>
        <w:ind w:left="94" w:right="94"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Yes ☐ No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center"/>
        <w:rPr>
          <w:caps w:val="false"/>
          <w:smallCaps w:val="false"/>
        </w:rPr>
      </w:pPr>
      <w:r>
        <w:rPr>
          <w:caps w:val="false"/>
          <w:smallCaps w:val="false"/>
        </w:rPr>
        <w:t> </w:t>
      </w:r>
    </w:p>
    <w:tbl>
      <w:tblPr>
        <w:tblW w:w="4615" w:type="dxa"/>
        <w:jc w:val="left"/>
        <w:tblInd w:w="0" w:type="dxa"/>
        <w:tblLayout w:type="fixed"/>
        <w:tblCellMar>
          <w:top w:w="0" w:type="dxa"/>
          <w:left w:w="0" w:type="dxa"/>
          <w:bottom w:w="0" w:type="dxa"/>
          <w:right w:w="0" w:type="dxa"/>
        </w:tblCellMar>
      </w:tblPr>
      <w:tblGrid>
        <w:gridCol w:w="2105"/>
        <w:gridCol w:w="2510"/>
      </w:tblGrid>
      <w:tr>
        <w:trPr/>
        <w:tc>
          <w:tcPr>
            <w:tcW w:w="2105" w:type="dxa"/>
            <w:tcBorders/>
            <w:vAlign w:val="center"/>
          </w:tcPr>
          <w:p>
            <w:pPr>
              <w:pStyle w:val="TableContents"/>
              <w:bidi w:val="0"/>
              <w:spacing w:before="0" w:after="283"/>
              <w:jc w:val="left"/>
              <w:rPr>
                <w:sz w:val="20"/>
              </w:rPr>
            </w:pPr>
            <w:r>
              <w:rPr>
                <w:sz w:val="20"/>
              </w:rPr>
              <w:t>Large Accelerated filer ☐</w:t>
            </w:r>
          </w:p>
        </w:tc>
        <w:tc>
          <w:tcPr>
            <w:tcW w:w="2510" w:type="dxa"/>
            <w:tcBorders/>
            <w:vAlign w:val="center"/>
          </w:tcPr>
          <w:p>
            <w:pPr>
              <w:pStyle w:val="TableContents"/>
              <w:bidi w:val="0"/>
              <w:spacing w:before="0" w:after="283"/>
              <w:jc w:val="left"/>
              <w:rPr>
                <w:sz w:val="20"/>
              </w:rPr>
            </w:pPr>
            <w:r>
              <w:rPr>
                <w:sz w:val="20"/>
              </w:rPr>
              <w:t>Accelerated filer ☐</w:t>
            </w:r>
          </w:p>
        </w:tc>
      </w:tr>
      <w:tr>
        <w:trPr/>
        <w:tc>
          <w:tcPr>
            <w:tcW w:w="2105" w:type="dxa"/>
            <w:tcBorders/>
            <w:vAlign w:val="center"/>
          </w:tcPr>
          <w:p>
            <w:pPr>
              <w:pStyle w:val="TableContents"/>
              <w:bidi w:val="0"/>
              <w:spacing w:before="0" w:after="283"/>
              <w:jc w:val="left"/>
              <w:rPr>
                <w:sz w:val="20"/>
              </w:rPr>
            </w:pPr>
            <w:r>
              <w:rPr>
                <w:sz w:val="20"/>
              </w:rPr>
              <w:t>Non-accelerated filer ☒</w:t>
            </w:r>
          </w:p>
        </w:tc>
        <w:tc>
          <w:tcPr>
            <w:tcW w:w="2510" w:type="dxa"/>
            <w:tcBorders/>
            <w:vAlign w:val="center"/>
          </w:tcPr>
          <w:p>
            <w:pPr>
              <w:pStyle w:val="TableContents"/>
              <w:bidi w:val="0"/>
              <w:spacing w:before="0" w:after="283"/>
              <w:jc w:val="left"/>
              <w:rPr>
                <w:sz w:val="20"/>
              </w:rPr>
            </w:pPr>
            <w:r>
              <w:rPr>
                <w:sz w:val="20"/>
              </w:rPr>
              <w:t>Smaller reporting company ☒</w:t>
            </w:r>
          </w:p>
        </w:tc>
      </w:tr>
      <w:tr>
        <w:trPr/>
        <w:tc>
          <w:tcPr>
            <w:tcW w:w="2105" w:type="dxa"/>
            <w:tcBorders/>
            <w:vAlign w:val="center"/>
          </w:tcPr>
          <w:p>
            <w:pPr>
              <w:pStyle w:val="TableContents"/>
              <w:bidi w:val="0"/>
              <w:spacing w:before="0" w:after="283"/>
              <w:jc w:val="left"/>
              <w:rPr/>
            </w:pPr>
            <w:r>
              <w:rPr/>
              <w:t> </w:t>
            </w:r>
          </w:p>
        </w:tc>
        <w:tc>
          <w:tcPr>
            <w:tcW w:w="2510" w:type="dxa"/>
            <w:tcBorders/>
            <w:vAlign w:val="center"/>
          </w:tcPr>
          <w:p>
            <w:pPr>
              <w:pStyle w:val="TableContents"/>
              <w:bidi w:val="0"/>
              <w:spacing w:before="0" w:after="283"/>
              <w:jc w:val="left"/>
              <w:rPr>
                <w:sz w:val="20"/>
              </w:rPr>
            </w:pPr>
            <w:r>
              <w:rPr>
                <w:sz w:val="20"/>
              </w:rPr>
              <w:t>Emerging growth Company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shell company (as defined in Rule 12b-2 of the Exchange Act).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 ☐ No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the number of shares outstanding of each of the issuer’s classes of common stock as of the latest practicable date.</w:t>
      </w:r>
    </w:p>
    <w:p>
      <w:pPr>
        <w:pStyle w:val="TextBody"/>
        <w:bidi w:val="0"/>
        <w:spacing w:before="0" w:after="0"/>
        <w:ind w:left="0" w:right="0" w:hanging="0"/>
        <w:jc w:val="center"/>
        <w:rPr>
          <w:caps w:val="false"/>
          <w:smallCaps w:val="false"/>
        </w:rPr>
      </w:pPr>
      <w:r>
        <w:rPr>
          <w:caps w:val="false"/>
          <w:smallCaps w:val="false"/>
        </w:rPr>
        <w:t> </w:t>
      </w:r>
    </w:p>
    <w:tbl>
      <w:tblPr>
        <w:tblW w:w="5605" w:type="dxa"/>
        <w:jc w:val="left"/>
        <w:tblInd w:w="0" w:type="dxa"/>
        <w:tblLayout w:type="fixed"/>
        <w:tblCellMar>
          <w:top w:w="0" w:type="dxa"/>
          <w:left w:w="0" w:type="dxa"/>
          <w:bottom w:w="28" w:type="dxa"/>
          <w:right w:w="0" w:type="dxa"/>
        </w:tblCellMar>
      </w:tblPr>
      <w:tblGrid>
        <w:gridCol w:w="3125"/>
        <w:gridCol w:w="60"/>
        <w:gridCol w:w="2420"/>
      </w:tblGrid>
      <w:tr>
        <w:trPr/>
        <w:tc>
          <w:tcPr>
            <w:tcW w:w="3125" w:type="dxa"/>
            <w:tcBorders>
              <w:bottom w:val="single" w:sz="12" w:space="0" w:color="000000"/>
            </w:tcBorders>
            <w:vAlign w:val="center"/>
          </w:tcPr>
          <w:p>
            <w:pPr>
              <w:pStyle w:val="TableContents"/>
              <w:bidi w:val="0"/>
              <w:spacing w:before="0" w:after="283"/>
              <w:jc w:val="center"/>
              <w:rPr>
                <w:sz w:val="20"/>
              </w:rPr>
            </w:pPr>
            <w:r>
              <w:rPr>
                <w:sz w:val="20"/>
              </w:rPr>
              <w:t>Class</w:t>
            </w:r>
          </w:p>
        </w:tc>
        <w:tc>
          <w:tcPr>
            <w:tcW w:w="60" w:type="dxa"/>
            <w:tcBorders/>
            <w:tcMar>
              <w:bottom w:w="0" w:type="dxa"/>
            </w:tcMar>
            <w:vAlign w:val="center"/>
          </w:tcPr>
          <w:p>
            <w:pPr>
              <w:pStyle w:val="TableContents"/>
              <w:bidi w:val="0"/>
              <w:spacing w:before="0" w:after="283"/>
              <w:jc w:val="center"/>
              <w:rPr/>
            </w:pPr>
            <w:r>
              <w:rPr/>
              <w:t> </w:t>
            </w:r>
          </w:p>
        </w:tc>
        <w:tc>
          <w:tcPr>
            <w:tcW w:w="2420" w:type="dxa"/>
            <w:tcBorders>
              <w:bottom w:val="single" w:sz="12" w:space="0" w:color="000000"/>
            </w:tcBorders>
            <w:vAlign w:val="center"/>
          </w:tcPr>
          <w:p>
            <w:pPr>
              <w:pStyle w:val="TableContents"/>
              <w:bidi w:val="0"/>
              <w:spacing w:before="0" w:after="283"/>
              <w:jc w:val="center"/>
              <w:rPr>
                <w:sz w:val="20"/>
              </w:rPr>
            </w:pPr>
            <w:r>
              <w:rPr>
                <w:sz w:val="20"/>
              </w:rPr>
              <w:t>Outstanding at May 10, 2024</w:t>
            </w:r>
          </w:p>
        </w:tc>
      </w:tr>
      <w:tr>
        <w:trPr/>
        <w:tc>
          <w:tcPr>
            <w:tcW w:w="3125" w:type="dxa"/>
            <w:tcBorders/>
            <w:shd w:fill="CCEEFF" w:val="clear"/>
            <w:tcMar>
              <w:bottom w:w="0" w:type="dxa"/>
            </w:tcMar>
            <w:vAlign w:val="center"/>
          </w:tcPr>
          <w:p>
            <w:pPr>
              <w:pStyle w:val="TableContents"/>
              <w:bidi w:val="0"/>
              <w:spacing w:before="0" w:after="283"/>
              <w:jc w:val="center"/>
              <w:rPr>
                <w:sz w:val="20"/>
              </w:rPr>
            </w:pPr>
            <w:r>
              <w:rPr>
                <w:sz w:val="20"/>
              </w:rPr>
              <w:t>Common Stock, par value $0.0001</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2420" w:type="dxa"/>
            <w:tcBorders/>
            <w:shd w:fill="CCEEFF" w:val="clear"/>
            <w:tcMar>
              <w:bottom w:w="0" w:type="dxa"/>
            </w:tcMar>
            <w:vAlign w:val="center"/>
          </w:tcPr>
          <w:p>
            <w:pPr>
              <w:pStyle w:val="TableContents"/>
              <w:bidi w:val="0"/>
              <w:spacing w:before="0" w:after="283"/>
              <w:jc w:val="center"/>
              <w:rPr>
                <w:sz w:val="20"/>
              </w:rPr>
            </w:pPr>
            <w:r>
              <w:rPr>
                <w:sz w:val="20"/>
              </w:rPr>
              <w:t>9,450,220 shares</w:t>
            </w:r>
          </w:p>
        </w:tc>
      </w:tr>
      <w:tr>
        <w:trPr/>
        <w:tc>
          <w:tcPr>
            <w:tcW w:w="3125" w:type="dxa"/>
            <w:tcBorders/>
            <w:tcMar>
              <w:bottom w:w="0" w:type="dxa"/>
            </w:tcMar>
            <w:vAlign w:val="center"/>
          </w:tcPr>
          <w:p>
            <w:pPr>
              <w:pStyle w:val="TableContents"/>
              <w:bidi w:val="0"/>
              <w:spacing w:before="0" w:after="283"/>
              <w:jc w:val="center"/>
              <w:rPr>
                <w:sz w:val="20"/>
              </w:rPr>
            </w:pPr>
            <w:r>
              <w:rPr>
                <w:sz w:val="20"/>
              </w:rPr>
              <w:t>Documents incorporated by reference:</w:t>
            </w:r>
          </w:p>
        </w:tc>
        <w:tc>
          <w:tcPr>
            <w:tcW w:w="60" w:type="dxa"/>
            <w:tcBorders/>
            <w:tcMar>
              <w:bottom w:w="0" w:type="dxa"/>
            </w:tcMar>
            <w:vAlign w:val="center"/>
          </w:tcPr>
          <w:p>
            <w:pPr>
              <w:pStyle w:val="TableContents"/>
              <w:bidi w:val="0"/>
              <w:spacing w:before="0" w:after="283"/>
              <w:jc w:val="center"/>
              <w:rPr/>
            </w:pPr>
            <w:r>
              <w:rPr/>
              <w:t> </w:t>
            </w:r>
          </w:p>
        </w:tc>
        <w:tc>
          <w:tcPr>
            <w:tcW w:w="2420" w:type="dxa"/>
            <w:tcBorders/>
            <w:tcMar>
              <w:bottom w:w="0" w:type="dxa"/>
            </w:tcMar>
            <w:vAlign w:val="center"/>
          </w:tcPr>
          <w:p>
            <w:pPr>
              <w:pStyle w:val="TableContents"/>
              <w:bidi w:val="0"/>
              <w:spacing w:before="0" w:after="283"/>
              <w:jc w:val="center"/>
              <w:rPr>
                <w:sz w:val="20"/>
              </w:rPr>
            </w:pPr>
            <w:r>
              <w:rPr>
                <w:sz w:val="20"/>
              </w:rPr>
              <w:t>None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418"/>
        <w:gridCol w:w="60"/>
        <w:gridCol w:w="727"/>
      </w:tblGrid>
      <w:tr>
        <w:trPr/>
        <w:tc>
          <w:tcPr>
            <w:tcW w:w="9418"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center"/>
              <w:rPr/>
            </w:pPr>
            <w:r>
              <w:rPr/>
              <w:t> </w:t>
            </w:r>
          </w:p>
        </w:tc>
        <w:tc>
          <w:tcPr>
            <w:tcW w:w="727" w:type="dxa"/>
            <w:tcBorders>
              <w:bottom w:val="single" w:sz="12" w:space="0" w:color="000000"/>
            </w:tcBorders>
            <w:tcMar>
              <w:bottom w:w="28" w:type="dxa"/>
            </w:tcMar>
            <w:vAlign w:val="center"/>
          </w:tcPr>
          <w:p>
            <w:pPr>
              <w:pStyle w:val="TableContents"/>
              <w:bidi w:val="0"/>
              <w:spacing w:before="0" w:after="283"/>
              <w:ind w:left="0" w:right="0" w:hanging="180"/>
              <w:jc w:val="center"/>
              <w:rPr>
                <w:b/>
                <w:sz w:val="20"/>
              </w:rPr>
            </w:pPr>
            <w:r>
              <w:rPr>
                <w:b/>
                <w:sz w:val="20"/>
              </w:rPr>
              <w:t>Page No.</w:t>
            </w:r>
          </w:p>
        </w:tc>
      </w:tr>
      <w:tr>
        <w:trPr/>
        <w:tc>
          <w:tcPr>
            <w:tcW w:w="9418" w:type="dxa"/>
            <w:tcBorders/>
            <w:shd w:fill="CCEEFF" w:val="clear"/>
            <w:vAlign w:val="center"/>
          </w:tcPr>
          <w:p>
            <w:pPr>
              <w:pStyle w:val="TableContents"/>
              <w:bidi w:val="0"/>
              <w:spacing w:before="0" w:after="283"/>
              <w:jc w:val="center"/>
              <w:rPr/>
            </w:pPr>
            <w:hyperlink w:anchor="a_001">
              <w:r>
                <w:rPr>
                  <w:rStyle w:val="InternetLink"/>
                  <w:b/>
                  <w:sz w:val="20"/>
                </w:rPr>
                <w:t>PART I – FINANCIAL INFORMATION</w:t>
              </w:r>
            </w:hyperlink>
          </w:p>
        </w:tc>
        <w:tc>
          <w:tcPr>
            <w:tcW w:w="60" w:type="dxa"/>
            <w:tcBorders/>
            <w:shd w:fill="CCEEFF" w:val="clear"/>
            <w:vAlign w:val="center"/>
          </w:tcPr>
          <w:p>
            <w:pPr>
              <w:pStyle w:val="TableContents"/>
              <w:bidi w:val="0"/>
              <w:spacing w:before="0" w:after="283"/>
              <w:jc w:val="center"/>
              <w:rPr/>
            </w:pPr>
            <w:r>
              <w:rPr/>
              <w:t> </w:t>
            </w:r>
          </w:p>
        </w:tc>
        <w:tc>
          <w:tcPr>
            <w:tcW w:w="727" w:type="dxa"/>
            <w:tcBorders/>
            <w:shd w:fill="CCEEFF" w:val="clear"/>
            <w:vAlign w:val="center"/>
          </w:tcPr>
          <w:p>
            <w:pPr>
              <w:pStyle w:val="TableContents"/>
              <w:bidi w:val="0"/>
              <w:spacing w:before="0" w:after="283"/>
              <w:ind w:left="0" w:right="0" w:hanging="180"/>
              <w:jc w:val="center"/>
              <w:rPr/>
            </w:pPr>
            <w:r>
              <w:rPr/>
              <w:t> </w:t>
            </w:r>
          </w:p>
        </w:tc>
      </w:tr>
      <w:tr>
        <w:trPr/>
        <w:tc>
          <w:tcPr>
            <w:tcW w:w="941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27" w:type="dxa"/>
            <w:tcBorders/>
            <w:vAlign w:val="center"/>
          </w:tcPr>
          <w:p>
            <w:pPr>
              <w:pStyle w:val="TableContents"/>
              <w:bidi w:val="0"/>
              <w:spacing w:before="0" w:after="283"/>
              <w:ind w:left="0" w:right="0" w:hanging="180"/>
              <w:jc w:val="center"/>
              <w:rPr/>
            </w:pPr>
            <w:r>
              <w:rPr/>
              <w:t> </w:t>
            </w:r>
          </w:p>
        </w:tc>
      </w:tr>
      <w:tr>
        <w:trPr/>
        <w:tc>
          <w:tcPr>
            <w:tcW w:w="9418" w:type="dxa"/>
            <w:tcBorders/>
            <w:shd w:fill="CCEEFF" w:val="clear"/>
            <w:vAlign w:val="center"/>
          </w:tcPr>
          <w:p>
            <w:pPr>
              <w:pStyle w:val="TableContents"/>
              <w:bidi w:val="0"/>
              <w:spacing w:before="0" w:after="283"/>
              <w:jc w:val="left"/>
              <w:rPr/>
            </w:pPr>
            <w:hyperlink w:anchor="a_002">
              <w:r>
                <w:rPr>
                  <w:rStyle w:val="InternetLink"/>
                  <w:sz w:val="20"/>
                </w:rPr>
                <w:t>Item 1. Financial Statements.</w:t>
              </w:r>
            </w:hyperlink>
          </w:p>
        </w:tc>
        <w:tc>
          <w:tcPr>
            <w:tcW w:w="60" w:type="dxa"/>
            <w:tcBorders/>
            <w:shd w:fill="CCEEFF" w:val="clear"/>
            <w:vAlign w:val="center"/>
          </w:tcPr>
          <w:p>
            <w:pPr>
              <w:pStyle w:val="TableContents"/>
              <w:bidi w:val="0"/>
              <w:spacing w:before="0" w:after="283"/>
              <w:jc w:val="center"/>
              <w:rPr/>
            </w:pPr>
            <w:r>
              <w:rPr/>
              <w:t> </w:t>
            </w:r>
          </w:p>
        </w:tc>
        <w:tc>
          <w:tcPr>
            <w:tcW w:w="727" w:type="dxa"/>
            <w:tcBorders/>
            <w:shd w:fill="CCEEFF" w:val="clear"/>
            <w:vAlign w:val="center"/>
          </w:tcPr>
          <w:p>
            <w:pPr>
              <w:pStyle w:val="TableContents"/>
              <w:bidi w:val="0"/>
              <w:spacing w:before="0" w:after="283"/>
              <w:ind w:left="0" w:right="0" w:hanging="180"/>
              <w:jc w:val="center"/>
              <w:rPr>
                <w:sz w:val="20"/>
              </w:rPr>
            </w:pPr>
            <w:r>
              <w:rPr>
                <w:sz w:val="20"/>
              </w:rPr>
              <w:t>1</w:t>
            </w:r>
          </w:p>
        </w:tc>
      </w:tr>
      <w:tr>
        <w:trPr/>
        <w:tc>
          <w:tcPr>
            <w:tcW w:w="941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27" w:type="dxa"/>
            <w:tcBorders/>
            <w:vAlign w:val="center"/>
          </w:tcPr>
          <w:p>
            <w:pPr>
              <w:pStyle w:val="TableContents"/>
              <w:bidi w:val="0"/>
              <w:spacing w:before="0" w:after="283"/>
              <w:ind w:left="0" w:right="0" w:hanging="180"/>
              <w:jc w:val="center"/>
              <w:rPr/>
            </w:pPr>
            <w:r>
              <w:rPr/>
              <w:t> </w:t>
            </w:r>
          </w:p>
        </w:tc>
      </w:tr>
      <w:tr>
        <w:trPr/>
        <w:tc>
          <w:tcPr>
            <w:tcW w:w="9418" w:type="dxa"/>
            <w:tcBorders/>
            <w:shd w:fill="CCEEFF" w:val="clear"/>
            <w:vAlign w:val="center"/>
          </w:tcPr>
          <w:p>
            <w:pPr>
              <w:pStyle w:val="TableContents"/>
              <w:bidi w:val="0"/>
              <w:spacing w:before="0" w:after="283"/>
              <w:jc w:val="left"/>
              <w:rPr/>
            </w:pPr>
            <w:hyperlink w:anchor="a_003">
              <w:r>
                <w:rPr>
                  <w:rStyle w:val="InternetLink"/>
                  <w:sz w:val="20"/>
                </w:rPr>
                <w:t>Condensed Consolidated Balance Sheets as of March 31, 2024 (unaudited) and December 31, 2023</w:t>
              </w:r>
            </w:hyperlink>
          </w:p>
        </w:tc>
        <w:tc>
          <w:tcPr>
            <w:tcW w:w="60" w:type="dxa"/>
            <w:tcBorders/>
            <w:shd w:fill="CCEEFF" w:val="clear"/>
            <w:vAlign w:val="center"/>
          </w:tcPr>
          <w:p>
            <w:pPr>
              <w:pStyle w:val="TableContents"/>
              <w:bidi w:val="0"/>
              <w:spacing w:before="0" w:after="283"/>
              <w:jc w:val="center"/>
              <w:rPr/>
            </w:pPr>
            <w:r>
              <w:rPr/>
              <w:t> </w:t>
            </w:r>
          </w:p>
        </w:tc>
        <w:tc>
          <w:tcPr>
            <w:tcW w:w="727" w:type="dxa"/>
            <w:tcBorders/>
            <w:shd w:fill="CCEEFF" w:val="clear"/>
            <w:vAlign w:val="center"/>
          </w:tcPr>
          <w:p>
            <w:pPr>
              <w:pStyle w:val="TableContents"/>
              <w:bidi w:val="0"/>
              <w:spacing w:before="0" w:after="283"/>
              <w:ind w:left="0" w:right="0" w:hanging="180"/>
              <w:jc w:val="center"/>
              <w:rPr>
                <w:sz w:val="20"/>
              </w:rPr>
            </w:pPr>
            <w:r>
              <w:rPr>
                <w:sz w:val="20"/>
              </w:rPr>
              <w:t>1</w:t>
            </w:r>
          </w:p>
        </w:tc>
      </w:tr>
      <w:tr>
        <w:trPr/>
        <w:tc>
          <w:tcPr>
            <w:tcW w:w="941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27" w:type="dxa"/>
            <w:tcBorders/>
            <w:vAlign w:val="center"/>
          </w:tcPr>
          <w:p>
            <w:pPr>
              <w:pStyle w:val="TableContents"/>
              <w:bidi w:val="0"/>
              <w:spacing w:before="0" w:after="283"/>
              <w:ind w:left="0" w:right="0" w:hanging="180"/>
              <w:jc w:val="center"/>
              <w:rPr/>
            </w:pPr>
            <w:r>
              <w:rPr/>
              <w:t> </w:t>
            </w:r>
          </w:p>
        </w:tc>
      </w:tr>
      <w:tr>
        <w:trPr/>
        <w:tc>
          <w:tcPr>
            <w:tcW w:w="9418" w:type="dxa"/>
            <w:tcBorders/>
            <w:shd w:fill="CCEEFF" w:val="clear"/>
            <w:vAlign w:val="center"/>
          </w:tcPr>
          <w:p>
            <w:pPr>
              <w:pStyle w:val="TableContents"/>
              <w:bidi w:val="0"/>
              <w:spacing w:before="0" w:after="283"/>
              <w:jc w:val="left"/>
              <w:rPr/>
            </w:pPr>
            <w:hyperlink w:anchor="a_004">
              <w:r>
                <w:rPr>
                  <w:rStyle w:val="InternetLink"/>
                  <w:sz w:val="20"/>
                </w:rPr>
                <w:t>Condensed Consolidated Statements of Operations for the Three Months Ended March 31, 2024 and 2023 (unaudited)</w:t>
              </w:r>
            </w:hyperlink>
          </w:p>
        </w:tc>
        <w:tc>
          <w:tcPr>
            <w:tcW w:w="60" w:type="dxa"/>
            <w:tcBorders/>
            <w:shd w:fill="CCEEFF" w:val="clear"/>
            <w:vAlign w:val="center"/>
          </w:tcPr>
          <w:p>
            <w:pPr>
              <w:pStyle w:val="TableContents"/>
              <w:bidi w:val="0"/>
              <w:spacing w:before="0" w:after="283"/>
              <w:jc w:val="center"/>
              <w:rPr/>
            </w:pPr>
            <w:r>
              <w:rPr/>
              <w:t> </w:t>
            </w:r>
          </w:p>
        </w:tc>
        <w:tc>
          <w:tcPr>
            <w:tcW w:w="727" w:type="dxa"/>
            <w:tcBorders/>
            <w:shd w:fill="CCEEFF" w:val="clear"/>
            <w:vAlign w:val="center"/>
          </w:tcPr>
          <w:p>
            <w:pPr>
              <w:pStyle w:val="TableContents"/>
              <w:bidi w:val="0"/>
              <w:spacing w:before="0" w:after="283"/>
              <w:ind w:left="0" w:right="0" w:hanging="180"/>
              <w:jc w:val="center"/>
              <w:rPr>
                <w:sz w:val="20"/>
              </w:rPr>
            </w:pPr>
            <w:r>
              <w:rPr>
                <w:sz w:val="20"/>
              </w:rPr>
              <w:t>2</w:t>
            </w:r>
          </w:p>
        </w:tc>
      </w:tr>
      <w:tr>
        <w:trPr/>
        <w:tc>
          <w:tcPr>
            <w:tcW w:w="941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27" w:type="dxa"/>
            <w:tcBorders/>
            <w:vAlign w:val="center"/>
          </w:tcPr>
          <w:p>
            <w:pPr>
              <w:pStyle w:val="TableContents"/>
              <w:bidi w:val="0"/>
              <w:spacing w:before="0" w:after="283"/>
              <w:ind w:left="0" w:right="0" w:hanging="180"/>
              <w:jc w:val="center"/>
              <w:rPr/>
            </w:pPr>
            <w:r>
              <w:rPr/>
              <w:t> </w:t>
            </w:r>
          </w:p>
        </w:tc>
      </w:tr>
      <w:tr>
        <w:trPr/>
        <w:tc>
          <w:tcPr>
            <w:tcW w:w="9418" w:type="dxa"/>
            <w:tcBorders/>
            <w:shd w:fill="CCEEFF" w:val="clear"/>
            <w:vAlign w:val="center"/>
          </w:tcPr>
          <w:p>
            <w:pPr>
              <w:pStyle w:val="TableContents"/>
              <w:bidi w:val="0"/>
              <w:spacing w:before="0" w:after="283"/>
              <w:jc w:val="left"/>
              <w:rPr/>
            </w:pPr>
            <w:hyperlink w:anchor="a_005">
              <w:r>
                <w:rPr>
                  <w:rStyle w:val="InternetLink"/>
                  <w:sz w:val="20"/>
                </w:rPr>
                <w:t>Condensed Consolidated Statements of Comprehensive Loss for the Three Months Ended March 31, 2024 and 2023 (unaudited)</w:t>
              </w:r>
            </w:hyperlink>
          </w:p>
        </w:tc>
        <w:tc>
          <w:tcPr>
            <w:tcW w:w="60" w:type="dxa"/>
            <w:tcBorders/>
            <w:shd w:fill="CCEEFF" w:val="clear"/>
            <w:vAlign w:val="center"/>
          </w:tcPr>
          <w:p>
            <w:pPr>
              <w:pStyle w:val="TableContents"/>
              <w:bidi w:val="0"/>
              <w:spacing w:before="0" w:after="283"/>
              <w:jc w:val="center"/>
              <w:rPr/>
            </w:pPr>
            <w:r>
              <w:rPr/>
              <w:t> </w:t>
            </w:r>
          </w:p>
        </w:tc>
        <w:tc>
          <w:tcPr>
            <w:tcW w:w="727" w:type="dxa"/>
            <w:tcBorders/>
            <w:shd w:fill="CCEEFF" w:val="clear"/>
            <w:vAlign w:val="center"/>
          </w:tcPr>
          <w:p>
            <w:pPr>
              <w:pStyle w:val="TableContents"/>
              <w:bidi w:val="0"/>
              <w:spacing w:before="0" w:after="283"/>
              <w:ind w:left="0" w:right="0" w:hanging="180"/>
              <w:jc w:val="center"/>
              <w:rPr>
                <w:sz w:val="20"/>
              </w:rPr>
            </w:pPr>
            <w:r>
              <w:rPr>
                <w:sz w:val="20"/>
              </w:rPr>
              <w:t>3</w:t>
            </w:r>
          </w:p>
        </w:tc>
      </w:tr>
      <w:tr>
        <w:trPr/>
        <w:tc>
          <w:tcPr>
            <w:tcW w:w="941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27" w:type="dxa"/>
            <w:tcBorders/>
            <w:vAlign w:val="center"/>
          </w:tcPr>
          <w:p>
            <w:pPr>
              <w:pStyle w:val="TableContents"/>
              <w:bidi w:val="0"/>
              <w:spacing w:before="0" w:after="283"/>
              <w:ind w:left="0" w:right="0" w:hanging="180"/>
              <w:jc w:val="center"/>
              <w:rPr/>
            </w:pPr>
            <w:r>
              <w:rPr/>
              <w:t> </w:t>
            </w:r>
          </w:p>
        </w:tc>
      </w:tr>
      <w:tr>
        <w:trPr/>
        <w:tc>
          <w:tcPr>
            <w:tcW w:w="9418" w:type="dxa"/>
            <w:tcBorders/>
            <w:shd w:fill="CCEEFF" w:val="clear"/>
            <w:vAlign w:val="center"/>
          </w:tcPr>
          <w:p>
            <w:pPr>
              <w:pStyle w:val="TableContents"/>
              <w:bidi w:val="0"/>
              <w:spacing w:before="0" w:after="283"/>
              <w:jc w:val="left"/>
              <w:rPr/>
            </w:pPr>
            <w:hyperlink w:anchor="a_006">
              <w:r>
                <w:rPr>
                  <w:rStyle w:val="InternetLink"/>
                  <w:sz w:val="20"/>
                </w:rPr>
                <w:t>Condensed Consolidated Statements of Stockholders’ Equity for the Three Months Ended March 31, 2024 and 2023 (unaudited)</w:t>
              </w:r>
            </w:hyperlink>
          </w:p>
        </w:tc>
        <w:tc>
          <w:tcPr>
            <w:tcW w:w="60" w:type="dxa"/>
            <w:tcBorders/>
            <w:shd w:fill="CCEEFF" w:val="clear"/>
            <w:vAlign w:val="center"/>
          </w:tcPr>
          <w:p>
            <w:pPr>
              <w:pStyle w:val="TableContents"/>
              <w:bidi w:val="0"/>
              <w:spacing w:before="0" w:after="283"/>
              <w:jc w:val="center"/>
              <w:rPr/>
            </w:pPr>
            <w:r>
              <w:rPr/>
              <w:t> </w:t>
            </w:r>
          </w:p>
        </w:tc>
        <w:tc>
          <w:tcPr>
            <w:tcW w:w="727" w:type="dxa"/>
            <w:tcBorders/>
            <w:shd w:fill="CCEEFF" w:val="clear"/>
            <w:vAlign w:val="center"/>
          </w:tcPr>
          <w:p>
            <w:pPr>
              <w:pStyle w:val="TableContents"/>
              <w:bidi w:val="0"/>
              <w:spacing w:before="0" w:after="283"/>
              <w:ind w:left="0" w:right="0" w:hanging="180"/>
              <w:jc w:val="center"/>
              <w:rPr>
                <w:sz w:val="20"/>
              </w:rPr>
            </w:pPr>
            <w:r>
              <w:rPr>
                <w:sz w:val="20"/>
              </w:rPr>
              <w:t>4</w:t>
            </w:r>
          </w:p>
        </w:tc>
      </w:tr>
      <w:tr>
        <w:trPr/>
        <w:tc>
          <w:tcPr>
            <w:tcW w:w="941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27" w:type="dxa"/>
            <w:tcBorders/>
            <w:vAlign w:val="center"/>
          </w:tcPr>
          <w:p>
            <w:pPr>
              <w:pStyle w:val="TableContents"/>
              <w:bidi w:val="0"/>
              <w:spacing w:before="0" w:after="283"/>
              <w:ind w:left="0" w:right="0" w:hanging="180"/>
              <w:jc w:val="center"/>
              <w:rPr/>
            </w:pPr>
            <w:r>
              <w:rPr/>
              <w:t> </w:t>
            </w:r>
          </w:p>
        </w:tc>
      </w:tr>
      <w:tr>
        <w:trPr/>
        <w:tc>
          <w:tcPr>
            <w:tcW w:w="9418" w:type="dxa"/>
            <w:tcBorders/>
            <w:shd w:fill="CCEEFF" w:val="clear"/>
            <w:vAlign w:val="center"/>
          </w:tcPr>
          <w:p>
            <w:pPr>
              <w:pStyle w:val="TableContents"/>
              <w:bidi w:val="0"/>
              <w:spacing w:before="0" w:after="283"/>
              <w:jc w:val="left"/>
              <w:rPr/>
            </w:pPr>
            <w:hyperlink w:anchor="a_007">
              <w:r>
                <w:rPr>
                  <w:rStyle w:val="InternetLink"/>
                  <w:sz w:val="20"/>
                </w:rPr>
                <w:t>Condensed Consolidated Statements of Cash Flows for the Three Months Ended March 31, 2024 and 2023 (unaudited)</w:t>
              </w:r>
            </w:hyperlink>
          </w:p>
        </w:tc>
        <w:tc>
          <w:tcPr>
            <w:tcW w:w="60" w:type="dxa"/>
            <w:tcBorders/>
            <w:shd w:fill="CCEEFF" w:val="clear"/>
            <w:vAlign w:val="center"/>
          </w:tcPr>
          <w:p>
            <w:pPr>
              <w:pStyle w:val="TableContents"/>
              <w:bidi w:val="0"/>
              <w:spacing w:before="0" w:after="283"/>
              <w:jc w:val="center"/>
              <w:rPr/>
            </w:pPr>
            <w:r>
              <w:rPr/>
              <w:t> </w:t>
            </w:r>
          </w:p>
        </w:tc>
        <w:tc>
          <w:tcPr>
            <w:tcW w:w="727" w:type="dxa"/>
            <w:tcBorders/>
            <w:shd w:fill="CCEEFF" w:val="clear"/>
            <w:vAlign w:val="center"/>
          </w:tcPr>
          <w:p>
            <w:pPr>
              <w:pStyle w:val="TableContents"/>
              <w:bidi w:val="0"/>
              <w:spacing w:before="0" w:after="283"/>
              <w:ind w:left="0" w:right="0" w:hanging="180"/>
              <w:jc w:val="center"/>
              <w:rPr>
                <w:sz w:val="20"/>
              </w:rPr>
            </w:pPr>
            <w:r>
              <w:rPr>
                <w:sz w:val="20"/>
              </w:rPr>
              <w:t>5</w:t>
            </w:r>
          </w:p>
        </w:tc>
      </w:tr>
      <w:tr>
        <w:trPr/>
        <w:tc>
          <w:tcPr>
            <w:tcW w:w="941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27" w:type="dxa"/>
            <w:tcBorders/>
            <w:vAlign w:val="center"/>
          </w:tcPr>
          <w:p>
            <w:pPr>
              <w:pStyle w:val="TableContents"/>
              <w:bidi w:val="0"/>
              <w:spacing w:before="0" w:after="283"/>
              <w:ind w:left="0" w:right="0" w:hanging="180"/>
              <w:jc w:val="center"/>
              <w:rPr/>
            </w:pPr>
            <w:r>
              <w:rPr/>
              <w:t> </w:t>
            </w:r>
          </w:p>
        </w:tc>
      </w:tr>
      <w:tr>
        <w:trPr/>
        <w:tc>
          <w:tcPr>
            <w:tcW w:w="9418" w:type="dxa"/>
            <w:tcBorders/>
            <w:shd w:fill="CCEEFF" w:val="clear"/>
            <w:vAlign w:val="center"/>
          </w:tcPr>
          <w:p>
            <w:pPr>
              <w:pStyle w:val="TableContents"/>
              <w:bidi w:val="0"/>
              <w:spacing w:before="0" w:after="283"/>
              <w:jc w:val="left"/>
              <w:rPr/>
            </w:pPr>
            <w:hyperlink w:anchor="a_008">
              <w:r>
                <w:rPr>
                  <w:rStyle w:val="InternetLink"/>
                  <w:sz w:val="20"/>
                </w:rPr>
                <w:t>Notes to Unaudited Condensed Consolidated Financial Statements</w:t>
              </w:r>
            </w:hyperlink>
          </w:p>
        </w:tc>
        <w:tc>
          <w:tcPr>
            <w:tcW w:w="60" w:type="dxa"/>
            <w:tcBorders/>
            <w:shd w:fill="CCEEFF" w:val="clear"/>
            <w:vAlign w:val="center"/>
          </w:tcPr>
          <w:p>
            <w:pPr>
              <w:pStyle w:val="TableContents"/>
              <w:bidi w:val="0"/>
              <w:spacing w:before="0" w:after="283"/>
              <w:jc w:val="center"/>
              <w:rPr/>
            </w:pPr>
            <w:r>
              <w:rPr/>
              <w:t> </w:t>
            </w:r>
          </w:p>
        </w:tc>
        <w:tc>
          <w:tcPr>
            <w:tcW w:w="727" w:type="dxa"/>
            <w:tcBorders/>
            <w:shd w:fill="CCEEFF" w:val="clear"/>
            <w:vAlign w:val="center"/>
          </w:tcPr>
          <w:p>
            <w:pPr>
              <w:pStyle w:val="TableContents"/>
              <w:bidi w:val="0"/>
              <w:spacing w:before="0" w:after="283"/>
              <w:ind w:left="0" w:right="0" w:hanging="180"/>
              <w:jc w:val="center"/>
              <w:rPr>
                <w:sz w:val="20"/>
              </w:rPr>
            </w:pPr>
            <w:r>
              <w:rPr>
                <w:sz w:val="20"/>
              </w:rPr>
              <w:t>6–10</w:t>
            </w:r>
          </w:p>
        </w:tc>
      </w:tr>
      <w:tr>
        <w:trPr/>
        <w:tc>
          <w:tcPr>
            <w:tcW w:w="941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27" w:type="dxa"/>
            <w:tcBorders/>
            <w:vAlign w:val="center"/>
          </w:tcPr>
          <w:p>
            <w:pPr>
              <w:pStyle w:val="TableContents"/>
              <w:bidi w:val="0"/>
              <w:spacing w:before="0" w:after="283"/>
              <w:ind w:left="0" w:right="0" w:hanging="180"/>
              <w:jc w:val="center"/>
              <w:rPr/>
            </w:pPr>
            <w:r>
              <w:rPr/>
              <w:t> </w:t>
            </w:r>
          </w:p>
        </w:tc>
      </w:tr>
      <w:tr>
        <w:trPr/>
        <w:tc>
          <w:tcPr>
            <w:tcW w:w="9418" w:type="dxa"/>
            <w:tcBorders/>
            <w:shd w:fill="CCEEFF" w:val="clear"/>
            <w:vAlign w:val="center"/>
          </w:tcPr>
          <w:p>
            <w:pPr>
              <w:pStyle w:val="TableContents"/>
              <w:bidi w:val="0"/>
              <w:spacing w:before="0" w:after="283"/>
              <w:jc w:val="left"/>
              <w:rPr/>
            </w:pPr>
            <w:hyperlink w:anchor="a_009">
              <w:r>
                <w:rPr>
                  <w:rStyle w:val="InternetLink"/>
                  <w:sz w:val="20"/>
                </w:rPr>
                <w:t>Item 2. Management’s Discussion and Analysis of Financial Condition and Results of Operations.</w:t>
              </w:r>
            </w:hyperlink>
          </w:p>
        </w:tc>
        <w:tc>
          <w:tcPr>
            <w:tcW w:w="60" w:type="dxa"/>
            <w:tcBorders/>
            <w:shd w:fill="CCEEFF" w:val="clear"/>
            <w:vAlign w:val="center"/>
          </w:tcPr>
          <w:p>
            <w:pPr>
              <w:pStyle w:val="TableContents"/>
              <w:bidi w:val="0"/>
              <w:spacing w:before="0" w:after="283"/>
              <w:jc w:val="center"/>
              <w:rPr/>
            </w:pPr>
            <w:r>
              <w:rPr/>
              <w:t> </w:t>
            </w:r>
          </w:p>
        </w:tc>
        <w:tc>
          <w:tcPr>
            <w:tcW w:w="727" w:type="dxa"/>
            <w:tcBorders/>
            <w:shd w:fill="CCEEFF" w:val="clear"/>
            <w:vAlign w:val="center"/>
          </w:tcPr>
          <w:p>
            <w:pPr>
              <w:pStyle w:val="TableContents"/>
              <w:bidi w:val="0"/>
              <w:spacing w:before="0" w:after="283"/>
              <w:ind w:left="0" w:right="0" w:hanging="180"/>
              <w:jc w:val="center"/>
              <w:rPr>
                <w:sz w:val="20"/>
              </w:rPr>
            </w:pPr>
            <w:r>
              <w:rPr>
                <w:sz w:val="20"/>
              </w:rPr>
              <w:t>11–16</w:t>
            </w:r>
          </w:p>
        </w:tc>
      </w:tr>
      <w:tr>
        <w:trPr/>
        <w:tc>
          <w:tcPr>
            <w:tcW w:w="941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27" w:type="dxa"/>
            <w:tcBorders/>
            <w:vAlign w:val="center"/>
          </w:tcPr>
          <w:p>
            <w:pPr>
              <w:pStyle w:val="TableContents"/>
              <w:bidi w:val="0"/>
              <w:spacing w:before="0" w:after="283"/>
              <w:ind w:left="0" w:right="0" w:hanging="180"/>
              <w:jc w:val="center"/>
              <w:rPr/>
            </w:pPr>
            <w:r>
              <w:rPr/>
              <w:t> </w:t>
            </w:r>
          </w:p>
        </w:tc>
      </w:tr>
      <w:tr>
        <w:trPr/>
        <w:tc>
          <w:tcPr>
            <w:tcW w:w="9418" w:type="dxa"/>
            <w:tcBorders/>
            <w:shd w:fill="CCEEFF" w:val="clear"/>
            <w:vAlign w:val="center"/>
          </w:tcPr>
          <w:p>
            <w:pPr>
              <w:pStyle w:val="TableContents"/>
              <w:bidi w:val="0"/>
              <w:spacing w:before="0" w:after="283"/>
              <w:jc w:val="left"/>
              <w:rPr/>
            </w:pPr>
            <w:hyperlink w:anchor="a_010">
              <w:r>
                <w:rPr>
                  <w:rStyle w:val="InternetLink"/>
                  <w:sz w:val="20"/>
                </w:rPr>
                <w:t>Item 3. Quantitative and Qualitative Disclosures About Market Risk.</w:t>
              </w:r>
            </w:hyperlink>
          </w:p>
        </w:tc>
        <w:tc>
          <w:tcPr>
            <w:tcW w:w="60" w:type="dxa"/>
            <w:tcBorders/>
            <w:shd w:fill="CCEEFF" w:val="clear"/>
            <w:vAlign w:val="center"/>
          </w:tcPr>
          <w:p>
            <w:pPr>
              <w:pStyle w:val="TableContents"/>
              <w:bidi w:val="0"/>
              <w:spacing w:before="0" w:after="283"/>
              <w:jc w:val="center"/>
              <w:rPr/>
            </w:pPr>
            <w:r>
              <w:rPr/>
              <w:t> </w:t>
            </w:r>
          </w:p>
        </w:tc>
        <w:tc>
          <w:tcPr>
            <w:tcW w:w="727" w:type="dxa"/>
            <w:tcBorders/>
            <w:shd w:fill="CCEEFF" w:val="clear"/>
            <w:vAlign w:val="center"/>
          </w:tcPr>
          <w:p>
            <w:pPr>
              <w:pStyle w:val="TableContents"/>
              <w:bidi w:val="0"/>
              <w:spacing w:before="0" w:after="283"/>
              <w:ind w:left="0" w:right="0" w:hanging="180"/>
              <w:jc w:val="center"/>
              <w:rPr>
                <w:sz w:val="20"/>
              </w:rPr>
            </w:pPr>
            <w:r>
              <w:rPr>
                <w:sz w:val="20"/>
              </w:rPr>
              <w:t>16</w:t>
            </w:r>
          </w:p>
        </w:tc>
      </w:tr>
      <w:tr>
        <w:trPr/>
        <w:tc>
          <w:tcPr>
            <w:tcW w:w="941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27" w:type="dxa"/>
            <w:tcBorders/>
            <w:vAlign w:val="center"/>
          </w:tcPr>
          <w:p>
            <w:pPr>
              <w:pStyle w:val="TableContents"/>
              <w:bidi w:val="0"/>
              <w:spacing w:before="0" w:after="283"/>
              <w:ind w:left="0" w:right="0" w:hanging="180"/>
              <w:jc w:val="center"/>
              <w:rPr/>
            </w:pPr>
            <w:r>
              <w:rPr/>
              <w:t> </w:t>
            </w:r>
          </w:p>
        </w:tc>
      </w:tr>
      <w:tr>
        <w:trPr/>
        <w:tc>
          <w:tcPr>
            <w:tcW w:w="9418" w:type="dxa"/>
            <w:tcBorders/>
            <w:shd w:fill="CCEEFF" w:val="clear"/>
            <w:vAlign w:val="center"/>
          </w:tcPr>
          <w:p>
            <w:pPr>
              <w:pStyle w:val="TableContents"/>
              <w:bidi w:val="0"/>
              <w:spacing w:before="0" w:after="283"/>
              <w:jc w:val="left"/>
              <w:rPr/>
            </w:pPr>
            <w:hyperlink w:anchor="a_011">
              <w:r>
                <w:rPr>
                  <w:rStyle w:val="InternetLink"/>
                  <w:sz w:val="20"/>
                </w:rPr>
                <w:t>Item 4. Controls and Procedures.</w:t>
              </w:r>
            </w:hyperlink>
          </w:p>
        </w:tc>
        <w:tc>
          <w:tcPr>
            <w:tcW w:w="60" w:type="dxa"/>
            <w:tcBorders/>
            <w:shd w:fill="CCEEFF" w:val="clear"/>
            <w:vAlign w:val="center"/>
          </w:tcPr>
          <w:p>
            <w:pPr>
              <w:pStyle w:val="TableContents"/>
              <w:bidi w:val="0"/>
              <w:spacing w:before="0" w:after="283"/>
              <w:jc w:val="center"/>
              <w:rPr/>
            </w:pPr>
            <w:r>
              <w:rPr/>
              <w:t> </w:t>
            </w:r>
          </w:p>
        </w:tc>
        <w:tc>
          <w:tcPr>
            <w:tcW w:w="727" w:type="dxa"/>
            <w:tcBorders/>
            <w:shd w:fill="CCEEFF" w:val="clear"/>
            <w:vAlign w:val="center"/>
          </w:tcPr>
          <w:p>
            <w:pPr>
              <w:pStyle w:val="TableContents"/>
              <w:bidi w:val="0"/>
              <w:spacing w:before="0" w:after="283"/>
              <w:ind w:left="0" w:right="0" w:hanging="180"/>
              <w:jc w:val="center"/>
              <w:rPr>
                <w:sz w:val="20"/>
              </w:rPr>
            </w:pPr>
            <w:r>
              <w:rPr>
                <w:sz w:val="20"/>
              </w:rPr>
              <w:t>16</w:t>
            </w:r>
          </w:p>
        </w:tc>
      </w:tr>
      <w:tr>
        <w:trPr/>
        <w:tc>
          <w:tcPr>
            <w:tcW w:w="941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27" w:type="dxa"/>
            <w:tcBorders/>
            <w:vAlign w:val="center"/>
          </w:tcPr>
          <w:p>
            <w:pPr>
              <w:pStyle w:val="TableContents"/>
              <w:bidi w:val="0"/>
              <w:spacing w:before="0" w:after="283"/>
              <w:ind w:left="0" w:right="0" w:hanging="180"/>
              <w:jc w:val="center"/>
              <w:rPr/>
            </w:pPr>
            <w:r>
              <w:rPr/>
              <w:t> </w:t>
            </w:r>
          </w:p>
        </w:tc>
      </w:tr>
      <w:tr>
        <w:trPr/>
        <w:tc>
          <w:tcPr>
            <w:tcW w:w="9418" w:type="dxa"/>
            <w:tcBorders/>
            <w:shd w:fill="CCEEFF" w:val="clear"/>
            <w:vAlign w:val="center"/>
          </w:tcPr>
          <w:p>
            <w:pPr>
              <w:pStyle w:val="TableContents"/>
              <w:bidi w:val="0"/>
              <w:spacing w:before="0" w:after="283"/>
              <w:jc w:val="center"/>
              <w:rPr/>
            </w:pPr>
            <w:hyperlink w:anchor="a_012">
              <w:r>
                <w:rPr>
                  <w:rStyle w:val="InternetLink"/>
                  <w:b/>
                  <w:sz w:val="20"/>
                </w:rPr>
                <w:t>PART II – OTHER INFORMATION</w:t>
              </w:r>
            </w:hyperlink>
          </w:p>
        </w:tc>
        <w:tc>
          <w:tcPr>
            <w:tcW w:w="60" w:type="dxa"/>
            <w:tcBorders/>
            <w:shd w:fill="CCEEFF" w:val="clear"/>
            <w:vAlign w:val="center"/>
          </w:tcPr>
          <w:p>
            <w:pPr>
              <w:pStyle w:val="TableContents"/>
              <w:bidi w:val="0"/>
              <w:spacing w:before="0" w:after="283"/>
              <w:jc w:val="center"/>
              <w:rPr/>
            </w:pPr>
            <w:r>
              <w:rPr/>
              <w:t> </w:t>
            </w:r>
          </w:p>
        </w:tc>
        <w:tc>
          <w:tcPr>
            <w:tcW w:w="727" w:type="dxa"/>
            <w:tcBorders/>
            <w:shd w:fill="CCEEFF" w:val="clear"/>
            <w:vAlign w:val="center"/>
          </w:tcPr>
          <w:p>
            <w:pPr>
              <w:pStyle w:val="TableContents"/>
              <w:bidi w:val="0"/>
              <w:spacing w:before="0" w:after="283"/>
              <w:ind w:left="0" w:right="0" w:hanging="180"/>
              <w:jc w:val="center"/>
              <w:rPr/>
            </w:pPr>
            <w:r>
              <w:rPr/>
              <w:t> </w:t>
            </w:r>
          </w:p>
        </w:tc>
      </w:tr>
      <w:tr>
        <w:trPr/>
        <w:tc>
          <w:tcPr>
            <w:tcW w:w="941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27" w:type="dxa"/>
            <w:tcBorders/>
            <w:vAlign w:val="center"/>
          </w:tcPr>
          <w:p>
            <w:pPr>
              <w:pStyle w:val="TableContents"/>
              <w:bidi w:val="0"/>
              <w:spacing w:before="0" w:after="283"/>
              <w:ind w:left="0" w:right="0" w:hanging="180"/>
              <w:jc w:val="center"/>
              <w:rPr/>
            </w:pPr>
            <w:r>
              <w:rPr/>
              <w:t> </w:t>
            </w:r>
          </w:p>
        </w:tc>
      </w:tr>
      <w:tr>
        <w:trPr/>
        <w:tc>
          <w:tcPr>
            <w:tcW w:w="9418" w:type="dxa"/>
            <w:tcBorders/>
            <w:shd w:fill="CCEEFF" w:val="clear"/>
            <w:vAlign w:val="center"/>
          </w:tcPr>
          <w:p>
            <w:pPr>
              <w:pStyle w:val="TableContents"/>
              <w:bidi w:val="0"/>
              <w:spacing w:before="0" w:after="283"/>
              <w:jc w:val="left"/>
              <w:rPr/>
            </w:pPr>
            <w:hyperlink w:anchor="a_013">
              <w:r>
                <w:rPr>
                  <w:rStyle w:val="InternetLink"/>
                  <w:sz w:val="20"/>
                </w:rPr>
                <w:t>Item 1. Legal Proceedings.</w:t>
              </w:r>
            </w:hyperlink>
          </w:p>
        </w:tc>
        <w:tc>
          <w:tcPr>
            <w:tcW w:w="60" w:type="dxa"/>
            <w:tcBorders/>
            <w:shd w:fill="CCEEFF" w:val="clear"/>
            <w:vAlign w:val="center"/>
          </w:tcPr>
          <w:p>
            <w:pPr>
              <w:pStyle w:val="TableContents"/>
              <w:bidi w:val="0"/>
              <w:spacing w:before="0" w:after="283"/>
              <w:jc w:val="center"/>
              <w:rPr/>
            </w:pPr>
            <w:r>
              <w:rPr/>
              <w:t> </w:t>
            </w:r>
          </w:p>
        </w:tc>
        <w:tc>
          <w:tcPr>
            <w:tcW w:w="727" w:type="dxa"/>
            <w:tcBorders/>
            <w:shd w:fill="CCEEFF" w:val="clear"/>
            <w:vAlign w:val="center"/>
          </w:tcPr>
          <w:p>
            <w:pPr>
              <w:pStyle w:val="TableContents"/>
              <w:bidi w:val="0"/>
              <w:spacing w:before="0" w:after="283"/>
              <w:ind w:left="0" w:right="0" w:hanging="180"/>
              <w:jc w:val="center"/>
              <w:rPr>
                <w:sz w:val="20"/>
              </w:rPr>
            </w:pPr>
            <w:r>
              <w:rPr>
                <w:sz w:val="20"/>
              </w:rPr>
              <w:t>17</w:t>
            </w:r>
          </w:p>
        </w:tc>
      </w:tr>
      <w:tr>
        <w:trPr/>
        <w:tc>
          <w:tcPr>
            <w:tcW w:w="941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27" w:type="dxa"/>
            <w:tcBorders/>
            <w:vAlign w:val="center"/>
          </w:tcPr>
          <w:p>
            <w:pPr>
              <w:pStyle w:val="TableContents"/>
              <w:bidi w:val="0"/>
              <w:spacing w:before="0" w:after="283"/>
              <w:ind w:left="0" w:right="0" w:hanging="180"/>
              <w:jc w:val="center"/>
              <w:rPr/>
            </w:pPr>
            <w:r>
              <w:rPr/>
              <w:t> </w:t>
            </w:r>
          </w:p>
        </w:tc>
      </w:tr>
      <w:tr>
        <w:trPr/>
        <w:tc>
          <w:tcPr>
            <w:tcW w:w="9418" w:type="dxa"/>
            <w:tcBorders/>
            <w:shd w:fill="CCEEFF" w:val="clear"/>
            <w:vAlign w:val="center"/>
          </w:tcPr>
          <w:p>
            <w:pPr>
              <w:pStyle w:val="TableContents"/>
              <w:bidi w:val="0"/>
              <w:spacing w:before="0" w:after="283"/>
              <w:jc w:val="left"/>
              <w:rPr/>
            </w:pPr>
            <w:hyperlink w:anchor="a_014">
              <w:r>
                <w:rPr>
                  <w:rStyle w:val="InternetLink"/>
                  <w:sz w:val="20"/>
                </w:rPr>
                <w:t>Item 1A. Risk Factors.</w:t>
              </w:r>
            </w:hyperlink>
          </w:p>
        </w:tc>
        <w:tc>
          <w:tcPr>
            <w:tcW w:w="60" w:type="dxa"/>
            <w:tcBorders/>
            <w:shd w:fill="CCEEFF" w:val="clear"/>
            <w:vAlign w:val="center"/>
          </w:tcPr>
          <w:p>
            <w:pPr>
              <w:pStyle w:val="TableContents"/>
              <w:bidi w:val="0"/>
              <w:spacing w:before="0" w:after="283"/>
              <w:jc w:val="center"/>
              <w:rPr/>
            </w:pPr>
            <w:r>
              <w:rPr/>
              <w:t> </w:t>
            </w:r>
          </w:p>
        </w:tc>
        <w:tc>
          <w:tcPr>
            <w:tcW w:w="727" w:type="dxa"/>
            <w:tcBorders/>
            <w:shd w:fill="CCEEFF" w:val="clear"/>
            <w:vAlign w:val="center"/>
          </w:tcPr>
          <w:p>
            <w:pPr>
              <w:pStyle w:val="TableContents"/>
              <w:bidi w:val="0"/>
              <w:spacing w:before="0" w:after="283"/>
              <w:ind w:left="0" w:right="0" w:hanging="180"/>
              <w:jc w:val="center"/>
              <w:rPr>
                <w:sz w:val="20"/>
              </w:rPr>
            </w:pPr>
            <w:r>
              <w:rPr>
                <w:sz w:val="20"/>
              </w:rPr>
              <w:t>17</w:t>
            </w:r>
          </w:p>
        </w:tc>
      </w:tr>
      <w:tr>
        <w:trPr/>
        <w:tc>
          <w:tcPr>
            <w:tcW w:w="941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27" w:type="dxa"/>
            <w:tcBorders/>
            <w:vAlign w:val="center"/>
          </w:tcPr>
          <w:p>
            <w:pPr>
              <w:pStyle w:val="TableContents"/>
              <w:bidi w:val="0"/>
              <w:spacing w:before="0" w:after="283"/>
              <w:ind w:left="0" w:right="0" w:hanging="180"/>
              <w:jc w:val="center"/>
              <w:rPr/>
            </w:pPr>
            <w:r>
              <w:rPr/>
              <w:t> </w:t>
            </w:r>
          </w:p>
        </w:tc>
      </w:tr>
      <w:tr>
        <w:trPr/>
        <w:tc>
          <w:tcPr>
            <w:tcW w:w="9418" w:type="dxa"/>
            <w:tcBorders/>
            <w:shd w:fill="CCEEFF" w:val="clear"/>
            <w:vAlign w:val="center"/>
          </w:tcPr>
          <w:p>
            <w:pPr>
              <w:pStyle w:val="TableContents"/>
              <w:bidi w:val="0"/>
              <w:spacing w:before="0" w:after="283"/>
              <w:jc w:val="left"/>
              <w:rPr/>
            </w:pPr>
            <w:hyperlink w:anchor="a_015">
              <w:r>
                <w:rPr>
                  <w:rStyle w:val="InternetLink"/>
                  <w:sz w:val="20"/>
                </w:rPr>
                <w:t>Item 2. Unregistered Sales of Equity Securities and Use of Proceeds.</w:t>
              </w:r>
            </w:hyperlink>
          </w:p>
        </w:tc>
        <w:tc>
          <w:tcPr>
            <w:tcW w:w="60" w:type="dxa"/>
            <w:tcBorders/>
            <w:shd w:fill="CCEEFF" w:val="clear"/>
            <w:vAlign w:val="center"/>
          </w:tcPr>
          <w:p>
            <w:pPr>
              <w:pStyle w:val="TableContents"/>
              <w:bidi w:val="0"/>
              <w:spacing w:before="0" w:after="283"/>
              <w:jc w:val="center"/>
              <w:rPr/>
            </w:pPr>
            <w:r>
              <w:rPr/>
              <w:t> </w:t>
            </w:r>
          </w:p>
        </w:tc>
        <w:tc>
          <w:tcPr>
            <w:tcW w:w="727" w:type="dxa"/>
            <w:tcBorders/>
            <w:shd w:fill="CCEEFF" w:val="clear"/>
            <w:vAlign w:val="center"/>
          </w:tcPr>
          <w:p>
            <w:pPr>
              <w:pStyle w:val="TableContents"/>
              <w:bidi w:val="0"/>
              <w:spacing w:before="0" w:after="283"/>
              <w:ind w:left="0" w:right="0" w:hanging="180"/>
              <w:jc w:val="center"/>
              <w:rPr>
                <w:sz w:val="20"/>
              </w:rPr>
            </w:pPr>
            <w:r>
              <w:rPr>
                <w:sz w:val="20"/>
              </w:rPr>
              <w:t>17</w:t>
            </w:r>
          </w:p>
        </w:tc>
      </w:tr>
      <w:tr>
        <w:trPr/>
        <w:tc>
          <w:tcPr>
            <w:tcW w:w="941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27" w:type="dxa"/>
            <w:tcBorders/>
            <w:vAlign w:val="center"/>
          </w:tcPr>
          <w:p>
            <w:pPr>
              <w:pStyle w:val="TableContents"/>
              <w:bidi w:val="0"/>
              <w:spacing w:before="0" w:after="283"/>
              <w:ind w:left="0" w:right="0" w:hanging="180"/>
              <w:jc w:val="center"/>
              <w:rPr/>
            </w:pPr>
            <w:r>
              <w:rPr/>
              <w:t> </w:t>
            </w:r>
          </w:p>
        </w:tc>
      </w:tr>
      <w:tr>
        <w:trPr/>
        <w:tc>
          <w:tcPr>
            <w:tcW w:w="9418" w:type="dxa"/>
            <w:tcBorders/>
            <w:shd w:fill="CCEEFF" w:val="clear"/>
            <w:vAlign w:val="center"/>
          </w:tcPr>
          <w:p>
            <w:pPr>
              <w:pStyle w:val="TableContents"/>
              <w:bidi w:val="0"/>
              <w:spacing w:before="0" w:after="283"/>
              <w:jc w:val="left"/>
              <w:rPr/>
            </w:pPr>
            <w:hyperlink w:anchor="a_016">
              <w:r>
                <w:rPr>
                  <w:rStyle w:val="InternetLink"/>
                  <w:sz w:val="20"/>
                </w:rPr>
                <w:t>Item 3. Defaults Upon Senior Securities.</w:t>
              </w:r>
            </w:hyperlink>
          </w:p>
        </w:tc>
        <w:tc>
          <w:tcPr>
            <w:tcW w:w="60" w:type="dxa"/>
            <w:tcBorders/>
            <w:shd w:fill="CCEEFF" w:val="clear"/>
            <w:vAlign w:val="center"/>
          </w:tcPr>
          <w:p>
            <w:pPr>
              <w:pStyle w:val="TableContents"/>
              <w:bidi w:val="0"/>
              <w:spacing w:before="0" w:after="283"/>
              <w:jc w:val="center"/>
              <w:rPr/>
            </w:pPr>
            <w:r>
              <w:rPr/>
              <w:t> </w:t>
            </w:r>
          </w:p>
        </w:tc>
        <w:tc>
          <w:tcPr>
            <w:tcW w:w="727" w:type="dxa"/>
            <w:tcBorders/>
            <w:shd w:fill="CCEEFF" w:val="clear"/>
            <w:vAlign w:val="center"/>
          </w:tcPr>
          <w:p>
            <w:pPr>
              <w:pStyle w:val="TableContents"/>
              <w:bidi w:val="0"/>
              <w:spacing w:before="0" w:after="283"/>
              <w:ind w:left="0" w:right="0" w:hanging="180"/>
              <w:jc w:val="center"/>
              <w:rPr>
                <w:sz w:val="20"/>
              </w:rPr>
            </w:pPr>
            <w:r>
              <w:rPr>
                <w:sz w:val="20"/>
              </w:rPr>
              <w:t>17</w:t>
            </w:r>
          </w:p>
        </w:tc>
      </w:tr>
      <w:tr>
        <w:trPr/>
        <w:tc>
          <w:tcPr>
            <w:tcW w:w="941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27" w:type="dxa"/>
            <w:tcBorders/>
            <w:vAlign w:val="center"/>
          </w:tcPr>
          <w:p>
            <w:pPr>
              <w:pStyle w:val="TableContents"/>
              <w:bidi w:val="0"/>
              <w:spacing w:before="0" w:after="283"/>
              <w:ind w:left="0" w:right="0" w:hanging="180"/>
              <w:jc w:val="center"/>
              <w:rPr/>
            </w:pPr>
            <w:r>
              <w:rPr/>
              <w:t> </w:t>
            </w:r>
          </w:p>
        </w:tc>
      </w:tr>
      <w:tr>
        <w:trPr/>
        <w:tc>
          <w:tcPr>
            <w:tcW w:w="9418" w:type="dxa"/>
            <w:tcBorders/>
            <w:shd w:fill="CCEEFF" w:val="clear"/>
            <w:vAlign w:val="center"/>
          </w:tcPr>
          <w:p>
            <w:pPr>
              <w:pStyle w:val="TableContents"/>
              <w:bidi w:val="0"/>
              <w:spacing w:before="0" w:after="283"/>
              <w:jc w:val="left"/>
              <w:rPr/>
            </w:pPr>
            <w:hyperlink w:anchor="a_017">
              <w:r>
                <w:rPr>
                  <w:rStyle w:val="InternetLink"/>
                  <w:sz w:val="20"/>
                </w:rPr>
                <w:t>Item 4. Mine Safety Disclosures.</w:t>
              </w:r>
            </w:hyperlink>
          </w:p>
        </w:tc>
        <w:tc>
          <w:tcPr>
            <w:tcW w:w="60" w:type="dxa"/>
            <w:tcBorders/>
            <w:shd w:fill="CCEEFF" w:val="clear"/>
            <w:vAlign w:val="center"/>
          </w:tcPr>
          <w:p>
            <w:pPr>
              <w:pStyle w:val="TableContents"/>
              <w:bidi w:val="0"/>
              <w:spacing w:before="0" w:after="283"/>
              <w:jc w:val="center"/>
              <w:rPr/>
            </w:pPr>
            <w:r>
              <w:rPr/>
              <w:t> </w:t>
            </w:r>
          </w:p>
        </w:tc>
        <w:tc>
          <w:tcPr>
            <w:tcW w:w="727" w:type="dxa"/>
            <w:tcBorders/>
            <w:shd w:fill="CCEEFF" w:val="clear"/>
            <w:vAlign w:val="center"/>
          </w:tcPr>
          <w:p>
            <w:pPr>
              <w:pStyle w:val="TableContents"/>
              <w:bidi w:val="0"/>
              <w:spacing w:before="0" w:after="283"/>
              <w:ind w:left="0" w:right="0" w:hanging="180"/>
              <w:jc w:val="center"/>
              <w:rPr>
                <w:sz w:val="20"/>
              </w:rPr>
            </w:pPr>
            <w:r>
              <w:rPr>
                <w:sz w:val="20"/>
              </w:rPr>
              <w:t>17</w:t>
            </w:r>
          </w:p>
        </w:tc>
      </w:tr>
      <w:tr>
        <w:trPr/>
        <w:tc>
          <w:tcPr>
            <w:tcW w:w="941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27" w:type="dxa"/>
            <w:tcBorders/>
            <w:vAlign w:val="center"/>
          </w:tcPr>
          <w:p>
            <w:pPr>
              <w:pStyle w:val="TableContents"/>
              <w:bidi w:val="0"/>
              <w:spacing w:before="0" w:after="283"/>
              <w:ind w:left="0" w:right="0" w:hanging="180"/>
              <w:jc w:val="center"/>
              <w:rPr/>
            </w:pPr>
            <w:r>
              <w:rPr/>
              <w:t> </w:t>
            </w:r>
          </w:p>
        </w:tc>
      </w:tr>
      <w:tr>
        <w:trPr/>
        <w:tc>
          <w:tcPr>
            <w:tcW w:w="9418" w:type="dxa"/>
            <w:tcBorders/>
            <w:shd w:fill="CCEEFF" w:val="clear"/>
            <w:vAlign w:val="center"/>
          </w:tcPr>
          <w:p>
            <w:pPr>
              <w:pStyle w:val="TableContents"/>
              <w:bidi w:val="0"/>
              <w:spacing w:before="0" w:after="283"/>
              <w:jc w:val="left"/>
              <w:rPr/>
            </w:pPr>
            <w:hyperlink w:anchor="a_018">
              <w:r>
                <w:rPr>
                  <w:rStyle w:val="InternetLink"/>
                  <w:sz w:val="20"/>
                </w:rPr>
                <w:t>Item 5. Other Information.</w:t>
              </w:r>
            </w:hyperlink>
          </w:p>
        </w:tc>
        <w:tc>
          <w:tcPr>
            <w:tcW w:w="60" w:type="dxa"/>
            <w:tcBorders/>
            <w:shd w:fill="CCEEFF" w:val="clear"/>
            <w:vAlign w:val="center"/>
          </w:tcPr>
          <w:p>
            <w:pPr>
              <w:pStyle w:val="TableContents"/>
              <w:bidi w:val="0"/>
              <w:spacing w:before="0" w:after="283"/>
              <w:jc w:val="center"/>
              <w:rPr/>
            </w:pPr>
            <w:r>
              <w:rPr/>
              <w:t> </w:t>
            </w:r>
          </w:p>
        </w:tc>
        <w:tc>
          <w:tcPr>
            <w:tcW w:w="727" w:type="dxa"/>
            <w:tcBorders/>
            <w:shd w:fill="CCEEFF" w:val="clear"/>
            <w:vAlign w:val="center"/>
          </w:tcPr>
          <w:p>
            <w:pPr>
              <w:pStyle w:val="TableContents"/>
              <w:bidi w:val="0"/>
              <w:spacing w:before="0" w:after="283"/>
              <w:ind w:left="0" w:right="0" w:hanging="180"/>
              <w:jc w:val="center"/>
              <w:rPr>
                <w:sz w:val="20"/>
              </w:rPr>
            </w:pPr>
            <w:r>
              <w:rPr>
                <w:sz w:val="20"/>
              </w:rPr>
              <w:t>17</w:t>
            </w:r>
          </w:p>
        </w:tc>
      </w:tr>
      <w:tr>
        <w:trPr/>
        <w:tc>
          <w:tcPr>
            <w:tcW w:w="941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27" w:type="dxa"/>
            <w:tcBorders/>
            <w:vAlign w:val="center"/>
          </w:tcPr>
          <w:p>
            <w:pPr>
              <w:pStyle w:val="TableContents"/>
              <w:bidi w:val="0"/>
              <w:spacing w:before="0" w:after="283"/>
              <w:ind w:left="0" w:right="0" w:hanging="180"/>
              <w:jc w:val="center"/>
              <w:rPr/>
            </w:pPr>
            <w:r>
              <w:rPr/>
              <w:t> </w:t>
            </w:r>
          </w:p>
        </w:tc>
      </w:tr>
      <w:tr>
        <w:trPr/>
        <w:tc>
          <w:tcPr>
            <w:tcW w:w="9418" w:type="dxa"/>
            <w:tcBorders/>
            <w:shd w:fill="CCEEFF" w:val="clear"/>
            <w:vAlign w:val="center"/>
          </w:tcPr>
          <w:p>
            <w:pPr>
              <w:pStyle w:val="TableContents"/>
              <w:bidi w:val="0"/>
              <w:spacing w:before="0" w:after="283"/>
              <w:jc w:val="left"/>
              <w:rPr/>
            </w:pPr>
            <w:hyperlink w:anchor="a_019">
              <w:r>
                <w:rPr>
                  <w:rStyle w:val="InternetLink"/>
                  <w:sz w:val="20"/>
                </w:rPr>
                <w:t>Item 6. Exhibits.</w:t>
              </w:r>
            </w:hyperlink>
          </w:p>
        </w:tc>
        <w:tc>
          <w:tcPr>
            <w:tcW w:w="60" w:type="dxa"/>
            <w:tcBorders/>
            <w:shd w:fill="CCEEFF" w:val="clear"/>
            <w:vAlign w:val="center"/>
          </w:tcPr>
          <w:p>
            <w:pPr>
              <w:pStyle w:val="TableContents"/>
              <w:bidi w:val="0"/>
              <w:spacing w:before="0" w:after="283"/>
              <w:jc w:val="center"/>
              <w:rPr/>
            </w:pPr>
            <w:r>
              <w:rPr/>
              <w:t> </w:t>
            </w:r>
          </w:p>
        </w:tc>
        <w:tc>
          <w:tcPr>
            <w:tcW w:w="727" w:type="dxa"/>
            <w:tcBorders/>
            <w:shd w:fill="CCEEFF" w:val="clear"/>
            <w:vAlign w:val="center"/>
          </w:tcPr>
          <w:p>
            <w:pPr>
              <w:pStyle w:val="TableContents"/>
              <w:bidi w:val="0"/>
              <w:spacing w:before="0" w:after="283"/>
              <w:jc w:val="center"/>
              <w:rPr>
                <w:sz w:val="20"/>
              </w:rPr>
            </w:pPr>
            <w:r>
              <w:rPr>
                <w:sz w:val="20"/>
              </w:rPr>
              <w:t>19</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STATEMENT REGARDING FORWARD-LOOKING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report includes forward-looking statements that relate to future events or our future financial performance and involve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Words such as, but not limited to, “believe,” “expect,” “anticipate,” “estimate,” “intend,” “plan,” “targets,” “likely,” “aim,” “will,” “would,” “could,” and similar expressions or phrases identify forward-looking statements. We have based these forward-looking statements largely on our current expectations and future events and financial trends that we believe may affect our financial condition, results of operation, business strategy and financial needs.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read thoroughly this report and the documents that we refer to herein with the understanding that our actual future results may be materially different from and/or worse than what we expect. We qualify all of our forward-looking statements by these cautionary statements including those made in this report, in Part I. Item 1A. Risk Factors also appear in our Annual Report on Form 10-K for the year ended December 31, 2023 and our other filings with the Securities and Exchange Commission. Some examples of risk factors which may affect our business are as follows:</w:t>
      </w:r>
    </w:p>
    <w:p>
      <w:pPr>
        <w:pStyle w:val="TextBody"/>
        <w:bidi w:val="0"/>
        <w:spacing w:before="0" w:after="0"/>
        <w:ind w:left="0" w:right="0" w:firstLine="720"/>
        <w:jc w:val="both"/>
        <w:rPr>
          <w:caps w:val="false"/>
          <w:smallCaps w:val="false"/>
        </w:rPr>
      </w:pPr>
      <w:r>
        <w:rPr>
          <w:caps w:val="false"/>
          <w:smallCaps w:val="false"/>
        </w:rPr>
        <w:t> </w:t>
      </w:r>
    </w:p>
    <w:tbl>
      <w:tblPr>
        <w:tblW w:w="6130" w:type="dxa"/>
        <w:jc w:val="left"/>
        <w:tblInd w:w="0" w:type="dxa"/>
        <w:tblLayout w:type="fixed"/>
        <w:tblCellMar>
          <w:top w:w="0" w:type="dxa"/>
          <w:left w:w="0" w:type="dxa"/>
          <w:bottom w:w="0" w:type="dxa"/>
          <w:right w:w="0" w:type="dxa"/>
        </w:tblCellMar>
      </w:tblPr>
      <w:tblGrid>
        <w:gridCol w:w="75"/>
        <w:gridCol w:w="170"/>
        <w:gridCol w:w="58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885" w:type="dxa"/>
            <w:tcBorders/>
            <w:vAlign w:val="center"/>
          </w:tcPr>
          <w:p>
            <w:pPr>
              <w:pStyle w:val="TableContents"/>
              <w:bidi w:val="0"/>
              <w:spacing w:before="0" w:after="283"/>
              <w:jc w:val="both"/>
              <w:rPr>
                <w:sz w:val="20"/>
              </w:rPr>
            </w:pPr>
            <w:r>
              <w:rPr>
                <w:sz w:val="20"/>
              </w:rPr>
              <w:t>our lack of significant revenues, positive cash flow and history of losses,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 </w:t>
            </w:r>
          </w:p>
        </w:tc>
        <w:tc>
          <w:tcPr>
            <w:tcW w:w="588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885" w:type="dxa"/>
            <w:tcBorders/>
            <w:vAlign w:val="center"/>
          </w:tcPr>
          <w:p>
            <w:pPr>
              <w:pStyle w:val="TableContents"/>
              <w:bidi w:val="0"/>
              <w:spacing w:before="0" w:after="283"/>
              <w:jc w:val="both"/>
              <w:rPr>
                <w:sz w:val="20"/>
              </w:rPr>
            </w:pPr>
            <w:r>
              <w:rPr>
                <w:sz w:val="20"/>
              </w:rPr>
              <w:t>market acceptance of our products and competition;</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88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885" w:type="dxa"/>
            <w:tcBorders/>
            <w:vAlign w:val="center"/>
          </w:tcPr>
          <w:p>
            <w:pPr>
              <w:pStyle w:val="TableContents"/>
              <w:bidi w:val="0"/>
              <w:spacing w:before="0" w:after="283"/>
              <w:jc w:val="both"/>
              <w:rPr>
                <w:sz w:val="20"/>
              </w:rPr>
            </w:pPr>
            <w:r>
              <w:rPr>
                <w:sz w:val="20"/>
              </w:rPr>
              <w:t>our ability to attract and retain customers for existing and new products;</w:t>
            </w:r>
          </w:p>
        </w:tc>
      </w:tr>
    </w:tbl>
    <w:p>
      <w:pPr>
        <w:pStyle w:val="TextBody"/>
        <w:bidi w:val="0"/>
        <w:spacing w:before="0" w:after="0"/>
        <w:ind w:left="0" w:right="0" w:hanging="0"/>
        <w:jc w:val="left"/>
        <w:rPr>
          <w:caps w:val="false"/>
          <w:smallCaps w:val="false"/>
        </w:rPr>
      </w:pPr>
      <w:r>
        <w:rPr>
          <w:caps w:val="false"/>
          <w:smallCaps w:val="false"/>
        </w:rPr>
        <w:t> </w:t>
      </w:r>
    </w:p>
    <w:tbl>
      <w:tblPr>
        <w:tblW w:w="8065" w:type="dxa"/>
        <w:jc w:val="left"/>
        <w:tblInd w:w="0" w:type="dxa"/>
        <w:tblLayout w:type="fixed"/>
        <w:tblCellMar>
          <w:top w:w="0" w:type="dxa"/>
          <w:left w:w="0" w:type="dxa"/>
          <w:bottom w:w="0" w:type="dxa"/>
          <w:right w:w="0" w:type="dxa"/>
        </w:tblCellMar>
      </w:tblPr>
      <w:tblGrid>
        <w:gridCol w:w="75"/>
        <w:gridCol w:w="170"/>
        <w:gridCol w:w="78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820" w:type="dxa"/>
            <w:tcBorders/>
            <w:vAlign w:val="center"/>
          </w:tcPr>
          <w:p>
            <w:pPr>
              <w:pStyle w:val="TableContents"/>
              <w:bidi w:val="0"/>
              <w:spacing w:before="0" w:after="283"/>
              <w:jc w:val="both"/>
              <w:rPr>
                <w:sz w:val="20"/>
              </w:rPr>
            </w:pPr>
            <w:r>
              <w:rPr>
                <w:sz w:val="20"/>
              </w:rPr>
              <w:t>our ability to effectively maintain and update our technology and product and service portfolio;</w:t>
            </w:r>
          </w:p>
        </w:tc>
      </w:tr>
    </w:tbl>
    <w:p>
      <w:pPr>
        <w:pStyle w:val="TextBody"/>
        <w:bidi w:val="0"/>
        <w:spacing w:before="0" w:after="0"/>
        <w:ind w:left="0" w:right="0" w:hanging="0"/>
        <w:jc w:val="left"/>
        <w:rPr>
          <w:caps w:val="false"/>
          <w:smallCaps w:val="false"/>
        </w:rPr>
      </w:pPr>
      <w:r>
        <w:rPr>
          <w:caps w:val="false"/>
          <w:smallCaps w:val="false"/>
        </w:rPr>
        <w:t> </w:t>
      </w:r>
    </w:p>
    <w:tbl>
      <w:tblPr>
        <w:tblW w:w="4450" w:type="dxa"/>
        <w:jc w:val="left"/>
        <w:tblInd w:w="0" w:type="dxa"/>
        <w:tblLayout w:type="fixed"/>
        <w:tblCellMar>
          <w:top w:w="0" w:type="dxa"/>
          <w:left w:w="0" w:type="dxa"/>
          <w:bottom w:w="0" w:type="dxa"/>
          <w:right w:w="0" w:type="dxa"/>
        </w:tblCellMar>
      </w:tblPr>
      <w:tblGrid>
        <w:gridCol w:w="75"/>
        <w:gridCol w:w="170"/>
        <w:gridCol w:w="42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205" w:type="dxa"/>
            <w:tcBorders/>
            <w:vAlign w:val="center"/>
          </w:tcPr>
          <w:p>
            <w:pPr>
              <w:pStyle w:val="TableContents"/>
              <w:bidi w:val="0"/>
              <w:spacing w:before="0" w:after="283"/>
              <w:jc w:val="both"/>
              <w:rPr>
                <w:sz w:val="20"/>
              </w:rPr>
            </w:pPr>
            <w:r>
              <w:rPr>
                <w:sz w:val="20"/>
              </w:rPr>
              <w:t>our reliance on third party software and developers;</w:t>
            </w:r>
          </w:p>
        </w:tc>
      </w:tr>
    </w:tbl>
    <w:p>
      <w:pPr>
        <w:pStyle w:val="TextBody"/>
        <w:bidi w:val="0"/>
        <w:spacing w:before="0" w:after="0"/>
        <w:ind w:left="0" w:right="0" w:hanging="0"/>
        <w:jc w:val="left"/>
        <w:rPr>
          <w:caps w:val="false"/>
          <w:smallCaps w:val="false"/>
        </w:rPr>
      </w:pPr>
      <w:r>
        <w:rPr>
          <w:caps w:val="false"/>
          <w:smallCaps w:val="false"/>
        </w:rPr>
        <w:t> </w:t>
      </w:r>
    </w:p>
    <w:tbl>
      <w:tblPr>
        <w:tblW w:w="5095" w:type="dxa"/>
        <w:jc w:val="left"/>
        <w:tblInd w:w="0" w:type="dxa"/>
        <w:tblLayout w:type="fixed"/>
        <w:tblCellMar>
          <w:top w:w="0" w:type="dxa"/>
          <w:left w:w="0" w:type="dxa"/>
          <w:bottom w:w="0" w:type="dxa"/>
          <w:right w:w="0" w:type="dxa"/>
        </w:tblCellMar>
      </w:tblPr>
      <w:tblGrid>
        <w:gridCol w:w="75"/>
        <w:gridCol w:w="170"/>
        <w:gridCol w:w="48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850" w:type="dxa"/>
            <w:tcBorders/>
            <w:vAlign w:val="center"/>
          </w:tcPr>
          <w:p>
            <w:pPr>
              <w:pStyle w:val="TableContents"/>
              <w:bidi w:val="0"/>
              <w:spacing w:before="0" w:after="283"/>
              <w:jc w:val="both"/>
              <w:rPr>
                <w:sz w:val="20"/>
              </w:rPr>
            </w:pPr>
            <w:r>
              <w:rPr>
                <w:sz w:val="20"/>
              </w:rPr>
              <w:t>breaches of network or IT security and presentation attacks;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our ability to hire and retain key personnel and additional talent;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our ability to raise capital under acceptable terms;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our ability to maintain listing of our common stock on the Nasdaq Capital Market;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our ability to adequately protect our intellectual property, or the loss of some of our intellectual property rights through costly litigation or administrative proceedings;</w:t>
            </w:r>
          </w:p>
        </w:tc>
      </w:tr>
    </w:tbl>
    <w:p>
      <w:pPr>
        <w:pStyle w:val="TextBody"/>
        <w:bidi w:val="0"/>
        <w:jc w:val="left"/>
        <w:rPr>
          <w:caps w:val="false"/>
          <w:smallCaps w:val="false"/>
        </w:rPr>
      </w:pPr>
      <w:r>
        <w:rPr>
          <w:caps w:val="false"/>
          <w:smallCaps w:val="false"/>
        </w:rPr>
        <w:t> </w:t>
      </w:r>
    </w:p>
    <w:tbl>
      <w:tblPr>
        <w:tblW w:w="5800" w:type="dxa"/>
        <w:jc w:val="left"/>
        <w:tblInd w:w="0" w:type="dxa"/>
        <w:tblLayout w:type="fixed"/>
        <w:tblCellMar>
          <w:top w:w="0" w:type="dxa"/>
          <w:left w:w="0" w:type="dxa"/>
          <w:bottom w:w="0" w:type="dxa"/>
          <w:right w:w="0" w:type="dxa"/>
        </w:tblCellMar>
      </w:tblPr>
      <w:tblGrid>
        <w:gridCol w:w="75"/>
        <w:gridCol w:w="170"/>
        <w:gridCol w:w="55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555" w:type="dxa"/>
            <w:tcBorders/>
            <w:vAlign w:val="center"/>
          </w:tcPr>
          <w:p>
            <w:pPr>
              <w:pStyle w:val="TableContents"/>
              <w:bidi w:val="0"/>
              <w:spacing w:before="0" w:after="283"/>
              <w:jc w:val="both"/>
              <w:rPr>
                <w:sz w:val="20"/>
              </w:rPr>
            </w:pPr>
            <w:r>
              <w:rPr>
                <w:sz w:val="20"/>
              </w:rPr>
              <w:t>our ability to operate in non-US markets;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55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555" w:type="dxa"/>
            <w:tcBorders/>
            <w:vAlign w:val="center"/>
          </w:tcPr>
          <w:p>
            <w:pPr>
              <w:pStyle w:val="TableContents"/>
              <w:bidi w:val="0"/>
              <w:spacing w:before="0" w:after="283"/>
              <w:jc w:val="both"/>
              <w:rPr>
                <w:sz w:val="20"/>
              </w:rPr>
            </w:pPr>
            <w:r>
              <w:rPr>
                <w:sz w:val="20"/>
              </w:rPr>
              <w:t>the impact of the wars in Ukraine and the Middle East;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55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555" w:type="dxa"/>
            <w:tcBorders/>
            <w:vAlign w:val="center"/>
          </w:tcPr>
          <w:p>
            <w:pPr>
              <w:pStyle w:val="TableContents"/>
              <w:bidi w:val="0"/>
              <w:spacing w:before="0" w:after="283"/>
              <w:jc w:val="both"/>
              <w:rPr>
                <w:sz w:val="20"/>
              </w:rPr>
            </w:pPr>
            <w:r>
              <w:rPr>
                <w:sz w:val="20"/>
              </w:rPr>
              <w:t>stock price and market volatility and the risk of securities litigation;</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55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555" w:type="dxa"/>
            <w:tcBorders/>
            <w:vAlign w:val="center"/>
          </w:tcPr>
          <w:p>
            <w:pPr>
              <w:pStyle w:val="TableContents"/>
              <w:bidi w:val="0"/>
              <w:spacing w:before="0" w:after="283"/>
              <w:jc w:val="both"/>
              <w:rPr>
                <w:sz w:val="20"/>
              </w:rPr>
            </w:pPr>
            <w:r>
              <w:rPr>
                <w:sz w:val="20"/>
              </w:rPr>
              <w:t>legislation and government regulation;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55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555" w:type="dxa"/>
            <w:tcBorders/>
            <w:vAlign w:val="center"/>
          </w:tcPr>
          <w:p>
            <w:pPr>
              <w:pStyle w:val="TableContents"/>
              <w:bidi w:val="0"/>
              <w:spacing w:before="0" w:after="283"/>
              <w:jc w:val="both"/>
              <w:rPr>
                <w:sz w:val="20"/>
              </w:rPr>
            </w:pPr>
            <w:r>
              <w:rPr>
                <w:sz w:val="20"/>
              </w:rPr>
              <w:t>general economic conditions, inflation and access to capital.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sections of this report include additional factors which could adversely impact our business and financial performance. New risk factors emerge from time to time and it is not possible for our management to predict all risk factors, nor can we assess the impact of all factors on our business or the extent to which any factor, or combination of factors, may cause actual results to differ materially from those contained in any forward-looking statements. Except for our ongoing obligations to disclose material information under the Federal securities laws, we undertake no obligation to release publicly any revisions to any forward-looking statements, to report events or to report the occurrence of unanticipated events. These forward-looking statements speak only as of the date of this report, and you should not rely on these statements without also considering the risks and uncertainties associated with these statements and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PERTINENT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specifically set forth to the contrary, when used in this report the terms “authID” the “Company,” “we,” “our,” “us,” and similar terms refer to authID Inc., a Delaware corporation and its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which appears on our website www.authID.ai is not part of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a_001"/>
      <w:bookmarkEnd w:id="2"/>
      <w:r>
        <w:rPr>
          <w:rFonts w:ascii="Times New Roman;Times;Serif" w:hAnsi="Times New Roman;Times;Serif"/>
          <w:b/>
          <w:i w:val="false"/>
          <w:caps w:val="false"/>
          <w:smallCaps w:val="false"/>
          <w:sz w:val="20"/>
        </w:rPr>
        <w:t>PART I – FINANCIAL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 w:name="a_002"/>
      <w:bookmarkEnd w:id="3"/>
      <w:r>
        <w:rPr>
          <w:rFonts w:ascii="Times New Roman;Times;Serif" w:hAnsi="Times New Roman;Times;Serif"/>
          <w:b/>
          <w:i w:val="false"/>
          <w:caps w:val="false"/>
          <w:smallCaps w:val="false"/>
          <w:sz w:val="20"/>
        </w:rPr>
        <w:t>ITEM 1.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a_003"/>
      <w:bookmarkEnd w:id="4"/>
      <w:r>
        <w:rPr>
          <w:rFonts w:ascii="Times New Roman;Times;Serif" w:hAnsi="Times New Roman;Times;Serif"/>
          <w:b/>
          <w:i w:val="false"/>
          <w:caps w:val="false"/>
          <w:smallCaps w:val="false"/>
          <w:sz w:val="20"/>
        </w:rPr>
        <w:t>authID INC. AND SUBSIDIARIES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BALANCE SHEETS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439"/>
        <w:gridCol w:w="60"/>
        <w:gridCol w:w="125"/>
        <w:gridCol w:w="1115"/>
        <w:gridCol w:w="80"/>
        <w:gridCol w:w="60"/>
        <w:gridCol w:w="125"/>
        <w:gridCol w:w="1115"/>
        <w:gridCol w:w="86"/>
      </w:tblGrid>
      <w:tr>
        <w:trPr/>
        <w:tc>
          <w:tcPr>
            <w:tcW w:w="743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center"/>
              <w:rPr>
                <w:b/>
                <w:sz w:val="20"/>
              </w:rPr>
            </w:pPr>
            <w:r>
              <w:rPr>
                <w:b/>
                <w:sz w:val="20"/>
              </w:rPr>
              <w:t>March 31,</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center"/>
              <w:rPr>
                <w:b/>
                <w:sz w:val="20"/>
              </w:rPr>
            </w:pPr>
            <w:r>
              <w:rPr>
                <w:b/>
                <w:sz w:val="20"/>
              </w:rPr>
              <w:t>December 31,</w:t>
            </w:r>
          </w:p>
        </w:tc>
        <w:tc>
          <w:tcPr>
            <w:tcW w:w="86" w:type="dxa"/>
            <w:tcBorders/>
            <w:vAlign w:val="center"/>
          </w:tcPr>
          <w:p>
            <w:pPr>
              <w:pStyle w:val="TableContents"/>
              <w:bidi w:val="0"/>
              <w:spacing w:before="0" w:after="283"/>
              <w:jc w:val="left"/>
              <w:rPr/>
            </w:pPr>
            <w:r>
              <w:rPr/>
              <w:t> </w:t>
            </w:r>
          </w:p>
        </w:tc>
      </w:tr>
      <w:tr>
        <w:trPr/>
        <w:tc>
          <w:tcPr>
            <w:tcW w:w="743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2024</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2023</w:t>
            </w:r>
          </w:p>
        </w:tc>
        <w:tc>
          <w:tcPr>
            <w:tcW w:w="86" w:type="dxa"/>
            <w:tcBorders/>
            <w:vAlign w:val="center"/>
          </w:tcPr>
          <w:p>
            <w:pPr>
              <w:pStyle w:val="TableContents"/>
              <w:bidi w:val="0"/>
              <w:spacing w:before="0" w:after="283"/>
              <w:jc w:val="left"/>
              <w:rPr/>
            </w:pPr>
            <w:r>
              <w:rPr/>
              <w:t> </w:t>
            </w:r>
          </w:p>
        </w:tc>
      </w:tr>
      <w:tr>
        <w:trPr/>
        <w:tc>
          <w:tcPr>
            <w:tcW w:w="743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center"/>
              <w:rPr>
                <w:b/>
                <w:sz w:val="20"/>
              </w:rPr>
            </w:pPr>
            <w:r>
              <w:rPr>
                <w:b/>
                <w:sz w:val="20"/>
              </w:rPr>
              <w:t>(unaudited)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center"/>
              <w:rPr/>
            </w:pPr>
            <w:r>
              <w:rPr/>
              <w:t> </w:t>
            </w:r>
          </w:p>
        </w:tc>
        <w:tc>
          <w:tcPr>
            <w:tcW w:w="86" w:type="dxa"/>
            <w:tcBorders/>
            <w:vAlign w:val="center"/>
          </w:tcPr>
          <w:p>
            <w:pPr>
              <w:pStyle w:val="TableContents"/>
              <w:bidi w:val="0"/>
              <w:spacing w:before="0" w:after="283"/>
              <w:jc w:val="left"/>
              <w:rPr/>
            </w:pPr>
            <w:r>
              <w:rPr/>
              <w:t> </w:t>
            </w:r>
          </w:p>
        </w:tc>
      </w:tr>
      <w:tr>
        <w:trPr/>
        <w:tc>
          <w:tcPr>
            <w:tcW w:w="7439" w:type="dxa"/>
            <w:tcBorders/>
            <w:vAlign w:val="center"/>
          </w:tcPr>
          <w:p>
            <w:pPr>
              <w:pStyle w:val="TableContents"/>
              <w:bidi w:val="0"/>
              <w:spacing w:before="0" w:after="283"/>
              <w:jc w:val="center"/>
              <w:rPr>
                <w:sz w:val="20"/>
              </w:rPr>
            </w:pPr>
            <w:r>
              <w:rPr>
                <w:sz w:val="20"/>
              </w:rPr>
              <w:t>ASSETS</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r>
      <w:tr>
        <w:trPr/>
        <w:tc>
          <w:tcPr>
            <w:tcW w:w="7439" w:type="dxa"/>
            <w:tcBorders/>
            <w:vAlign w:val="center"/>
          </w:tcPr>
          <w:p>
            <w:pPr>
              <w:pStyle w:val="TableContents"/>
              <w:bidi w:val="0"/>
              <w:spacing w:before="0" w:after="283"/>
              <w:jc w:val="left"/>
              <w:rPr>
                <w:sz w:val="20"/>
              </w:rPr>
            </w:pPr>
            <w:r>
              <w:rPr>
                <w:sz w:val="20"/>
              </w:rPr>
              <w:t>Current Assets:</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ind w:left="0" w:right="0" w:hanging="200"/>
              <w:jc w:val="left"/>
              <w:rPr/>
            </w:pPr>
            <w:r>
              <w:rPr/>
              <w:t> </w:t>
            </w:r>
          </w:p>
        </w:tc>
      </w:tr>
      <w:tr>
        <w:trPr/>
        <w:tc>
          <w:tcPr>
            <w:tcW w:w="7439" w:type="dxa"/>
            <w:tcBorders/>
            <w:shd w:fill="CCEEFF" w:val="clear"/>
            <w:vAlign w:val="center"/>
          </w:tcPr>
          <w:p>
            <w:pPr>
              <w:pStyle w:val="TableContents"/>
              <w:bidi w:val="0"/>
              <w:spacing w:before="0" w:after="283"/>
              <w:jc w:val="left"/>
              <w:rPr>
                <w:sz w:val="20"/>
              </w:rPr>
            </w:pPr>
            <w:r>
              <w:rPr>
                <w:sz w:val="20"/>
              </w:rPr>
              <w:t>Cash</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1115" w:type="dxa"/>
            <w:tcBorders/>
            <w:shd w:fill="CCEEFF" w:val="clear"/>
            <w:vAlign w:val="center"/>
          </w:tcPr>
          <w:p>
            <w:pPr>
              <w:pStyle w:val="TableContents"/>
              <w:bidi w:val="0"/>
              <w:spacing w:before="0" w:after="283"/>
              <w:jc w:val="right"/>
              <w:rPr>
                <w:sz w:val="20"/>
              </w:rPr>
            </w:pPr>
            <w:r>
              <w:rPr>
                <w:sz w:val="20"/>
              </w:rPr>
              <w:t>7,226,212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1115" w:type="dxa"/>
            <w:tcBorders/>
            <w:shd w:fill="CCEEFF" w:val="clear"/>
            <w:vAlign w:val="center"/>
          </w:tcPr>
          <w:p>
            <w:pPr>
              <w:pStyle w:val="TableContents"/>
              <w:bidi w:val="0"/>
              <w:spacing w:before="0" w:after="283"/>
              <w:jc w:val="right"/>
              <w:rPr>
                <w:sz w:val="20"/>
              </w:rPr>
            </w:pPr>
            <w:r>
              <w:rPr>
                <w:sz w:val="20"/>
              </w:rPr>
              <w:t>10,177,099</w:t>
            </w:r>
          </w:p>
        </w:tc>
        <w:tc>
          <w:tcPr>
            <w:tcW w:w="86" w:type="dxa"/>
            <w:tcBorders/>
            <w:shd w:fill="CCEEFF" w:val="clear"/>
            <w:vAlign w:val="center"/>
          </w:tcPr>
          <w:p>
            <w:pPr>
              <w:pStyle w:val="TableContents"/>
              <w:bidi w:val="0"/>
              <w:spacing w:before="0" w:after="283"/>
              <w:ind w:left="0" w:right="0" w:hanging="200"/>
              <w:jc w:val="left"/>
              <w:rPr/>
            </w:pPr>
            <w:r>
              <w:rPr/>
              <w:t> </w:t>
            </w:r>
          </w:p>
        </w:tc>
      </w:tr>
      <w:tr>
        <w:trPr/>
        <w:tc>
          <w:tcPr>
            <w:tcW w:w="7439" w:type="dxa"/>
            <w:tcBorders/>
            <w:vAlign w:val="center"/>
          </w:tcPr>
          <w:p>
            <w:pPr>
              <w:pStyle w:val="TableContents"/>
              <w:bidi w:val="0"/>
              <w:spacing w:before="0" w:after="283"/>
              <w:jc w:val="left"/>
              <w:rPr>
                <w:sz w:val="20"/>
              </w:rPr>
            </w:pPr>
            <w:r>
              <w:rPr>
                <w:sz w:val="20"/>
              </w:rPr>
              <w:t>Accounts receivable, net</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right"/>
              <w:rPr>
                <w:sz w:val="20"/>
              </w:rPr>
            </w:pPr>
            <w:r>
              <w:rPr>
                <w:sz w:val="20"/>
              </w:rPr>
              <w:t>328,782</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right"/>
              <w:rPr>
                <w:sz w:val="20"/>
              </w:rPr>
            </w:pPr>
            <w:r>
              <w:rPr>
                <w:sz w:val="20"/>
              </w:rPr>
              <w:t>91,277</w:t>
            </w:r>
          </w:p>
        </w:tc>
        <w:tc>
          <w:tcPr>
            <w:tcW w:w="86" w:type="dxa"/>
            <w:tcBorders/>
            <w:vAlign w:val="center"/>
          </w:tcPr>
          <w:p>
            <w:pPr>
              <w:pStyle w:val="TableContents"/>
              <w:bidi w:val="0"/>
              <w:spacing w:before="0" w:after="283"/>
              <w:ind w:left="0" w:right="0" w:hanging="200"/>
              <w:jc w:val="left"/>
              <w:rPr/>
            </w:pPr>
            <w:r>
              <w:rPr/>
              <w:t> </w:t>
            </w:r>
          </w:p>
        </w:tc>
      </w:tr>
      <w:tr>
        <w:trPr/>
        <w:tc>
          <w:tcPr>
            <w:tcW w:w="7439" w:type="dxa"/>
            <w:tcBorders/>
            <w:shd w:fill="CCEEFF" w:val="clear"/>
            <w:vAlign w:val="center"/>
          </w:tcPr>
          <w:p>
            <w:pPr>
              <w:pStyle w:val="TableContents"/>
              <w:bidi w:val="0"/>
              <w:spacing w:before="0" w:after="283"/>
              <w:jc w:val="left"/>
              <w:rPr>
                <w:sz w:val="20"/>
              </w:rPr>
            </w:pPr>
            <w:r>
              <w:rPr>
                <w:sz w:val="20"/>
              </w:rPr>
              <w:t>Deferred contract costs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sz w:val="20"/>
              </w:rPr>
            </w:pPr>
            <w:r>
              <w:rPr>
                <w:sz w:val="20"/>
              </w:rPr>
              <w:t>160,718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sz w:val="20"/>
              </w:rPr>
            </w:pPr>
            <w:r>
              <w:rPr>
                <w:sz w:val="20"/>
              </w:rPr>
              <w:t>157,300</w:t>
            </w:r>
          </w:p>
        </w:tc>
        <w:tc>
          <w:tcPr>
            <w:tcW w:w="86" w:type="dxa"/>
            <w:tcBorders/>
            <w:shd w:fill="CCEEFF" w:val="clear"/>
            <w:vAlign w:val="center"/>
          </w:tcPr>
          <w:p>
            <w:pPr>
              <w:pStyle w:val="TableContents"/>
              <w:bidi w:val="0"/>
              <w:spacing w:before="0" w:after="283"/>
              <w:ind w:left="0" w:right="0" w:hanging="200"/>
              <w:jc w:val="left"/>
              <w:rPr/>
            </w:pPr>
            <w:r>
              <w:rPr/>
              <w:t> </w:t>
            </w:r>
          </w:p>
        </w:tc>
      </w:tr>
      <w:tr>
        <w:trPr/>
        <w:tc>
          <w:tcPr>
            <w:tcW w:w="7439" w:type="dxa"/>
            <w:tcBorders/>
            <w:vAlign w:val="center"/>
          </w:tcPr>
          <w:p>
            <w:pPr>
              <w:pStyle w:val="TableContents"/>
              <w:bidi w:val="0"/>
              <w:spacing w:before="0" w:after="283"/>
              <w:jc w:val="left"/>
              <w:rPr>
                <w:sz w:val="20"/>
              </w:rPr>
            </w:pPr>
            <w:r>
              <w:rPr>
                <w:sz w:val="20"/>
              </w:rPr>
              <w:t>Other current assets, net</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right"/>
              <w:rPr>
                <w:sz w:val="20"/>
              </w:rPr>
            </w:pPr>
            <w:r>
              <w:rPr>
                <w:sz w:val="20"/>
              </w:rPr>
              <w:t>485,598</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right"/>
              <w:rPr>
                <w:sz w:val="20"/>
              </w:rPr>
            </w:pPr>
            <w:r>
              <w:rPr>
                <w:sz w:val="20"/>
              </w:rPr>
              <w:t>476,004</w:t>
            </w:r>
          </w:p>
        </w:tc>
        <w:tc>
          <w:tcPr>
            <w:tcW w:w="86" w:type="dxa"/>
            <w:tcBorders/>
            <w:vAlign w:val="center"/>
          </w:tcPr>
          <w:p>
            <w:pPr>
              <w:pStyle w:val="TableContents"/>
              <w:bidi w:val="0"/>
              <w:spacing w:before="0" w:after="283"/>
              <w:ind w:left="0" w:right="0" w:hanging="200"/>
              <w:jc w:val="left"/>
              <w:rPr/>
            </w:pPr>
            <w:r>
              <w:rPr/>
              <w:t> </w:t>
            </w:r>
          </w:p>
        </w:tc>
      </w:tr>
      <w:tr>
        <w:trPr/>
        <w:tc>
          <w:tcPr>
            <w:tcW w:w="7439" w:type="dxa"/>
            <w:tcBorders/>
            <w:shd w:fill="CCEEFF" w:val="clear"/>
            <w:vAlign w:val="center"/>
          </w:tcPr>
          <w:p>
            <w:pPr>
              <w:pStyle w:val="TableContents"/>
              <w:bidi w:val="0"/>
              <w:spacing w:before="0" w:after="283"/>
              <w:jc w:val="left"/>
              <w:rPr>
                <w:sz w:val="20"/>
              </w:rPr>
            </w:pPr>
            <w:r>
              <w:rPr>
                <w:sz w:val="20"/>
              </w:rPr>
              <w:t>Contract assets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15" w:type="dxa"/>
            <w:tcBorders>
              <w:bottom w:val="single" w:sz="12" w:space="0" w:color="000000"/>
            </w:tcBorders>
            <w:shd w:fill="CCEEFF" w:val="clear"/>
            <w:tcMar>
              <w:bottom w:w="28" w:type="dxa"/>
            </w:tcMar>
            <w:vAlign w:val="center"/>
          </w:tcPr>
          <w:p>
            <w:pPr>
              <w:pStyle w:val="TableContents"/>
              <w:bidi w:val="0"/>
              <w:spacing w:before="0" w:after="283"/>
              <w:jc w:val="right"/>
              <w:rPr>
                <w:sz w:val="20"/>
              </w:rPr>
            </w:pPr>
            <w:r>
              <w:rPr>
                <w:sz w:val="20"/>
              </w:rPr>
              <w:t>49,713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15" w:type="dxa"/>
            <w:tcBorders>
              <w:bottom w:val="single" w:sz="12" w:space="0" w:color="000000"/>
            </w:tcBorders>
            <w:shd w:fill="CCEEFF" w:val="clear"/>
            <w:tcMar>
              <w:bottom w:w="28" w:type="dxa"/>
            </w:tcMar>
            <w:vAlign w:val="center"/>
          </w:tcPr>
          <w:p>
            <w:pPr>
              <w:pStyle w:val="TableContents"/>
              <w:bidi w:val="0"/>
              <w:spacing w:before="0" w:after="283"/>
              <w:jc w:val="right"/>
              <w:rPr>
                <w:sz w:val="20"/>
              </w:rPr>
            </w:pPr>
            <w:r>
              <w:rPr>
                <w:sz w:val="20"/>
              </w:rPr>
              <w:t>-</w:t>
            </w:r>
          </w:p>
        </w:tc>
        <w:tc>
          <w:tcPr>
            <w:tcW w:w="86" w:type="dxa"/>
            <w:tcBorders/>
            <w:shd w:fill="CCEEFF" w:val="clear"/>
            <w:vAlign w:val="center"/>
          </w:tcPr>
          <w:p>
            <w:pPr>
              <w:pStyle w:val="TableContents"/>
              <w:bidi w:val="0"/>
              <w:spacing w:before="0" w:after="283"/>
              <w:ind w:left="0" w:right="0" w:hanging="200"/>
              <w:jc w:val="left"/>
              <w:rPr/>
            </w:pPr>
            <w:r>
              <w:rPr/>
              <w:t> </w:t>
            </w:r>
          </w:p>
        </w:tc>
      </w:tr>
      <w:tr>
        <w:trPr/>
        <w:tc>
          <w:tcPr>
            <w:tcW w:w="7439" w:type="dxa"/>
            <w:tcBorders/>
            <w:vAlign w:val="center"/>
          </w:tcPr>
          <w:p>
            <w:pPr>
              <w:pStyle w:val="TableContents"/>
              <w:bidi w:val="0"/>
              <w:spacing w:before="0" w:after="283"/>
              <w:jc w:val="left"/>
              <w:rPr>
                <w:sz w:val="20"/>
              </w:rPr>
            </w:pPr>
            <w:r>
              <w:rPr>
                <w:sz w:val="20"/>
              </w:rPr>
              <w:t>Total current assets</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right"/>
              <w:rPr>
                <w:sz w:val="20"/>
              </w:rPr>
            </w:pPr>
            <w:r>
              <w:rPr>
                <w:sz w:val="20"/>
              </w:rPr>
              <w:t>8,251,023</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right"/>
              <w:rPr>
                <w:sz w:val="20"/>
              </w:rPr>
            </w:pPr>
            <w:r>
              <w:rPr>
                <w:sz w:val="20"/>
              </w:rPr>
              <w:t>10,901,680</w:t>
            </w:r>
          </w:p>
        </w:tc>
        <w:tc>
          <w:tcPr>
            <w:tcW w:w="86" w:type="dxa"/>
            <w:tcBorders/>
            <w:vAlign w:val="center"/>
          </w:tcPr>
          <w:p>
            <w:pPr>
              <w:pStyle w:val="TableContents"/>
              <w:bidi w:val="0"/>
              <w:spacing w:before="0" w:after="283"/>
              <w:ind w:left="0" w:right="0" w:hanging="200"/>
              <w:jc w:val="left"/>
              <w:rPr/>
            </w:pPr>
            <w:r>
              <w:rPr/>
              <w:t> </w:t>
            </w:r>
          </w:p>
        </w:tc>
      </w:tr>
      <w:tr>
        <w:trPr/>
        <w:tc>
          <w:tcPr>
            <w:tcW w:w="743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 </w:t>
            </w:r>
          </w:p>
        </w:tc>
        <w:tc>
          <w:tcPr>
            <w:tcW w:w="86" w:type="dxa"/>
            <w:tcBorders/>
            <w:shd w:fill="CCEEFF" w:val="clear"/>
            <w:vAlign w:val="center"/>
          </w:tcPr>
          <w:p>
            <w:pPr>
              <w:pStyle w:val="TableContents"/>
              <w:bidi w:val="0"/>
              <w:spacing w:before="0" w:after="283"/>
              <w:ind w:left="0" w:right="0" w:hanging="200"/>
              <w:jc w:val="left"/>
              <w:rPr/>
            </w:pPr>
            <w:r>
              <w:rPr/>
              <w:t> </w:t>
            </w:r>
          </w:p>
        </w:tc>
      </w:tr>
      <w:tr>
        <w:trPr/>
        <w:tc>
          <w:tcPr>
            <w:tcW w:w="7439" w:type="dxa"/>
            <w:tcBorders/>
            <w:vAlign w:val="center"/>
          </w:tcPr>
          <w:p>
            <w:pPr>
              <w:pStyle w:val="TableContents"/>
              <w:bidi w:val="0"/>
              <w:spacing w:before="0" w:after="283"/>
              <w:jc w:val="left"/>
              <w:rPr>
                <w:sz w:val="20"/>
              </w:rPr>
            </w:pPr>
            <w:r>
              <w:rPr>
                <w:sz w:val="20"/>
              </w:rPr>
              <w:t>Intangible Assets, net</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right"/>
              <w:rPr>
                <w:sz w:val="20"/>
              </w:rPr>
            </w:pPr>
            <w:r>
              <w:rPr>
                <w:sz w:val="20"/>
              </w:rPr>
              <w:t>283,593</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right"/>
              <w:rPr>
                <w:sz w:val="20"/>
              </w:rPr>
            </w:pPr>
            <w:r>
              <w:rPr>
                <w:sz w:val="20"/>
              </w:rPr>
              <w:t>327,001</w:t>
            </w:r>
          </w:p>
        </w:tc>
        <w:tc>
          <w:tcPr>
            <w:tcW w:w="86" w:type="dxa"/>
            <w:tcBorders/>
            <w:vAlign w:val="center"/>
          </w:tcPr>
          <w:p>
            <w:pPr>
              <w:pStyle w:val="TableContents"/>
              <w:bidi w:val="0"/>
              <w:spacing w:before="0" w:after="283"/>
              <w:ind w:left="0" w:right="0" w:hanging="200"/>
              <w:jc w:val="left"/>
              <w:rPr/>
            </w:pPr>
            <w:r>
              <w:rPr/>
              <w:t> </w:t>
            </w:r>
          </w:p>
        </w:tc>
      </w:tr>
      <w:tr>
        <w:trPr/>
        <w:tc>
          <w:tcPr>
            <w:tcW w:w="7439" w:type="dxa"/>
            <w:tcBorders/>
            <w:shd w:fill="CCEEFF" w:val="clear"/>
            <w:vAlign w:val="center"/>
          </w:tcPr>
          <w:p>
            <w:pPr>
              <w:pStyle w:val="TableContents"/>
              <w:bidi w:val="0"/>
              <w:spacing w:before="0" w:after="283"/>
              <w:jc w:val="left"/>
              <w:rPr>
                <w:sz w:val="20"/>
              </w:rPr>
            </w:pPr>
            <w:r>
              <w:rPr>
                <w:sz w:val="20"/>
              </w:rPr>
              <w:t>Goodwill</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sz w:val="20"/>
              </w:rPr>
            </w:pPr>
            <w:r>
              <w:rPr>
                <w:sz w:val="20"/>
              </w:rPr>
              <w:t>4,183,232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sz w:val="20"/>
              </w:rPr>
            </w:pPr>
            <w:r>
              <w:rPr>
                <w:sz w:val="20"/>
              </w:rPr>
              <w:t>4,183,232</w:t>
            </w:r>
          </w:p>
        </w:tc>
        <w:tc>
          <w:tcPr>
            <w:tcW w:w="86" w:type="dxa"/>
            <w:tcBorders/>
            <w:shd w:fill="CCEEFF" w:val="clear"/>
            <w:vAlign w:val="center"/>
          </w:tcPr>
          <w:p>
            <w:pPr>
              <w:pStyle w:val="TableContents"/>
              <w:bidi w:val="0"/>
              <w:spacing w:before="0" w:after="283"/>
              <w:ind w:left="0" w:right="0" w:hanging="200"/>
              <w:jc w:val="left"/>
              <w:rPr/>
            </w:pPr>
            <w:r>
              <w:rPr/>
              <w:t> </w:t>
            </w:r>
          </w:p>
        </w:tc>
      </w:tr>
      <w:tr>
        <w:trPr/>
        <w:tc>
          <w:tcPr>
            <w:tcW w:w="7439" w:type="dxa"/>
            <w:tcBorders/>
            <w:vAlign w:val="center"/>
          </w:tcPr>
          <w:p>
            <w:pPr>
              <w:pStyle w:val="TableContents"/>
              <w:bidi w:val="0"/>
              <w:spacing w:before="0" w:after="283"/>
              <w:jc w:val="left"/>
              <w:rPr>
                <w:sz w:val="20"/>
              </w:rPr>
            </w:pPr>
            <w:r>
              <w:rPr>
                <w:sz w:val="20"/>
              </w:rPr>
              <w:t>Total assets</w:t>
            </w:r>
          </w:p>
        </w:tc>
        <w:tc>
          <w:tcPr>
            <w:tcW w:w="60" w:type="dxa"/>
            <w:tcBorders/>
            <w:vAlign w:val="center"/>
          </w:tcPr>
          <w:p>
            <w:pPr>
              <w:pStyle w:val="TableContents"/>
              <w:bidi w:val="0"/>
              <w:spacing w:before="0" w:after="283"/>
              <w:jc w:val="left"/>
              <w:rPr/>
            </w:pPr>
            <w:r>
              <w:rPr/>
              <w:t> </w:t>
            </w:r>
          </w:p>
        </w:tc>
        <w:tc>
          <w:tcPr>
            <w:tcW w:w="125" w:type="dxa"/>
            <w:tcBorders>
              <w:bottom w:val="double" w:sz="10" w:space="0" w:color="000000"/>
            </w:tcBorders>
            <w:tcMar>
              <w:bottom w:w="28" w:type="dxa"/>
            </w:tcMar>
            <w:vAlign w:val="center"/>
          </w:tcPr>
          <w:p>
            <w:pPr>
              <w:pStyle w:val="TableContents"/>
              <w:bidi w:val="0"/>
              <w:spacing w:before="0" w:after="283"/>
              <w:jc w:val="left"/>
              <w:rPr>
                <w:sz w:val="20"/>
              </w:rPr>
            </w:pPr>
            <w:r>
              <w:rPr>
                <w:sz w:val="20"/>
              </w:rPr>
              <w:t>$</w:t>
            </w:r>
          </w:p>
        </w:tc>
        <w:tc>
          <w:tcPr>
            <w:tcW w:w="1115" w:type="dxa"/>
            <w:tcBorders>
              <w:bottom w:val="double" w:sz="10" w:space="0" w:color="000000"/>
            </w:tcBorders>
            <w:tcMar>
              <w:bottom w:w="28" w:type="dxa"/>
            </w:tcMar>
            <w:vAlign w:val="center"/>
          </w:tcPr>
          <w:p>
            <w:pPr>
              <w:pStyle w:val="TableContents"/>
              <w:bidi w:val="0"/>
              <w:spacing w:before="0" w:after="283"/>
              <w:jc w:val="right"/>
              <w:rPr>
                <w:sz w:val="20"/>
              </w:rPr>
            </w:pPr>
            <w:r>
              <w:rPr>
                <w:sz w:val="20"/>
              </w:rPr>
              <w:t>12,717,848</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double" w:sz="10" w:space="0" w:color="000000"/>
            </w:tcBorders>
            <w:tcMar>
              <w:bottom w:w="28" w:type="dxa"/>
            </w:tcMar>
            <w:vAlign w:val="center"/>
          </w:tcPr>
          <w:p>
            <w:pPr>
              <w:pStyle w:val="TableContents"/>
              <w:bidi w:val="0"/>
              <w:spacing w:before="0" w:after="283"/>
              <w:jc w:val="left"/>
              <w:rPr>
                <w:sz w:val="20"/>
              </w:rPr>
            </w:pPr>
            <w:r>
              <w:rPr>
                <w:sz w:val="20"/>
              </w:rPr>
              <w:t>$</w:t>
            </w:r>
          </w:p>
        </w:tc>
        <w:tc>
          <w:tcPr>
            <w:tcW w:w="1115" w:type="dxa"/>
            <w:tcBorders>
              <w:bottom w:val="double" w:sz="10" w:space="0" w:color="000000"/>
            </w:tcBorders>
            <w:tcMar>
              <w:bottom w:w="28" w:type="dxa"/>
            </w:tcMar>
            <w:vAlign w:val="center"/>
          </w:tcPr>
          <w:p>
            <w:pPr>
              <w:pStyle w:val="TableContents"/>
              <w:bidi w:val="0"/>
              <w:spacing w:before="0" w:after="283"/>
              <w:jc w:val="right"/>
              <w:rPr>
                <w:sz w:val="20"/>
              </w:rPr>
            </w:pPr>
            <w:r>
              <w:rPr>
                <w:sz w:val="20"/>
              </w:rPr>
              <w:t>15,411,913</w:t>
            </w:r>
          </w:p>
        </w:tc>
        <w:tc>
          <w:tcPr>
            <w:tcW w:w="86" w:type="dxa"/>
            <w:tcBorders/>
            <w:vAlign w:val="center"/>
          </w:tcPr>
          <w:p>
            <w:pPr>
              <w:pStyle w:val="TableContents"/>
              <w:bidi w:val="0"/>
              <w:spacing w:before="0" w:after="283"/>
              <w:ind w:left="0" w:right="0" w:hanging="200"/>
              <w:jc w:val="left"/>
              <w:rPr/>
            </w:pPr>
            <w:r>
              <w:rPr/>
              <w:t> </w:t>
            </w:r>
          </w:p>
        </w:tc>
      </w:tr>
      <w:tr>
        <w:trPr/>
        <w:tc>
          <w:tcPr>
            <w:tcW w:w="743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 </w:t>
            </w:r>
          </w:p>
        </w:tc>
        <w:tc>
          <w:tcPr>
            <w:tcW w:w="86" w:type="dxa"/>
            <w:tcBorders/>
            <w:shd w:fill="CCEEFF" w:val="clear"/>
            <w:vAlign w:val="center"/>
          </w:tcPr>
          <w:p>
            <w:pPr>
              <w:pStyle w:val="TableContents"/>
              <w:bidi w:val="0"/>
              <w:spacing w:before="0" w:after="283"/>
              <w:jc w:val="left"/>
              <w:rPr/>
            </w:pPr>
            <w:r>
              <w:rPr/>
              <w:t> </w:t>
            </w:r>
          </w:p>
        </w:tc>
      </w:tr>
      <w:tr>
        <w:trPr/>
        <w:tc>
          <w:tcPr>
            <w:tcW w:w="7439" w:type="dxa"/>
            <w:tcBorders/>
            <w:vAlign w:val="center"/>
          </w:tcPr>
          <w:p>
            <w:pPr>
              <w:pStyle w:val="TableContents"/>
              <w:bidi w:val="0"/>
              <w:spacing w:before="0" w:after="283"/>
              <w:jc w:val="center"/>
              <w:rPr>
                <w:sz w:val="20"/>
              </w:rPr>
            </w:pPr>
            <w:r>
              <w:rPr>
                <w:sz w:val="20"/>
              </w:rPr>
              <w:t>LIABILITIES AND STOCKHOLDERS’ EQUITY</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right"/>
              <w:rPr/>
            </w:pPr>
            <w:r>
              <w:rPr/>
              <w:t> </w:t>
            </w:r>
          </w:p>
        </w:tc>
        <w:tc>
          <w:tcPr>
            <w:tcW w:w="86" w:type="dxa"/>
            <w:tcBorders/>
            <w:vAlign w:val="center"/>
          </w:tcPr>
          <w:p>
            <w:pPr>
              <w:pStyle w:val="TableContents"/>
              <w:bidi w:val="0"/>
              <w:spacing w:before="0" w:after="283"/>
              <w:ind w:left="0" w:right="0" w:hanging="200"/>
              <w:jc w:val="left"/>
              <w:rPr/>
            </w:pPr>
            <w:r>
              <w:rPr/>
              <w:t> </w:t>
            </w:r>
          </w:p>
        </w:tc>
      </w:tr>
      <w:tr>
        <w:trPr/>
        <w:tc>
          <w:tcPr>
            <w:tcW w:w="7439" w:type="dxa"/>
            <w:tcBorders/>
            <w:shd w:fill="CCEEFF" w:val="clear"/>
            <w:vAlign w:val="center"/>
          </w:tcPr>
          <w:p>
            <w:pPr>
              <w:pStyle w:val="TableContents"/>
              <w:bidi w:val="0"/>
              <w:spacing w:before="0" w:after="283"/>
              <w:jc w:val="left"/>
              <w:rPr>
                <w:sz w:val="20"/>
              </w:rPr>
            </w:pPr>
            <w:r>
              <w:rPr>
                <w:sz w:val="20"/>
              </w:rPr>
              <w:t>Current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 </w:t>
            </w:r>
          </w:p>
        </w:tc>
        <w:tc>
          <w:tcPr>
            <w:tcW w:w="86" w:type="dxa"/>
            <w:tcBorders/>
            <w:shd w:fill="CCEEFF" w:val="clear"/>
            <w:vAlign w:val="center"/>
          </w:tcPr>
          <w:p>
            <w:pPr>
              <w:pStyle w:val="TableContents"/>
              <w:bidi w:val="0"/>
              <w:spacing w:before="0" w:after="283"/>
              <w:ind w:left="0" w:right="0" w:hanging="200"/>
              <w:jc w:val="left"/>
              <w:rPr/>
            </w:pPr>
            <w:r>
              <w:rPr/>
              <w:t> </w:t>
            </w:r>
          </w:p>
        </w:tc>
      </w:tr>
      <w:tr>
        <w:trPr/>
        <w:tc>
          <w:tcPr>
            <w:tcW w:w="7439" w:type="dxa"/>
            <w:tcBorders/>
            <w:vAlign w:val="center"/>
          </w:tcPr>
          <w:p>
            <w:pPr>
              <w:pStyle w:val="TableContents"/>
              <w:bidi w:val="0"/>
              <w:spacing w:before="0" w:after="283"/>
              <w:jc w:val="left"/>
              <w:rPr>
                <w:sz w:val="20"/>
              </w:rPr>
            </w:pPr>
            <w:r>
              <w:rPr>
                <w:sz w:val="20"/>
              </w:rPr>
              <w:t>Accounts payable and accrued expenses</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sz w:val="20"/>
              </w:rPr>
            </w:pPr>
            <w:r>
              <w:rPr>
                <w:sz w:val="20"/>
              </w:rPr>
              <w:t>$</w:t>
            </w:r>
          </w:p>
        </w:tc>
        <w:tc>
          <w:tcPr>
            <w:tcW w:w="1115" w:type="dxa"/>
            <w:tcBorders/>
            <w:vAlign w:val="center"/>
          </w:tcPr>
          <w:p>
            <w:pPr>
              <w:pStyle w:val="TableContents"/>
              <w:bidi w:val="0"/>
              <w:spacing w:before="0" w:after="283"/>
              <w:jc w:val="right"/>
              <w:rPr>
                <w:sz w:val="20"/>
              </w:rPr>
            </w:pPr>
            <w:r>
              <w:rPr>
                <w:sz w:val="20"/>
              </w:rPr>
              <w:t>906,244</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sz w:val="20"/>
              </w:rPr>
            </w:pPr>
            <w:r>
              <w:rPr>
                <w:sz w:val="20"/>
              </w:rPr>
              <w:t>$</w:t>
            </w:r>
          </w:p>
        </w:tc>
        <w:tc>
          <w:tcPr>
            <w:tcW w:w="1115" w:type="dxa"/>
            <w:tcBorders/>
            <w:vAlign w:val="center"/>
          </w:tcPr>
          <w:p>
            <w:pPr>
              <w:pStyle w:val="TableContents"/>
              <w:bidi w:val="0"/>
              <w:spacing w:before="0" w:after="283"/>
              <w:jc w:val="right"/>
              <w:rPr>
                <w:sz w:val="20"/>
              </w:rPr>
            </w:pPr>
            <w:r>
              <w:rPr>
                <w:sz w:val="20"/>
              </w:rPr>
              <w:t>1,408,965</w:t>
            </w:r>
          </w:p>
        </w:tc>
        <w:tc>
          <w:tcPr>
            <w:tcW w:w="86" w:type="dxa"/>
            <w:tcBorders/>
            <w:vAlign w:val="center"/>
          </w:tcPr>
          <w:p>
            <w:pPr>
              <w:pStyle w:val="TableContents"/>
              <w:bidi w:val="0"/>
              <w:spacing w:before="0" w:after="283"/>
              <w:ind w:left="0" w:right="0" w:hanging="200"/>
              <w:jc w:val="left"/>
              <w:rPr/>
            </w:pPr>
            <w:r>
              <w:rPr/>
              <w:t> </w:t>
            </w:r>
          </w:p>
        </w:tc>
      </w:tr>
      <w:tr>
        <w:trPr/>
        <w:tc>
          <w:tcPr>
            <w:tcW w:w="7439" w:type="dxa"/>
            <w:tcBorders/>
            <w:shd w:fill="CCEEFF" w:val="clear"/>
            <w:vAlign w:val="center"/>
          </w:tcPr>
          <w:p>
            <w:pPr>
              <w:pStyle w:val="TableContents"/>
              <w:bidi w:val="0"/>
              <w:spacing w:before="0" w:after="283"/>
              <w:jc w:val="left"/>
              <w:rPr>
                <w:sz w:val="20"/>
              </w:rPr>
            </w:pPr>
            <w:r>
              <w:rPr>
                <w:sz w:val="20"/>
              </w:rPr>
              <w:t>Deferred revenue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sz w:val="20"/>
              </w:rPr>
            </w:pPr>
            <w:r>
              <w:rPr>
                <w:sz w:val="20"/>
              </w:rPr>
              <w:t>307,647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sz w:val="20"/>
              </w:rPr>
            </w:pPr>
            <w:r>
              <w:rPr>
                <w:sz w:val="20"/>
              </w:rPr>
              <w:t>131,628</w:t>
            </w:r>
          </w:p>
        </w:tc>
        <w:tc>
          <w:tcPr>
            <w:tcW w:w="86" w:type="dxa"/>
            <w:tcBorders/>
            <w:shd w:fill="CCEEFF" w:val="clear"/>
            <w:vAlign w:val="center"/>
          </w:tcPr>
          <w:p>
            <w:pPr>
              <w:pStyle w:val="TableContents"/>
              <w:bidi w:val="0"/>
              <w:spacing w:before="0" w:after="283"/>
              <w:ind w:left="0" w:right="0" w:hanging="200"/>
              <w:jc w:val="left"/>
              <w:rPr/>
            </w:pPr>
            <w:r>
              <w:rPr/>
              <w:t> </w:t>
            </w:r>
          </w:p>
        </w:tc>
      </w:tr>
      <w:tr>
        <w:trPr/>
        <w:tc>
          <w:tcPr>
            <w:tcW w:w="7439" w:type="dxa"/>
            <w:tcBorders/>
            <w:vAlign w:val="center"/>
          </w:tcPr>
          <w:p>
            <w:pPr>
              <w:pStyle w:val="TableContents"/>
              <w:bidi w:val="0"/>
              <w:spacing w:before="0" w:after="283"/>
              <w:jc w:val="left"/>
              <w:rPr>
                <w:sz w:val="20"/>
              </w:rPr>
            </w:pPr>
            <w:r>
              <w:rPr>
                <w:sz w:val="20"/>
              </w:rPr>
              <w:t>Commission liability</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right"/>
              <w:rPr>
                <w:sz w:val="20"/>
              </w:rPr>
            </w:pPr>
            <w:r>
              <w:rPr>
                <w:sz w:val="20"/>
              </w:rPr>
              <w:t>83,200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right"/>
              <w:rPr>
                <w:sz w:val="20"/>
              </w:rPr>
            </w:pPr>
            <w:r>
              <w:rPr>
                <w:sz w:val="20"/>
              </w:rPr>
              <w:t>124,150</w:t>
            </w:r>
          </w:p>
        </w:tc>
        <w:tc>
          <w:tcPr>
            <w:tcW w:w="86" w:type="dxa"/>
            <w:tcBorders/>
            <w:vAlign w:val="center"/>
          </w:tcPr>
          <w:p>
            <w:pPr>
              <w:pStyle w:val="TableContents"/>
              <w:bidi w:val="0"/>
              <w:spacing w:before="0" w:after="283"/>
              <w:ind w:left="0" w:right="0" w:hanging="200"/>
              <w:jc w:val="left"/>
              <w:rPr/>
            </w:pPr>
            <w:r>
              <w:rPr/>
              <w:t> </w:t>
            </w:r>
          </w:p>
        </w:tc>
      </w:tr>
      <w:tr>
        <w:trPr/>
        <w:tc>
          <w:tcPr>
            <w:tcW w:w="7439" w:type="dxa"/>
            <w:tcBorders/>
            <w:shd w:fill="CCEEFF" w:val="clear"/>
            <w:vAlign w:val="center"/>
          </w:tcPr>
          <w:p>
            <w:pPr>
              <w:pStyle w:val="TableContents"/>
              <w:bidi w:val="0"/>
              <w:spacing w:before="0" w:after="283"/>
              <w:jc w:val="left"/>
              <w:rPr>
                <w:sz w:val="20"/>
              </w:rPr>
            </w:pPr>
            <w:r>
              <w:rPr>
                <w:sz w:val="20"/>
              </w:rPr>
              <w:t>Convertible debt, net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15" w:type="dxa"/>
            <w:tcBorders>
              <w:bottom w:val="single" w:sz="12" w:space="0" w:color="000000"/>
            </w:tcBorders>
            <w:shd w:fill="CCEEFF" w:val="clear"/>
            <w:tcMar>
              <w:bottom w:w="28" w:type="dxa"/>
            </w:tcMar>
            <w:vAlign w:val="center"/>
          </w:tcPr>
          <w:p>
            <w:pPr>
              <w:pStyle w:val="TableContents"/>
              <w:bidi w:val="0"/>
              <w:spacing w:before="0" w:after="283"/>
              <w:jc w:val="right"/>
              <w:rPr>
                <w:sz w:val="20"/>
              </w:rPr>
            </w:pPr>
            <w:r>
              <w:rPr>
                <w:sz w:val="20"/>
              </w:rPr>
              <w:t>228,539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15" w:type="dxa"/>
            <w:tcBorders>
              <w:bottom w:val="single" w:sz="12" w:space="0" w:color="000000"/>
            </w:tcBorders>
            <w:shd w:fill="CCEEFF" w:val="clear"/>
            <w:tcMar>
              <w:bottom w:w="28" w:type="dxa"/>
            </w:tcMar>
            <w:vAlign w:val="center"/>
          </w:tcPr>
          <w:p>
            <w:pPr>
              <w:pStyle w:val="TableContents"/>
              <w:bidi w:val="0"/>
              <w:spacing w:before="0" w:after="0"/>
              <w:jc w:val="right"/>
              <w:rPr>
                <w:sz w:val="20"/>
              </w:rPr>
            </w:pPr>
            <w:r>
              <w:rPr>
                <w:sz w:val="20"/>
              </w:rPr>
              <w:t>-</w:t>
            </w:r>
          </w:p>
        </w:tc>
        <w:tc>
          <w:tcPr>
            <w:tcW w:w="86" w:type="dxa"/>
            <w:tcBorders/>
            <w:shd w:fill="CCEEFF" w:val="clear"/>
            <w:vAlign w:val="center"/>
          </w:tcPr>
          <w:p>
            <w:pPr>
              <w:pStyle w:val="TableContents"/>
              <w:bidi w:val="0"/>
              <w:spacing w:before="0" w:after="283"/>
              <w:ind w:left="0" w:right="0" w:hanging="200"/>
              <w:jc w:val="left"/>
              <w:rPr/>
            </w:pPr>
            <w:r>
              <w:rPr/>
              <w:t> </w:t>
            </w:r>
          </w:p>
        </w:tc>
      </w:tr>
      <w:tr>
        <w:trPr/>
        <w:tc>
          <w:tcPr>
            <w:tcW w:w="7439" w:type="dxa"/>
            <w:tcBorders/>
            <w:vAlign w:val="center"/>
          </w:tcPr>
          <w:p>
            <w:pPr>
              <w:pStyle w:val="TableContents"/>
              <w:bidi w:val="0"/>
              <w:spacing w:before="0" w:after="283"/>
              <w:jc w:val="left"/>
              <w:rPr>
                <w:sz w:val="20"/>
              </w:rPr>
            </w:pPr>
            <w:r>
              <w:rPr>
                <w:sz w:val="20"/>
              </w:rPr>
              <w:t>Total current liabilities</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right"/>
              <w:rPr>
                <w:sz w:val="20"/>
              </w:rPr>
            </w:pPr>
            <w:r>
              <w:rPr>
                <w:sz w:val="20"/>
              </w:rPr>
              <w:t>1,525,630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right"/>
              <w:rPr>
                <w:sz w:val="20"/>
              </w:rPr>
            </w:pPr>
            <w:r>
              <w:rPr>
                <w:sz w:val="20"/>
              </w:rPr>
              <w:t>1,664,743</w:t>
            </w:r>
          </w:p>
        </w:tc>
        <w:tc>
          <w:tcPr>
            <w:tcW w:w="86" w:type="dxa"/>
            <w:tcBorders/>
            <w:vAlign w:val="center"/>
          </w:tcPr>
          <w:p>
            <w:pPr>
              <w:pStyle w:val="TableContents"/>
              <w:bidi w:val="0"/>
              <w:spacing w:before="0" w:after="283"/>
              <w:ind w:left="0" w:right="0" w:hanging="200"/>
              <w:jc w:val="left"/>
              <w:rPr/>
            </w:pPr>
            <w:r>
              <w:rPr/>
              <w:t> </w:t>
            </w:r>
          </w:p>
        </w:tc>
      </w:tr>
      <w:tr>
        <w:trPr/>
        <w:tc>
          <w:tcPr>
            <w:tcW w:w="7439" w:type="dxa"/>
            <w:tcBorders/>
            <w:shd w:fill="CCEEFF" w:val="clear"/>
            <w:vAlign w:val="center"/>
          </w:tcPr>
          <w:p>
            <w:pPr>
              <w:pStyle w:val="TableContents"/>
              <w:bidi w:val="0"/>
              <w:spacing w:before="0" w:after="283"/>
              <w:jc w:val="left"/>
              <w:rPr>
                <w:sz w:val="20"/>
              </w:rPr>
            </w:pPr>
            <w:r>
              <w:rPr>
                <w:sz w:val="20"/>
              </w:rPr>
              <w:t>Non-current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 </w:t>
            </w:r>
          </w:p>
        </w:tc>
        <w:tc>
          <w:tcPr>
            <w:tcW w:w="86" w:type="dxa"/>
            <w:tcBorders/>
            <w:shd w:fill="CCEEFF" w:val="clear"/>
            <w:vAlign w:val="center"/>
          </w:tcPr>
          <w:p>
            <w:pPr>
              <w:pStyle w:val="TableContents"/>
              <w:bidi w:val="0"/>
              <w:spacing w:before="0" w:after="283"/>
              <w:ind w:left="0" w:right="0" w:hanging="200"/>
              <w:jc w:val="left"/>
              <w:rPr/>
            </w:pPr>
            <w:r>
              <w:rPr/>
              <w:t> </w:t>
            </w:r>
          </w:p>
        </w:tc>
      </w:tr>
      <w:tr>
        <w:trPr/>
        <w:tc>
          <w:tcPr>
            <w:tcW w:w="7439" w:type="dxa"/>
            <w:tcBorders/>
            <w:vAlign w:val="center"/>
          </w:tcPr>
          <w:p>
            <w:pPr>
              <w:pStyle w:val="TableContents"/>
              <w:bidi w:val="0"/>
              <w:spacing w:before="0" w:after="283"/>
              <w:jc w:val="left"/>
              <w:rPr>
                <w:sz w:val="20"/>
              </w:rPr>
            </w:pPr>
            <w:r>
              <w:rPr>
                <w:sz w:val="20"/>
              </w:rPr>
              <w:t>Convertible debt, net</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0"/>
              <w:jc w:val="right"/>
              <w:rPr>
                <w:sz w:val="20"/>
              </w:rPr>
            </w:pPr>
            <w:r>
              <w:rPr>
                <w:sz w:val="20"/>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right"/>
              <w:rPr>
                <w:sz w:val="20"/>
              </w:rPr>
            </w:pPr>
            <w:r>
              <w:rPr>
                <w:sz w:val="20"/>
              </w:rPr>
              <w:t>224,424</w:t>
            </w:r>
          </w:p>
        </w:tc>
        <w:tc>
          <w:tcPr>
            <w:tcW w:w="86" w:type="dxa"/>
            <w:tcBorders/>
            <w:vAlign w:val="center"/>
          </w:tcPr>
          <w:p>
            <w:pPr>
              <w:pStyle w:val="TableContents"/>
              <w:bidi w:val="0"/>
              <w:spacing w:before="0" w:after="283"/>
              <w:ind w:left="0" w:right="0" w:hanging="200"/>
              <w:jc w:val="left"/>
              <w:rPr/>
            </w:pPr>
            <w:r>
              <w:rPr/>
              <w:t> </w:t>
            </w:r>
          </w:p>
        </w:tc>
      </w:tr>
      <w:tr>
        <w:trPr/>
        <w:tc>
          <w:tcPr>
            <w:tcW w:w="7439" w:type="dxa"/>
            <w:tcBorders/>
            <w:shd w:fill="CCEEFF" w:val="clear"/>
            <w:vAlign w:val="center"/>
          </w:tcPr>
          <w:p>
            <w:pPr>
              <w:pStyle w:val="TableContents"/>
              <w:bidi w:val="0"/>
              <w:spacing w:before="0" w:after="283"/>
              <w:jc w:val="left"/>
              <w:rPr>
                <w:sz w:val="20"/>
              </w:rPr>
            </w:pPr>
            <w:r>
              <w:rPr>
                <w:sz w:val="20"/>
              </w:rPr>
              <w:t>Accrued severance liability</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15" w:type="dxa"/>
            <w:tcBorders>
              <w:bottom w:val="single" w:sz="12" w:space="0" w:color="000000"/>
            </w:tcBorders>
            <w:shd w:fill="CCEEFF" w:val="clear"/>
            <w:tcMar>
              <w:bottom w:w="28" w:type="dxa"/>
            </w:tcMar>
            <w:vAlign w:val="center"/>
          </w:tcPr>
          <w:p>
            <w:pPr>
              <w:pStyle w:val="TableContents"/>
              <w:bidi w:val="0"/>
              <w:spacing w:before="0" w:after="283"/>
              <w:jc w:val="right"/>
              <w:rPr>
                <w:sz w:val="20"/>
              </w:rPr>
            </w:pPr>
            <w:r>
              <w:rPr>
                <w:sz w:val="20"/>
              </w:rPr>
              <w:t>325,000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15" w:type="dxa"/>
            <w:tcBorders>
              <w:bottom w:val="single" w:sz="12" w:space="0" w:color="000000"/>
            </w:tcBorders>
            <w:shd w:fill="CCEEFF" w:val="clear"/>
            <w:tcMar>
              <w:bottom w:w="28" w:type="dxa"/>
            </w:tcMar>
            <w:vAlign w:val="center"/>
          </w:tcPr>
          <w:p>
            <w:pPr>
              <w:pStyle w:val="TableContents"/>
              <w:bidi w:val="0"/>
              <w:spacing w:before="0" w:after="283"/>
              <w:jc w:val="right"/>
              <w:rPr>
                <w:sz w:val="20"/>
              </w:rPr>
            </w:pPr>
            <w:r>
              <w:rPr>
                <w:sz w:val="20"/>
              </w:rPr>
              <w:t>325,000</w:t>
            </w:r>
          </w:p>
        </w:tc>
        <w:tc>
          <w:tcPr>
            <w:tcW w:w="86" w:type="dxa"/>
            <w:tcBorders/>
            <w:shd w:fill="CCEEFF" w:val="clear"/>
            <w:vAlign w:val="center"/>
          </w:tcPr>
          <w:p>
            <w:pPr>
              <w:pStyle w:val="TableContents"/>
              <w:bidi w:val="0"/>
              <w:spacing w:before="0" w:after="283"/>
              <w:ind w:left="0" w:right="0" w:hanging="200"/>
              <w:jc w:val="left"/>
              <w:rPr/>
            </w:pPr>
            <w:r>
              <w:rPr/>
              <w:t> </w:t>
            </w:r>
          </w:p>
        </w:tc>
      </w:tr>
      <w:tr>
        <w:trPr/>
        <w:tc>
          <w:tcPr>
            <w:tcW w:w="7439" w:type="dxa"/>
            <w:tcBorders/>
            <w:vAlign w:val="center"/>
          </w:tcPr>
          <w:p>
            <w:pPr>
              <w:pStyle w:val="TableContents"/>
              <w:bidi w:val="0"/>
              <w:spacing w:before="0" w:after="283"/>
              <w:jc w:val="left"/>
              <w:rPr>
                <w:sz w:val="20"/>
              </w:rPr>
            </w:pPr>
            <w:r>
              <w:rPr>
                <w:sz w:val="20"/>
              </w:rPr>
              <w:t>Total liabilities</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1115" w:type="dxa"/>
            <w:tcBorders>
              <w:bottom w:val="single" w:sz="12" w:space="0" w:color="000000"/>
            </w:tcBorders>
            <w:tcMar>
              <w:bottom w:w="28" w:type="dxa"/>
            </w:tcMar>
            <w:vAlign w:val="center"/>
          </w:tcPr>
          <w:p>
            <w:pPr>
              <w:pStyle w:val="TableContents"/>
              <w:bidi w:val="0"/>
              <w:spacing w:before="0" w:after="283"/>
              <w:jc w:val="right"/>
              <w:rPr>
                <w:sz w:val="20"/>
              </w:rPr>
            </w:pPr>
            <w:r>
              <w:rPr>
                <w:sz w:val="20"/>
              </w:rPr>
              <w:t>1,850,630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1115" w:type="dxa"/>
            <w:tcBorders>
              <w:bottom w:val="single" w:sz="12" w:space="0" w:color="000000"/>
            </w:tcBorders>
            <w:tcMar>
              <w:bottom w:w="28" w:type="dxa"/>
            </w:tcMar>
            <w:vAlign w:val="center"/>
          </w:tcPr>
          <w:p>
            <w:pPr>
              <w:pStyle w:val="TableContents"/>
              <w:bidi w:val="0"/>
              <w:spacing w:before="0" w:after="283"/>
              <w:jc w:val="right"/>
              <w:rPr>
                <w:sz w:val="20"/>
              </w:rPr>
            </w:pPr>
            <w:r>
              <w:rPr>
                <w:sz w:val="20"/>
              </w:rPr>
              <w:t>2,214,167</w:t>
            </w:r>
          </w:p>
        </w:tc>
        <w:tc>
          <w:tcPr>
            <w:tcW w:w="86" w:type="dxa"/>
            <w:tcBorders/>
            <w:vAlign w:val="center"/>
          </w:tcPr>
          <w:p>
            <w:pPr>
              <w:pStyle w:val="TableContents"/>
              <w:bidi w:val="0"/>
              <w:spacing w:before="0" w:after="283"/>
              <w:ind w:left="0" w:right="0" w:hanging="200"/>
              <w:jc w:val="left"/>
              <w:rPr/>
            </w:pPr>
            <w:r>
              <w:rPr/>
              <w:t> </w:t>
            </w:r>
          </w:p>
        </w:tc>
      </w:tr>
      <w:tr>
        <w:trPr/>
        <w:tc>
          <w:tcPr>
            <w:tcW w:w="743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 </w:t>
            </w:r>
          </w:p>
        </w:tc>
        <w:tc>
          <w:tcPr>
            <w:tcW w:w="86" w:type="dxa"/>
            <w:tcBorders/>
            <w:shd w:fill="CCEEFF" w:val="clear"/>
            <w:vAlign w:val="center"/>
          </w:tcPr>
          <w:p>
            <w:pPr>
              <w:pStyle w:val="TableContents"/>
              <w:bidi w:val="0"/>
              <w:spacing w:before="0" w:after="283"/>
              <w:ind w:left="0" w:right="0" w:hanging="200"/>
              <w:jc w:val="left"/>
              <w:rPr/>
            </w:pPr>
            <w:r>
              <w:rPr/>
              <w:t> </w:t>
            </w:r>
          </w:p>
        </w:tc>
      </w:tr>
      <w:tr>
        <w:trPr/>
        <w:tc>
          <w:tcPr>
            <w:tcW w:w="7439" w:type="dxa"/>
            <w:tcBorders/>
            <w:vAlign w:val="center"/>
          </w:tcPr>
          <w:p>
            <w:pPr>
              <w:pStyle w:val="TableContents"/>
              <w:bidi w:val="0"/>
              <w:spacing w:before="0" w:after="283"/>
              <w:jc w:val="left"/>
              <w:rPr>
                <w:sz w:val="20"/>
              </w:rPr>
            </w:pPr>
            <w:r>
              <w:rPr>
                <w:sz w:val="20"/>
              </w:rPr>
              <w:t>Commitments and Contingencies (Note 10)</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0"/>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0"/>
              <w:jc w:val="right"/>
              <w:rPr/>
            </w:pPr>
            <w:r>
              <w:rPr/>
              <w:t> </w:t>
            </w:r>
          </w:p>
        </w:tc>
        <w:tc>
          <w:tcPr>
            <w:tcW w:w="86" w:type="dxa"/>
            <w:tcBorders/>
            <w:vAlign w:val="center"/>
          </w:tcPr>
          <w:p>
            <w:pPr>
              <w:pStyle w:val="TableContents"/>
              <w:bidi w:val="0"/>
              <w:spacing w:before="0" w:after="283"/>
              <w:ind w:left="0" w:right="0" w:hanging="200"/>
              <w:jc w:val="left"/>
              <w:rPr/>
            </w:pPr>
            <w:r>
              <w:rPr/>
              <w:t> </w:t>
            </w:r>
          </w:p>
        </w:tc>
      </w:tr>
      <w:tr>
        <w:trPr/>
        <w:tc>
          <w:tcPr>
            <w:tcW w:w="743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 </w:t>
            </w:r>
          </w:p>
        </w:tc>
        <w:tc>
          <w:tcPr>
            <w:tcW w:w="86" w:type="dxa"/>
            <w:tcBorders/>
            <w:shd w:fill="CCEEFF" w:val="clear"/>
            <w:vAlign w:val="center"/>
          </w:tcPr>
          <w:p>
            <w:pPr>
              <w:pStyle w:val="TableContents"/>
              <w:bidi w:val="0"/>
              <w:spacing w:before="0" w:after="283"/>
              <w:ind w:left="0" w:right="0" w:hanging="200"/>
              <w:jc w:val="left"/>
              <w:rPr/>
            </w:pPr>
            <w:r>
              <w:rPr/>
              <w:t> </w:t>
            </w:r>
          </w:p>
        </w:tc>
      </w:tr>
      <w:tr>
        <w:trPr/>
        <w:tc>
          <w:tcPr>
            <w:tcW w:w="7439" w:type="dxa"/>
            <w:tcBorders/>
            <w:vAlign w:val="center"/>
          </w:tcPr>
          <w:p>
            <w:pPr>
              <w:pStyle w:val="TableContents"/>
              <w:bidi w:val="0"/>
              <w:spacing w:before="0" w:after="283"/>
              <w:jc w:val="left"/>
              <w:rPr>
                <w:sz w:val="20"/>
              </w:rPr>
            </w:pPr>
            <w:r>
              <w:rPr>
                <w:sz w:val="20"/>
              </w:rPr>
              <w:t>Stockholders’ Equity:</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right"/>
              <w:rPr/>
            </w:pPr>
            <w:r>
              <w:rPr/>
              <w:t> </w:t>
            </w:r>
          </w:p>
        </w:tc>
        <w:tc>
          <w:tcPr>
            <w:tcW w:w="86" w:type="dxa"/>
            <w:tcBorders/>
            <w:vAlign w:val="center"/>
          </w:tcPr>
          <w:p>
            <w:pPr>
              <w:pStyle w:val="TableContents"/>
              <w:bidi w:val="0"/>
              <w:spacing w:before="0" w:after="283"/>
              <w:ind w:left="0" w:right="0" w:hanging="200"/>
              <w:jc w:val="left"/>
              <w:rPr/>
            </w:pPr>
            <w:r>
              <w:rPr/>
              <w:t> </w:t>
            </w:r>
          </w:p>
        </w:tc>
      </w:tr>
      <w:tr>
        <w:trPr/>
        <w:tc>
          <w:tcPr>
            <w:tcW w:w="7439" w:type="dxa"/>
            <w:tcBorders/>
            <w:shd w:fill="CCEEFF" w:val="clear"/>
            <w:vAlign w:val="center"/>
          </w:tcPr>
          <w:p>
            <w:pPr>
              <w:pStyle w:val="TableContents"/>
              <w:bidi w:val="0"/>
              <w:spacing w:before="0" w:after="283"/>
              <w:jc w:val="left"/>
              <w:rPr>
                <w:sz w:val="20"/>
              </w:rPr>
            </w:pPr>
            <w:r>
              <w:rPr>
                <w:sz w:val="20"/>
              </w:rPr>
              <w:t>Common stock, $0.0001 par value, 250,000,000 shares authorized; 9,450,220 shares issued and outstanding as of March 31, 2024 and December 31, 2023</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sz w:val="20"/>
              </w:rPr>
            </w:pPr>
            <w:r>
              <w:rPr>
                <w:sz w:val="20"/>
              </w:rPr>
              <w:t>945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sz w:val="20"/>
              </w:rPr>
            </w:pPr>
            <w:r>
              <w:rPr>
                <w:sz w:val="20"/>
              </w:rPr>
              <w:t>945</w:t>
            </w:r>
          </w:p>
        </w:tc>
        <w:tc>
          <w:tcPr>
            <w:tcW w:w="86" w:type="dxa"/>
            <w:tcBorders/>
            <w:shd w:fill="CCEEFF" w:val="clear"/>
            <w:vAlign w:val="center"/>
          </w:tcPr>
          <w:p>
            <w:pPr>
              <w:pStyle w:val="TableContents"/>
              <w:bidi w:val="0"/>
              <w:spacing w:before="0" w:after="283"/>
              <w:ind w:left="0" w:right="0" w:hanging="200"/>
              <w:jc w:val="left"/>
              <w:rPr/>
            </w:pPr>
            <w:r>
              <w:rPr/>
              <w:t> </w:t>
            </w:r>
          </w:p>
        </w:tc>
      </w:tr>
      <w:tr>
        <w:trPr/>
        <w:tc>
          <w:tcPr>
            <w:tcW w:w="7439" w:type="dxa"/>
            <w:tcBorders/>
            <w:vAlign w:val="center"/>
          </w:tcPr>
          <w:p>
            <w:pPr>
              <w:pStyle w:val="TableContents"/>
              <w:bidi w:val="0"/>
              <w:spacing w:before="0" w:after="283"/>
              <w:jc w:val="left"/>
              <w:rPr>
                <w:sz w:val="20"/>
              </w:rPr>
            </w:pPr>
            <w:r>
              <w:rPr>
                <w:sz w:val="20"/>
              </w:rPr>
              <w:t>Additional paid in capital</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right"/>
              <w:rPr>
                <w:sz w:val="20"/>
              </w:rPr>
            </w:pPr>
            <w:r>
              <w:rPr>
                <w:sz w:val="20"/>
              </w:rPr>
              <w:t>173,437,683</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right"/>
              <w:rPr>
                <w:sz w:val="20"/>
              </w:rPr>
            </w:pPr>
            <w:r>
              <w:rPr>
                <w:sz w:val="20"/>
              </w:rPr>
              <w:t>172,714,712</w:t>
            </w:r>
          </w:p>
        </w:tc>
        <w:tc>
          <w:tcPr>
            <w:tcW w:w="86" w:type="dxa"/>
            <w:tcBorders/>
            <w:vAlign w:val="center"/>
          </w:tcPr>
          <w:p>
            <w:pPr>
              <w:pStyle w:val="TableContents"/>
              <w:bidi w:val="0"/>
              <w:spacing w:before="0" w:after="283"/>
              <w:ind w:left="0" w:right="0" w:hanging="200"/>
              <w:jc w:val="left"/>
              <w:rPr/>
            </w:pPr>
            <w:r>
              <w:rPr/>
              <w:t> </w:t>
            </w:r>
          </w:p>
        </w:tc>
      </w:tr>
      <w:tr>
        <w:trPr/>
        <w:tc>
          <w:tcPr>
            <w:tcW w:w="7439" w:type="dxa"/>
            <w:tcBorders/>
            <w:shd w:fill="CCEEFF" w:val="clear"/>
            <w:vAlign w:val="center"/>
          </w:tcPr>
          <w:p>
            <w:pPr>
              <w:pStyle w:val="TableContents"/>
              <w:bidi w:val="0"/>
              <w:spacing w:before="0" w:after="283"/>
              <w:jc w:val="left"/>
              <w:rPr>
                <w:sz w:val="20"/>
              </w:rPr>
            </w:pPr>
            <w:r>
              <w:rPr>
                <w:sz w:val="20"/>
              </w:rPr>
              <w:t>Accumulated deficit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sz w:val="20"/>
              </w:rPr>
            </w:pPr>
            <w:r>
              <w:rPr>
                <w:sz w:val="20"/>
              </w:rPr>
              <w:t>(162,588,112</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sz w:val="20"/>
              </w:rPr>
            </w:pPr>
            <w:r>
              <w:rPr>
                <w:sz w:val="20"/>
              </w:rPr>
              <w:t>(159,530,535</w:t>
            </w:r>
          </w:p>
        </w:tc>
        <w:tc>
          <w:tcPr>
            <w:tcW w:w="86" w:type="dxa"/>
            <w:tcBorders/>
            <w:shd w:fill="CCEEFF" w:val="clear"/>
            <w:vAlign w:val="center"/>
          </w:tcPr>
          <w:p>
            <w:pPr>
              <w:pStyle w:val="TableContents"/>
              <w:bidi w:val="0"/>
              <w:spacing w:before="0" w:after="283"/>
              <w:ind w:left="0" w:right="0" w:hanging="200"/>
              <w:jc w:val="left"/>
              <w:rPr>
                <w:sz w:val="20"/>
              </w:rPr>
            </w:pPr>
            <w:r>
              <w:rPr>
                <w:sz w:val="20"/>
              </w:rPr>
              <w:t>)</w:t>
            </w:r>
          </w:p>
        </w:tc>
      </w:tr>
      <w:tr>
        <w:trPr/>
        <w:tc>
          <w:tcPr>
            <w:tcW w:w="7439" w:type="dxa"/>
            <w:tcBorders/>
            <w:vAlign w:val="center"/>
          </w:tcPr>
          <w:p>
            <w:pPr>
              <w:pStyle w:val="TableContents"/>
              <w:bidi w:val="0"/>
              <w:spacing w:before="0" w:after="283"/>
              <w:jc w:val="left"/>
              <w:rPr>
                <w:sz w:val="20"/>
              </w:rPr>
            </w:pPr>
            <w:r>
              <w:rPr>
                <w:sz w:val="20"/>
              </w:rPr>
              <w:t>Accumulated comprehensive income</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1115" w:type="dxa"/>
            <w:tcBorders>
              <w:bottom w:val="single" w:sz="12" w:space="0" w:color="000000"/>
            </w:tcBorders>
            <w:tcMar>
              <w:bottom w:w="28" w:type="dxa"/>
            </w:tcMar>
            <w:vAlign w:val="center"/>
          </w:tcPr>
          <w:p>
            <w:pPr>
              <w:pStyle w:val="TableContents"/>
              <w:bidi w:val="0"/>
              <w:spacing w:before="0" w:after="283"/>
              <w:jc w:val="right"/>
              <w:rPr>
                <w:sz w:val="20"/>
              </w:rPr>
            </w:pPr>
            <w:r>
              <w:rPr>
                <w:sz w:val="20"/>
              </w:rPr>
              <w:t>16,702</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1115" w:type="dxa"/>
            <w:tcBorders>
              <w:bottom w:val="single" w:sz="12" w:space="0" w:color="000000"/>
            </w:tcBorders>
            <w:tcMar>
              <w:bottom w:w="28" w:type="dxa"/>
            </w:tcMar>
            <w:vAlign w:val="center"/>
          </w:tcPr>
          <w:p>
            <w:pPr>
              <w:pStyle w:val="TableContents"/>
              <w:bidi w:val="0"/>
              <w:spacing w:before="0" w:after="283"/>
              <w:jc w:val="right"/>
              <w:rPr>
                <w:sz w:val="20"/>
              </w:rPr>
            </w:pPr>
            <w:r>
              <w:rPr>
                <w:sz w:val="20"/>
              </w:rPr>
              <w:t>12,624</w:t>
            </w:r>
          </w:p>
        </w:tc>
        <w:tc>
          <w:tcPr>
            <w:tcW w:w="86" w:type="dxa"/>
            <w:tcBorders/>
            <w:vAlign w:val="center"/>
          </w:tcPr>
          <w:p>
            <w:pPr>
              <w:pStyle w:val="TableContents"/>
              <w:bidi w:val="0"/>
              <w:spacing w:before="0" w:after="283"/>
              <w:ind w:left="0" w:right="0" w:hanging="200"/>
              <w:jc w:val="left"/>
              <w:rPr/>
            </w:pPr>
            <w:r>
              <w:rPr/>
              <w:t> </w:t>
            </w:r>
          </w:p>
        </w:tc>
      </w:tr>
      <w:tr>
        <w:trPr/>
        <w:tc>
          <w:tcPr>
            <w:tcW w:w="7439" w:type="dxa"/>
            <w:tcBorders/>
            <w:shd w:fill="CCEEFF" w:val="clear"/>
            <w:vAlign w:val="center"/>
          </w:tcPr>
          <w:p>
            <w:pPr>
              <w:pStyle w:val="TableContents"/>
              <w:bidi w:val="0"/>
              <w:spacing w:before="0" w:after="283"/>
              <w:jc w:val="left"/>
              <w:rPr>
                <w:sz w:val="20"/>
              </w:rPr>
            </w:pPr>
            <w:r>
              <w:rPr>
                <w:sz w:val="20"/>
              </w:rPr>
              <w:t>Total stockholders’ equity</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15" w:type="dxa"/>
            <w:tcBorders>
              <w:bottom w:val="single" w:sz="12" w:space="0" w:color="000000"/>
            </w:tcBorders>
            <w:shd w:fill="CCEEFF" w:val="clear"/>
            <w:tcMar>
              <w:bottom w:w="28" w:type="dxa"/>
            </w:tcMar>
            <w:vAlign w:val="center"/>
          </w:tcPr>
          <w:p>
            <w:pPr>
              <w:pStyle w:val="TableContents"/>
              <w:bidi w:val="0"/>
              <w:spacing w:before="0" w:after="283"/>
              <w:jc w:val="right"/>
              <w:rPr>
                <w:sz w:val="20"/>
              </w:rPr>
            </w:pPr>
            <w:r>
              <w:rPr>
                <w:sz w:val="20"/>
              </w:rPr>
              <w:t>10,867,218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15" w:type="dxa"/>
            <w:tcBorders>
              <w:bottom w:val="single" w:sz="12" w:space="0" w:color="000000"/>
            </w:tcBorders>
            <w:shd w:fill="CCEEFF" w:val="clear"/>
            <w:tcMar>
              <w:bottom w:w="28" w:type="dxa"/>
            </w:tcMar>
            <w:vAlign w:val="center"/>
          </w:tcPr>
          <w:p>
            <w:pPr>
              <w:pStyle w:val="TableContents"/>
              <w:bidi w:val="0"/>
              <w:spacing w:before="0" w:after="283"/>
              <w:jc w:val="right"/>
              <w:rPr>
                <w:sz w:val="20"/>
              </w:rPr>
            </w:pPr>
            <w:r>
              <w:rPr>
                <w:sz w:val="20"/>
              </w:rPr>
              <w:t>13,197,746</w:t>
            </w:r>
          </w:p>
        </w:tc>
        <w:tc>
          <w:tcPr>
            <w:tcW w:w="86" w:type="dxa"/>
            <w:tcBorders/>
            <w:shd w:fill="CCEEFF" w:val="clear"/>
            <w:vAlign w:val="center"/>
          </w:tcPr>
          <w:p>
            <w:pPr>
              <w:pStyle w:val="TableContents"/>
              <w:bidi w:val="0"/>
              <w:spacing w:before="0" w:after="283"/>
              <w:ind w:left="0" w:right="0" w:hanging="200"/>
              <w:jc w:val="left"/>
              <w:rPr/>
            </w:pPr>
            <w:r>
              <w:rPr/>
              <w:t> </w:t>
            </w:r>
          </w:p>
        </w:tc>
      </w:tr>
      <w:tr>
        <w:trPr/>
        <w:tc>
          <w:tcPr>
            <w:tcW w:w="7439" w:type="dxa"/>
            <w:tcBorders/>
            <w:vAlign w:val="center"/>
          </w:tcPr>
          <w:p>
            <w:pPr>
              <w:pStyle w:val="TableContents"/>
              <w:bidi w:val="0"/>
              <w:spacing w:before="0" w:after="283"/>
              <w:jc w:val="left"/>
              <w:rPr>
                <w:sz w:val="20"/>
              </w:rPr>
            </w:pPr>
            <w:r>
              <w:rPr>
                <w:sz w:val="20"/>
              </w:rPr>
              <w:t>Total liabilities and stockholders’ equity</w:t>
            </w:r>
          </w:p>
        </w:tc>
        <w:tc>
          <w:tcPr>
            <w:tcW w:w="60" w:type="dxa"/>
            <w:tcBorders/>
            <w:vAlign w:val="center"/>
          </w:tcPr>
          <w:p>
            <w:pPr>
              <w:pStyle w:val="TableContents"/>
              <w:bidi w:val="0"/>
              <w:spacing w:before="0" w:after="283"/>
              <w:jc w:val="left"/>
              <w:rPr/>
            </w:pPr>
            <w:r>
              <w:rPr/>
              <w:t> </w:t>
            </w:r>
          </w:p>
        </w:tc>
        <w:tc>
          <w:tcPr>
            <w:tcW w:w="125" w:type="dxa"/>
            <w:tcBorders>
              <w:bottom w:val="double" w:sz="10" w:space="0" w:color="000000"/>
            </w:tcBorders>
            <w:tcMar>
              <w:bottom w:w="28" w:type="dxa"/>
            </w:tcMar>
            <w:vAlign w:val="center"/>
          </w:tcPr>
          <w:p>
            <w:pPr>
              <w:pStyle w:val="TableContents"/>
              <w:bidi w:val="0"/>
              <w:spacing w:before="0" w:after="283"/>
              <w:jc w:val="left"/>
              <w:rPr>
                <w:sz w:val="20"/>
              </w:rPr>
            </w:pPr>
            <w:r>
              <w:rPr>
                <w:sz w:val="20"/>
              </w:rPr>
              <w:t>$</w:t>
            </w:r>
          </w:p>
        </w:tc>
        <w:tc>
          <w:tcPr>
            <w:tcW w:w="1115" w:type="dxa"/>
            <w:tcBorders>
              <w:bottom w:val="double" w:sz="10" w:space="0" w:color="000000"/>
            </w:tcBorders>
            <w:tcMar>
              <w:bottom w:w="28" w:type="dxa"/>
            </w:tcMar>
            <w:vAlign w:val="center"/>
          </w:tcPr>
          <w:p>
            <w:pPr>
              <w:pStyle w:val="TableContents"/>
              <w:bidi w:val="0"/>
              <w:spacing w:before="0" w:after="283"/>
              <w:jc w:val="right"/>
              <w:rPr>
                <w:sz w:val="20"/>
              </w:rPr>
            </w:pPr>
            <w:r>
              <w:rPr>
                <w:sz w:val="20"/>
              </w:rPr>
              <w:t>12,717,848</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double" w:sz="10" w:space="0" w:color="000000"/>
            </w:tcBorders>
            <w:tcMar>
              <w:bottom w:w="28" w:type="dxa"/>
            </w:tcMar>
            <w:vAlign w:val="center"/>
          </w:tcPr>
          <w:p>
            <w:pPr>
              <w:pStyle w:val="TableContents"/>
              <w:bidi w:val="0"/>
              <w:spacing w:before="0" w:after="283"/>
              <w:jc w:val="left"/>
              <w:rPr>
                <w:sz w:val="20"/>
              </w:rPr>
            </w:pPr>
            <w:r>
              <w:rPr>
                <w:sz w:val="20"/>
              </w:rPr>
              <w:t>$</w:t>
            </w:r>
          </w:p>
        </w:tc>
        <w:tc>
          <w:tcPr>
            <w:tcW w:w="1115" w:type="dxa"/>
            <w:tcBorders>
              <w:bottom w:val="double" w:sz="10" w:space="0" w:color="000000"/>
            </w:tcBorders>
            <w:tcMar>
              <w:bottom w:w="28" w:type="dxa"/>
            </w:tcMar>
            <w:vAlign w:val="center"/>
          </w:tcPr>
          <w:p>
            <w:pPr>
              <w:pStyle w:val="TableContents"/>
              <w:bidi w:val="0"/>
              <w:spacing w:before="0" w:after="283"/>
              <w:jc w:val="right"/>
              <w:rPr>
                <w:sz w:val="20"/>
              </w:rPr>
            </w:pPr>
            <w:r>
              <w:rPr>
                <w:sz w:val="20"/>
              </w:rPr>
              <w:t>15,411,913</w:t>
            </w:r>
          </w:p>
        </w:tc>
        <w:tc>
          <w:tcPr>
            <w:tcW w:w="86"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notes to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 w:name="a_004"/>
      <w:bookmarkEnd w:id="5"/>
      <w:r>
        <w:rPr>
          <w:rFonts w:ascii="Times New Roman;Times;Serif" w:hAnsi="Times New Roman;Times;Serif"/>
          <w:b/>
          <w:i w:val="false"/>
          <w:caps w:val="false"/>
          <w:smallCaps w:val="false"/>
          <w:sz w:val="20"/>
        </w:rPr>
        <w:t>authID INC. AND SUBSIDIARIES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OPERATIONS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tbl>
      <w:tblPr>
        <w:tblW w:w="7190" w:type="dxa"/>
        <w:jc w:val="left"/>
        <w:tblInd w:w="0" w:type="dxa"/>
        <w:tblLayout w:type="fixed"/>
        <w:tblCellMar>
          <w:top w:w="0" w:type="dxa"/>
          <w:left w:w="0" w:type="dxa"/>
          <w:bottom w:w="0" w:type="dxa"/>
          <w:right w:w="0" w:type="dxa"/>
        </w:tblCellMar>
      </w:tblPr>
      <w:tblGrid>
        <w:gridCol w:w="4835"/>
        <w:gridCol w:w="60"/>
        <w:gridCol w:w="125"/>
        <w:gridCol w:w="905"/>
        <w:gridCol w:w="80"/>
        <w:gridCol w:w="60"/>
        <w:gridCol w:w="125"/>
        <w:gridCol w:w="905"/>
        <w:gridCol w:w="95"/>
      </w:tblGrid>
      <w:tr>
        <w:trPr/>
        <w:tc>
          <w:tcPr>
            <w:tcW w:w="48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200" w:type="dxa"/>
            <w:gridSpan w:val="6"/>
            <w:tcBorders/>
            <w:vAlign w:val="center"/>
          </w:tcPr>
          <w:p>
            <w:pPr>
              <w:pStyle w:val="TableContents"/>
              <w:bidi w:val="0"/>
              <w:spacing w:before="0" w:after="283"/>
              <w:jc w:val="center"/>
              <w:rPr>
                <w:b/>
                <w:sz w:val="20"/>
              </w:rPr>
            </w:pPr>
            <w:r>
              <w:rPr>
                <w:b/>
                <w:sz w:val="20"/>
              </w:rPr>
              <w:t>Three Months Ended</w:t>
            </w:r>
          </w:p>
        </w:tc>
        <w:tc>
          <w:tcPr>
            <w:tcW w:w="95" w:type="dxa"/>
            <w:tcBorders/>
            <w:vAlign w:val="center"/>
          </w:tcPr>
          <w:p>
            <w:pPr>
              <w:pStyle w:val="TableContents"/>
              <w:bidi w:val="0"/>
              <w:spacing w:before="0" w:after="283"/>
              <w:jc w:val="left"/>
              <w:rPr/>
            </w:pPr>
            <w:r>
              <w:rPr/>
              <w:t> </w:t>
            </w:r>
          </w:p>
        </w:tc>
      </w:tr>
      <w:tr>
        <w:trPr/>
        <w:tc>
          <w:tcPr>
            <w:tcW w:w="48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200" w:type="dxa"/>
            <w:gridSpan w:val="6"/>
            <w:tcBorders>
              <w:bottom w:val="single" w:sz="12" w:space="0" w:color="000000"/>
            </w:tcBorders>
            <w:tcMar>
              <w:bottom w:w="28" w:type="dxa"/>
            </w:tcMar>
            <w:vAlign w:val="center"/>
          </w:tcPr>
          <w:p>
            <w:pPr>
              <w:pStyle w:val="TableContents"/>
              <w:bidi w:val="0"/>
              <w:spacing w:before="0" w:after="283"/>
              <w:jc w:val="center"/>
              <w:rPr>
                <w:b/>
                <w:sz w:val="20"/>
              </w:rPr>
            </w:pPr>
            <w:r>
              <w:rPr>
                <w:b/>
                <w:sz w:val="20"/>
              </w:rPr>
              <w:t>March 31,</w:t>
            </w:r>
          </w:p>
        </w:tc>
        <w:tc>
          <w:tcPr>
            <w:tcW w:w="95" w:type="dxa"/>
            <w:tcBorders/>
            <w:vAlign w:val="center"/>
          </w:tcPr>
          <w:p>
            <w:pPr>
              <w:pStyle w:val="TableContents"/>
              <w:bidi w:val="0"/>
              <w:spacing w:before="0" w:after="283"/>
              <w:jc w:val="left"/>
              <w:rPr/>
            </w:pPr>
            <w:r>
              <w:rPr/>
              <w:t> </w:t>
            </w:r>
          </w:p>
        </w:tc>
      </w:tr>
      <w:tr>
        <w:trPr/>
        <w:tc>
          <w:tcPr>
            <w:tcW w:w="48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30"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2024</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0"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2023</w:t>
            </w:r>
          </w:p>
        </w:tc>
        <w:tc>
          <w:tcPr>
            <w:tcW w:w="95" w:type="dxa"/>
            <w:tcBorders/>
            <w:vAlign w:val="center"/>
          </w:tcPr>
          <w:p>
            <w:pPr>
              <w:pStyle w:val="TableContents"/>
              <w:bidi w:val="0"/>
              <w:spacing w:before="0" w:after="283"/>
              <w:jc w:val="left"/>
              <w:rPr/>
            </w:pPr>
            <w:r>
              <w:rPr/>
              <w:t> </w:t>
            </w:r>
          </w:p>
        </w:tc>
      </w:tr>
      <w:tr>
        <w:trPr/>
        <w:tc>
          <w:tcPr>
            <w:tcW w:w="48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0"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r>
      <w:tr>
        <w:trPr/>
        <w:tc>
          <w:tcPr>
            <w:tcW w:w="4835" w:type="dxa"/>
            <w:tcBorders/>
            <w:shd w:fill="CCEEFF" w:val="clear"/>
            <w:vAlign w:val="center"/>
          </w:tcPr>
          <w:p>
            <w:pPr>
              <w:pStyle w:val="TableContents"/>
              <w:bidi w:val="0"/>
              <w:spacing w:before="0" w:after="283"/>
              <w:jc w:val="left"/>
              <w:rPr>
                <w:sz w:val="20"/>
              </w:rPr>
            </w:pPr>
            <w:r>
              <w:rPr>
                <w:sz w:val="20"/>
              </w:rPr>
              <w:t>Revenues, net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sz w:val="20"/>
              </w:rPr>
            </w:pPr>
            <w:r>
              <w:rPr>
                <w:sz w:val="20"/>
              </w:rPr>
              <w:t>157,378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sz w:val="20"/>
              </w:rPr>
            </w:pPr>
            <w:r>
              <w:rPr>
                <w:sz w:val="20"/>
              </w:rPr>
              <w:t>37,856</w:t>
            </w:r>
          </w:p>
        </w:tc>
        <w:tc>
          <w:tcPr>
            <w:tcW w:w="95" w:type="dxa"/>
            <w:tcBorders/>
            <w:shd w:fill="CCEEFF" w:val="clear"/>
            <w:vAlign w:val="center"/>
          </w:tcPr>
          <w:p>
            <w:pPr>
              <w:pStyle w:val="TableContents"/>
              <w:bidi w:val="0"/>
              <w:spacing w:before="0" w:after="283"/>
              <w:jc w:val="left"/>
              <w:rPr/>
            </w:pPr>
            <w:r>
              <w:rPr/>
              <w:t> </w:t>
            </w:r>
          </w:p>
        </w:tc>
      </w:tr>
      <w:tr>
        <w:trPr/>
        <w:tc>
          <w:tcPr>
            <w:tcW w:w="48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r>
      <w:tr>
        <w:trPr/>
        <w:tc>
          <w:tcPr>
            <w:tcW w:w="4835" w:type="dxa"/>
            <w:tcBorders/>
            <w:shd w:fill="CCEEFF" w:val="clear"/>
            <w:vAlign w:val="center"/>
          </w:tcPr>
          <w:p>
            <w:pPr>
              <w:pStyle w:val="TableContents"/>
              <w:bidi w:val="0"/>
              <w:spacing w:before="0" w:after="283"/>
              <w:jc w:val="left"/>
              <w:rPr>
                <w:sz w:val="20"/>
              </w:rPr>
            </w:pPr>
            <w:r>
              <w:rPr>
                <w:sz w:val="20"/>
              </w:rPr>
              <w:t>Operating Expenses: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835" w:type="dxa"/>
            <w:tcBorders/>
            <w:vAlign w:val="center"/>
          </w:tcPr>
          <w:p>
            <w:pPr>
              <w:pStyle w:val="TableContents"/>
              <w:bidi w:val="0"/>
              <w:spacing w:before="0" w:after="283"/>
              <w:jc w:val="left"/>
              <w:rPr>
                <w:sz w:val="20"/>
              </w:rPr>
            </w:pPr>
            <w:r>
              <w:rPr>
                <w:sz w:val="20"/>
              </w:rPr>
              <w:t>General and administrative</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sz w:val="20"/>
              </w:rPr>
            </w:pPr>
            <w:r>
              <w:rPr>
                <w:sz w:val="20"/>
              </w:rPr>
              <w:t>2,062,361</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sz w:val="20"/>
              </w:rPr>
            </w:pPr>
            <w:r>
              <w:rPr>
                <w:sz w:val="20"/>
              </w:rPr>
              <w:t>822,755</w:t>
            </w:r>
          </w:p>
        </w:tc>
        <w:tc>
          <w:tcPr>
            <w:tcW w:w="95" w:type="dxa"/>
            <w:tcBorders/>
            <w:vAlign w:val="center"/>
          </w:tcPr>
          <w:p>
            <w:pPr>
              <w:pStyle w:val="TableContents"/>
              <w:bidi w:val="0"/>
              <w:spacing w:before="0" w:after="283"/>
              <w:jc w:val="left"/>
              <w:rPr/>
            </w:pPr>
            <w:r>
              <w:rPr/>
              <w:t> </w:t>
            </w:r>
          </w:p>
        </w:tc>
      </w:tr>
      <w:tr>
        <w:trPr/>
        <w:tc>
          <w:tcPr>
            <w:tcW w:w="4835" w:type="dxa"/>
            <w:tcBorders/>
            <w:shd w:fill="CCEEFF" w:val="clear"/>
            <w:vAlign w:val="center"/>
          </w:tcPr>
          <w:p>
            <w:pPr>
              <w:pStyle w:val="TableContents"/>
              <w:bidi w:val="0"/>
              <w:spacing w:before="0" w:after="283"/>
              <w:jc w:val="left"/>
              <w:rPr>
                <w:sz w:val="20"/>
              </w:rPr>
            </w:pPr>
            <w:r>
              <w:rPr>
                <w:sz w:val="20"/>
              </w:rPr>
              <w:t>Research and development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sz w:val="20"/>
              </w:rPr>
            </w:pPr>
            <w:r>
              <w:rPr>
                <w:sz w:val="20"/>
              </w:rPr>
              <w:t>1,204,968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sz w:val="20"/>
              </w:rPr>
            </w:pPr>
            <w:r>
              <w:rPr>
                <w:sz w:val="20"/>
              </w:rPr>
              <w:t>120,638</w:t>
            </w:r>
          </w:p>
        </w:tc>
        <w:tc>
          <w:tcPr>
            <w:tcW w:w="95" w:type="dxa"/>
            <w:tcBorders/>
            <w:shd w:fill="CCEEFF" w:val="clear"/>
            <w:vAlign w:val="center"/>
          </w:tcPr>
          <w:p>
            <w:pPr>
              <w:pStyle w:val="TableContents"/>
              <w:bidi w:val="0"/>
              <w:spacing w:before="0" w:after="283"/>
              <w:jc w:val="left"/>
              <w:rPr/>
            </w:pPr>
            <w:r>
              <w:rPr/>
              <w:t> </w:t>
            </w:r>
          </w:p>
        </w:tc>
      </w:tr>
      <w:tr>
        <w:trPr/>
        <w:tc>
          <w:tcPr>
            <w:tcW w:w="4835" w:type="dxa"/>
            <w:tcBorders/>
            <w:vAlign w:val="center"/>
          </w:tcPr>
          <w:p>
            <w:pPr>
              <w:pStyle w:val="TableContents"/>
              <w:bidi w:val="0"/>
              <w:spacing w:before="0" w:after="283"/>
              <w:jc w:val="left"/>
              <w:rPr>
                <w:sz w:val="20"/>
              </w:rPr>
            </w:pPr>
            <w:r>
              <w:rPr>
                <w:sz w:val="20"/>
              </w:rPr>
              <w:t>Depreciation and amortization</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right"/>
              <w:rPr>
                <w:sz w:val="20"/>
              </w:rPr>
            </w:pPr>
            <w:r>
              <w:rPr>
                <w:sz w:val="20"/>
              </w:rPr>
              <w:t>43,408</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right"/>
              <w:rPr>
                <w:sz w:val="20"/>
              </w:rPr>
            </w:pPr>
            <w:r>
              <w:rPr>
                <w:sz w:val="20"/>
              </w:rPr>
              <w:t>76,017</w:t>
            </w:r>
          </w:p>
        </w:tc>
        <w:tc>
          <w:tcPr>
            <w:tcW w:w="95" w:type="dxa"/>
            <w:tcBorders/>
            <w:vAlign w:val="center"/>
          </w:tcPr>
          <w:p>
            <w:pPr>
              <w:pStyle w:val="TableContents"/>
              <w:bidi w:val="0"/>
              <w:spacing w:before="0" w:after="283"/>
              <w:jc w:val="left"/>
              <w:rPr/>
            </w:pPr>
            <w:r>
              <w:rPr/>
              <w:t> </w:t>
            </w:r>
          </w:p>
        </w:tc>
      </w:tr>
      <w:tr>
        <w:trPr/>
        <w:tc>
          <w:tcPr>
            <w:tcW w:w="4835" w:type="dxa"/>
            <w:tcBorders/>
            <w:shd w:fill="CCEEFF" w:val="clear"/>
            <w:vAlign w:val="center"/>
          </w:tcPr>
          <w:p>
            <w:pPr>
              <w:pStyle w:val="TableContents"/>
              <w:bidi w:val="0"/>
              <w:spacing w:before="0" w:after="283"/>
              <w:jc w:val="left"/>
              <w:rPr>
                <w:sz w:val="20"/>
              </w:rPr>
            </w:pPr>
            <w:r>
              <w:rPr>
                <w:sz w:val="20"/>
              </w:rPr>
              <w:t>Total operating expenses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sz w:val="20"/>
              </w:rPr>
            </w:pPr>
            <w:r>
              <w:rPr>
                <w:sz w:val="20"/>
              </w:rPr>
              <w:t>3,310,737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sz w:val="20"/>
              </w:rPr>
            </w:pPr>
            <w:r>
              <w:rPr>
                <w:sz w:val="20"/>
              </w:rPr>
              <w:t>1,019,410</w:t>
            </w:r>
          </w:p>
        </w:tc>
        <w:tc>
          <w:tcPr>
            <w:tcW w:w="95" w:type="dxa"/>
            <w:tcBorders/>
            <w:shd w:fill="CCEEFF" w:val="clear"/>
            <w:vAlign w:val="center"/>
          </w:tcPr>
          <w:p>
            <w:pPr>
              <w:pStyle w:val="TableContents"/>
              <w:bidi w:val="0"/>
              <w:spacing w:before="0" w:after="283"/>
              <w:jc w:val="left"/>
              <w:rPr/>
            </w:pPr>
            <w:r>
              <w:rPr/>
              <w:t> </w:t>
            </w:r>
          </w:p>
        </w:tc>
      </w:tr>
      <w:tr>
        <w:trPr/>
        <w:tc>
          <w:tcPr>
            <w:tcW w:w="48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r>
      <w:tr>
        <w:trPr/>
        <w:tc>
          <w:tcPr>
            <w:tcW w:w="4835" w:type="dxa"/>
            <w:tcBorders/>
            <w:shd w:fill="CCEEFF" w:val="clear"/>
            <w:vAlign w:val="center"/>
          </w:tcPr>
          <w:p>
            <w:pPr>
              <w:pStyle w:val="TableContents"/>
              <w:bidi w:val="0"/>
              <w:spacing w:before="0" w:after="283"/>
              <w:jc w:val="left"/>
              <w:rPr>
                <w:sz w:val="20"/>
              </w:rPr>
            </w:pPr>
            <w:r>
              <w:rPr>
                <w:sz w:val="20"/>
              </w:rPr>
              <w:t>Loss from continuing operations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sz w:val="20"/>
              </w:rPr>
            </w:pPr>
            <w:r>
              <w:rPr>
                <w:sz w:val="20"/>
              </w:rPr>
              <w:t>(3,153,359</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sz w:val="20"/>
              </w:rPr>
            </w:pPr>
            <w:r>
              <w:rPr>
                <w:sz w:val="20"/>
              </w:rPr>
              <w:t>(981,554</w:t>
            </w:r>
          </w:p>
        </w:tc>
        <w:tc>
          <w:tcPr>
            <w:tcW w:w="95" w:type="dxa"/>
            <w:tcBorders/>
            <w:shd w:fill="CCEEFF" w:val="clear"/>
            <w:vAlign w:val="center"/>
          </w:tcPr>
          <w:p>
            <w:pPr>
              <w:pStyle w:val="TableContents"/>
              <w:bidi w:val="0"/>
              <w:spacing w:before="0" w:after="283"/>
              <w:jc w:val="left"/>
              <w:rPr>
                <w:sz w:val="20"/>
              </w:rPr>
            </w:pPr>
            <w:r>
              <w:rPr>
                <w:sz w:val="20"/>
              </w:rPr>
              <w:t>)</w:t>
            </w:r>
          </w:p>
        </w:tc>
      </w:tr>
      <w:tr>
        <w:trPr/>
        <w:tc>
          <w:tcPr>
            <w:tcW w:w="48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r>
      <w:tr>
        <w:trPr/>
        <w:tc>
          <w:tcPr>
            <w:tcW w:w="4835" w:type="dxa"/>
            <w:tcBorders/>
            <w:shd w:fill="CCEEFF" w:val="clear"/>
            <w:vAlign w:val="center"/>
          </w:tcPr>
          <w:p>
            <w:pPr>
              <w:pStyle w:val="TableContents"/>
              <w:bidi w:val="0"/>
              <w:spacing w:before="0" w:after="283"/>
              <w:jc w:val="left"/>
              <w:rPr>
                <w:sz w:val="20"/>
              </w:rPr>
            </w:pPr>
            <w:r>
              <w:rPr>
                <w:sz w:val="20"/>
              </w:rPr>
              <w:t>Other Income (Expense):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835" w:type="dxa"/>
            <w:tcBorders/>
            <w:vAlign w:val="center"/>
          </w:tcPr>
          <w:p>
            <w:pPr>
              <w:pStyle w:val="TableContents"/>
              <w:bidi w:val="0"/>
              <w:spacing w:before="0" w:after="283"/>
              <w:jc w:val="left"/>
              <w:rPr>
                <w:sz w:val="20"/>
              </w:rPr>
            </w:pPr>
            <w:r>
              <w:rPr>
                <w:sz w:val="20"/>
              </w:rPr>
              <w:t>Interest expense, net</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sz w:val="20"/>
              </w:rPr>
            </w:pPr>
            <w:r>
              <w:rPr>
                <w:sz w:val="20"/>
              </w:rPr>
              <w:t>(13,138</w:t>
            </w:r>
          </w:p>
        </w:tc>
        <w:tc>
          <w:tcPr>
            <w:tcW w:w="80" w:type="dxa"/>
            <w:tcBorders/>
            <w:vAlign w:val="center"/>
          </w:tcPr>
          <w:p>
            <w:pPr>
              <w:pStyle w:val="TableContents"/>
              <w:bidi w:val="0"/>
              <w:spacing w:before="0" w:after="283"/>
              <w:jc w:val="left"/>
              <w:rPr>
                <w:sz w:val="20"/>
              </w:rPr>
            </w:pPr>
            <w:r>
              <w:rPr>
                <w:sz w:val="20"/>
              </w:rPr>
              <w:t>)</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sz w:val="20"/>
              </w:rPr>
            </w:pPr>
            <w:r>
              <w:rPr>
                <w:sz w:val="20"/>
              </w:rPr>
              <w:t>(800,073</w:t>
            </w:r>
          </w:p>
        </w:tc>
        <w:tc>
          <w:tcPr>
            <w:tcW w:w="95" w:type="dxa"/>
            <w:tcBorders/>
            <w:vAlign w:val="center"/>
          </w:tcPr>
          <w:p>
            <w:pPr>
              <w:pStyle w:val="TableContents"/>
              <w:bidi w:val="0"/>
              <w:spacing w:before="0" w:after="283"/>
              <w:jc w:val="left"/>
              <w:rPr>
                <w:sz w:val="20"/>
              </w:rPr>
            </w:pPr>
            <w:r>
              <w:rPr>
                <w:sz w:val="20"/>
              </w:rPr>
              <w:t>)</w:t>
            </w:r>
          </w:p>
        </w:tc>
      </w:tr>
      <w:tr>
        <w:trPr/>
        <w:tc>
          <w:tcPr>
            <w:tcW w:w="4835" w:type="dxa"/>
            <w:tcBorders/>
            <w:shd w:fill="CCEEFF" w:val="clear"/>
            <w:vAlign w:val="center"/>
          </w:tcPr>
          <w:p>
            <w:pPr>
              <w:pStyle w:val="TableContents"/>
              <w:bidi w:val="0"/>
              <w:spacing w:before="0" w:after="283"/>
              <w:jc w:val="left"/>
              <w:rPr>
                <w:sz w:val="20"/>
              </w:rPr>
            </w:pPr>
            <w:r>
              <w:rPr>
                <w:sz w:val="20"/>
              </w:rPr>
              <w:t>Interest income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sz w:val="20"/>
              </w:rPr>
            </w:pPr>
            <w:r>
              <w:rPr>
                <w:sz w:val="20"/>
              </w:rPr>
              <w:t>108,920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0"/>
              <w:jc w:val="right"/>
              <w:rPr>
                <w:sz w:val="20"/>
              </w:rPr>
            </w:pPr>
            <w:r>
              <w:rPr>
                <w:sz w:val="20"/>
              </w:rPr>
              <w:t>-</w:t>
            </w:r>
          </w:p>
        </w:tc>
        <w:tc>
          <w:tcPr>
            <w:tcW w:w="95" w:type="dxa"/>
            <w:tcBorders/>
            <w:shd w:fill="CCEEFF" w:val="clear"/>
            <w:vAlign w:val="center"/>
          </w:tcPr>
          <w:p>
            <w:pPr>
              <w:pStyle w:val="TableContents"/>
              <w:bidi w:val="0"/>
              <w:spacing w:before="0" w:after="283"/>
              <w:jc w:val="left"/>
              <w:rPr/>
            </w:pPr>
            <w:r>
              <w:rPr/>
              <w:t> </w:t>
            </w:r>
          </w:p>
        </w:tc>
      </w:tr>
      <w:tr>
        <w:trPr/>
        <w:tc>
          <w:tcPr>
            <w:tcW w:w="4835" w:type="dxa"/>
            <w:tcBorders/>
            <w:vAlign w:val="center"/>
          </w:tcPr>
          <w:p>
            <w:pPr>
              <w:pStyle w:val="TableContents"/>
              <w:bidi w:val="0"/>
              <w:spacing w:before="0" w:after="283"/>
              <w:jc w:val="left"/>
              <w:rPr>
                <w:sz w:val="20"/>
              </w:rPr>
            </w:pPr>
            <w:r>
              <w:rPr>
                <w:sz w:val="20"/>
              </w:rPr>
              <w:t>Other income (expense), net</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right"/>
              <w:rPr>
                <w:sz w:val="20"/>
              </w:rPr>
            </w:pPr>
            <w:r>
              <w:rPr>
                <w:sz w:val="20"/>
              </w:rPr>
              <w:t>95,782</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right"/>
              <w:rPr>
                <w:sz w:val="20"/>
              </w:rPr>
            </w:pPr>
            <w:r>
              <w:rPr>
                <w:sz w:val="20"/>
              </w:rPr>
              <w:t>(800,073</w:t>
            </w:r>
          </w:p>
        </w:tc>
        <w:tc>
          <w:tcPr>
            <w:tcW w:w="95" w:type="dxa"/>
            <w:tcBorders/>
            <w:vAlign w:val="center"/>
          </w:tcPr>
          <w:p>
            <w:pPr>
              <w:pStyle w:val="TableContents"/>
              <w:bidi w:val="0"/>
              <w:spacing w:before="0" w:after="283"/>
              <w:jc w:val="left"/>
              <w:rPr>
                <w:sz w:val="20"/>
              </w:rPr>
            </w:pPr>
            <w:r>
              <w:rPr>
                <w:sz w:val="20"/>
              </w:rPr>
              <w:t>)</w:t>
            </w:r>
          </w:p>
        </w:tc>
      </w:tr>
      <w:tr>
        <w:trPr/>
        <w:tc>
          <w:tcPr>
            <w:tcW w:w="48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835" w:type="dxa"/>
            <w:tcBorders/>
            <w:vAlign w:val="center"/>
          </w:tcPr>
          <w:p>
            <w:pPr>
              <w:pStyle w:val="TableContents"/>
              <w:bidi w:val="0"/>
              <w:spacing w:before="0" w:after="283"/>
              <w:jc w:val="left"/>
              <w:rPr>
                <w:sz w:val="20"/>
              </w:rPr>
            </w:pPr>
            <w:r>
              <w:rPr>
                <w:sz w:val="20"/>
              </w:rPr>
              <w:t>Loss from continuing operations before income taxes</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sz w:val="20"/>
              </w:rPr>
            </w:pPr>
            <w:r>
              <w:rPr>
                <w:sz w:val="20"/>
              </w:rPr>
              <w:t>(3,057,577</w:t>
            </w:r>
          </w:p>
        </w:tc>
        <w:tc>
          <w:tcPr>
            <w:tcW w:w="80" w:type="dxa"/>
            <w:tcBorders/>
            <w:vAlign w:val="center"/>
          </w:tcPr>
          <w:p>
            <w:pPr>
              <w:pStyle w:val="TableContents"/>
              <w:bidi w:val="0"/>
              <w:spacing w:before="0" w:after="283"/>
              <w:jc w:val="left"/>
              <w:rPr>
                <w:sz w:val="20"/>
              </w:rPr>
            </w:pPr>
            <w:r>
              <w:rPr>
                <w:sz w:val="20"/>
              </w:rPr>
              <w:t>)</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sz w:val="20"/>
              </w:rPr>
            </w:pPr>
            <w:r>
              <w:rPr>
                <w:sz w:val="20"/>
              </w:rPr>
              <w:t>(1,781,627</w:t>
            </w:r>
          </w:p>
        </w:tc>
        <w:tc>
          <w:tcPr>
            <w:tcW w:w="95" w:type="dxa"/>
            <w:tcBorders/>
            <w:vAlign w:val="center"/>
          </w:tcPr>
          <w:p>
            <w:pPr>
              <w:pStyle w:val="TableContents"/>
              <w:bidi w:val="0"/>
              <w:spacing w:before="0" w:after="283"/>
              <w:jc w:val="left"/>
              <w:rPr>
                <w:sz w:val="20"/>
              </w:rPr>
            </w:pPr>
            <w:r>
              <w:rPr>
                <w:sz w:val="20"/>
              </w:rPr>
              <w:t>)</w:t>
            </w:r>
          </w:p>
        </w:tc>
      </w:tr>
      <w:tr>
        <w:trPr/>
        <w:tc>
          <w:tcPr>
            <w:tcW w:w="4835" w:type="dxa"/>
            <w:tcBorders/>
            <w:shd w:fill="CCEEFF" w:val="clear"/>
            <w:vAlign w:val="center"/>
          </w:tcPr>
          <w:p>
            <w:pPr>
              <w:pStyle w:val="TableContents"/>
              <w:bidi w:val="0"/>
              <w:spacing w:before="0" w:after="283"/>
              <w:jc w:val="left"/>
              <w:rPr>
                <w:sz w:val="20"/>
              </w:rPr>
            </w:pPr>
            <w:r>
              <w:rPr>
                <w:sz w:val="20"/>
              </w:rPr>
              <w:t>Income tax expense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0"/>
              <w:jc w:val="right"/>
              <w:rPr>
                <w:sz w:val="20"/>
              </w:rPr>
            </w:pPr>
            <w:r>
              <w:rPr>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0"/>
              <w:jc w:val="right"/>
              <w:rPr>
                <w:sz w:val="20"/>
              </w:rPr>
            </w:pPr>
            <w:r>
              <w:rPr>
                <w:sz w:val="20"/>
              </w:rPr>
              <w:t>-</w:t>
            </w:r>
          </w:p>
        </w:tc>
        <w:tc>
          <w:tcPr>
            <w:tcW w:w="95" w:type="dxa"/>
            <w:tcBorders/>
            <w:shd w:fill="CCEEFF" w:val="clear"/>
            <w:vAlign w:val="center"/>
          </w:tcPr>
          <w:p>
            <w:pPr>
              <w:pStyle w:val="TableContents"/>
              <w:bidi w:val="0"/>
              <w:spacing w:before="0" w:after="283"/>
              <w:jc w:val="left"/>
              <w:rPr/>
            </w:pPr>
            <w:r>
              <w:rPr/>
              <w:t> </w:t>
            </w:r>
          </w:p>
        </w:tc>
      </w:tr>
      <w:tr>
        <w:trPr/>
        <w:tc>
          <w:tcPr>
            <w:tcW w:w="4835" w:type="dxa"/>
            <w:tcBorders/>
            <w:vAlign w:val="center"/>
          </w:tcPr>
          <w:p>
            <w:pPr>
              <w:pStyle w:val="TableContents"/>
              <w:bidi w:val="0"/>
              <w:spacing w:before="0" w:after="283"/>
              <w:jc w:val="left"/>
              <w:rPr>
                <w:sz w:val="20"/>
              </w:rPr>
            </w:pPr>
            <w:r>
              <w:rPr>
                <w:sz w:val="20"/>
              </w:rPr>
              <w:t>Loss from continuing operations</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right"/>
              <w:rPr>
                <w:sz w:val="20"/>
              </w:rPr>
            </w:pPr>
            <w:r>
              <w:rPr>
                <w:sz w:val="20"/>
              </w:rPr>
              <w:t>(3,057,577</w:t>
            </w:r>
          </w:p>
        </w:tc>
        <w:tc>
          <w:tcPr>
            <w:tcW w:w="80" w:type="dxa"/>
            <w:tcBorders/>
            <w:vAlign w:val="center"/>
          </w:tcPr>
          <w:p>
            <w:pPr>
              <w:pStyle w:val="TableContents"/>
              <w:bidi w:val="0"/>
              <w:spacing w:before="0" w:after="283"/>
              <w:jc w:val="left"/>
              <w:rPr>
                <w:sz w:val="20"/>
              </w:rPr>
            </w:pPr>
            <w:r>
              <w:rPr>
                <w:sz w:val="20"/>
              </w:rPr>
              <w:t>)</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right"/>
              <w:rPr>
                <w:sz w:val="20"/>
              </w:rPr>
            </w:pPr>
            <w:r>
              <w:rPr>
                <w:sz w:val="20"/>
              </w:rPr>
              <w:t>(1,781,627</w:t>
            </w:r>
          </w:p>
        </w:tc>
        <w:tc>
          <w:tcPr>
            <w:tcW w:w="95" w:type="dxa"/>
            <w:tcBorders/>
            <w:vAlign w:val="center"/>
          </w:tcPr>
          <w:p>
            <w:pPr>
              <w:pStyle w:val="TableContents"/>
              <w:bidi w:val="0"/>
              <w:spacing w:before="0" w:after="283"/>
              <w:jc w:val="left"/>
              <w:rPr>
                <w:sz w:val="20"/>
              </w:rPr>
            </w:pPr>
            <w:r>
              <w:rPr>
                <w:sz w:val="20"/>
              </w:rPr>
              <w:t>)</w:t>
            </w:r>
          </w:p>
        </w:tc>
      </w:tr>
      <w:tr>
        <w:trPr/>
        <w:tc>
          <w:tcPr>
            <w:tcW w:w="48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835" w:type="dxa"/>
            <w:tcBorders/>
            <w:vAlign w:val="center"/>
          </w:tcPr>
          <w:p>
            <w:pPr>
              <w:pStyle w:val="TableContents"/>
              <w:bidi w:val="0"/>
              <w:spacing w:before="0" w:after="283"/>
              <w:jc w:val="left"/>
              <w:rPr>
                <w:sz w:val="20"/>
              </w:rPr>
            </w:pPr>
            <w:r>
              <w:rPr>
                <w:sz w:val="20"/>
              </w:rPr>
              <w:t>Loss from discontinued operations</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0"/>
              <w:jc w:val="right"/>
              <w:rPr>
                <w:sz w:val="20"/>
              </w:rPr>
            </w:pPr>
            <w:r>
              <w:rPr>
                <w:sz w:val="20"/>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sz w:val="20"/>
              </w:rPr>
            </w:pPr>
            <w:r>
              <w:rPr>
                <w:sz w:val="20"/>
              </w:rPr>
              <w:t>(2,255</w:t>
            </w:r>
          </w:p>
        </w:tc>
        <w:tc>
          <w:tcPr>
            <w:tcW w:w="95" w:type="dxa"/>
            <w:tcBorders/>
            <w:vAlign w:val="center"/>
          </w:tcPr>
          <w:p>
            <w:pPr>
              <w:pStyle w:val="TableContents"/>
              <w:bidi w:val="0"/>
              <w:spacing w:before="0" w:after="283"/>
              <w:jc w:val="left"/>
              <w:rPr>
                <w:sz w:val="20"/>
              </w:rPr>
            </w:pPr>
            <w:r>
              <w:rPr>
                <w:sz w:val="20"/>
              </w:rPr>
              <w:t>)</w:t>
            </w:r>
          </w:p>
        </w:tc>
      </w:tr>
      <w:tr>
        <w:trPr/>
        <w:tc>
          <w:tcPr>
            <w:tcW w:w="4835" w:type="dxa"/>
            <w:tcBorders/>
            <w:shd w:fill="CCEEFF" w:val="clear"/>
            <w:vAlign w:val="center"/>
          </w:tcPr>
          <w:p>
            <w:pPr>
              <w:pStyle w:val="TableContents"/>
              <w:bidi w:val="0"/>
              <w:spacing w:before="0" w:after="283"/>
              <w:jc w:val="left"/>
              <w:rPr>
                <w:sz w:val="20"/>
              </w:rPr>
            </w:pPr>
            <w:r>
              <w:rPr>
                <w:sz w:val="20"/>
              </w:rPr>
              <w:t>Net loss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10"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905" w:type="dxa"/>
            <w:tcBorders>
              <w:bottom w:val="double" w:sz="10" w:space="0" w:color="000000"/>
            </w:tcBorders>
            <w:shd w:fill="CCEEFF" w:val="clear"/>
            <w:tcMar>
              <w:bottom w:w="28" w:type="dxa"/>
            </w:tcMar>
            <w:vAlign w:val="center"/>
          </w:tcPr>
          <w:p>
            <w:pPr>
              <w:pStyle w:val="TableContents"/>
              <w:bidi w:val="0"/>
              <w:spacing w:before="0" w:after="283"/>
              <w:jc w:val="right"/>
              <w:rPr>
                <w:sz w:val="20"/>
              </w:rPr>
            </w:pPr>
            <w:r>
              <w:rPr>
                <w:sz w:val="20"/>
              </w:rPr>
              <w:t>(3,057,577</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10"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905" w:type="dxa"/>
            <w:tcBorders>
              <w:bottom w:val="double" w:sz="10" w:space="0" w:color="000000"/>
            </w:tcBorders>
            <w:shd w:fill="CCEEFF" w:val="clear"/>
            <w:tcMar>
              <w:bottom w:w="28" w:type="dxa"/>
            </w:tcMar>
            <w:vAlign w:val="center"/>
          </w:tcPr>
          <w:p>
            <w:pPr>
              <w:pStyle w:val="TableContents"/>
              <w:bidi w:val="0"/>
              <w:spacing w:before="0" w:after="283"/>
              <w:jc w:val="right"/>
              <w:rPr>
                <w:sz w:val="20"/>
              </w:rPr>
            </w:pPr>
            <w:r>
              <w:rPr>
                <w:sz w:val="20"/>
              </w:rPr>
              <w:t>(1,783,881</w:t>
            </w:r>
          </w:p>
        </w:tc>
        <w:tc>
          <w:tcPr>
            <w:tcW w:w="95" w:type="dxa"/>
            <w:tcBorders/>
            <w:shd w:fill="CCEEFF" w:val="clear"/>
            <w:vAlign w:val="center"/>
          </w:tcPr>
          <w:p>
            <w:pPr>
              <w:pStyle w:val="TableContents"/>
              <w:bidi w:val="0"/>
              <w:spacing w:before="0" w:after="283"/>
              <w:jc w:val="left"/>
              <w:rPr>
                <w:sz w:val="20"/>
              </w:rPr>
            </w:pPr>
            <w:r>
              <w:rPr>
                <w:sz w:val="20"/>
              </w:rPr>
              <w:t>)</w:t>
            </w:r>
          </w:p>
        </w:tc>
      </w:tr>
      <w:tr>
        <w:trPr/>
        <w:tc>
          <w:tcPr>
            <w:tcW w:w="48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r>
      <w:tr>
        <w:trPr/>
        <w:tc>
          <w:tcPr>
            <w:tcW w:w="4835" w:type="dxa"/>
            <w:tcBorders/>
            <w:shd w:fill="CCEEFF" w:val="clear"/>
            <w:vAlign w:val="center"/>
          </w:tcPr>
          <w:p>
            <w:pPr>
              <w:pStyle w:val="TableContents"/>
              <w:bidi w:val="0"/>
              <w:spacing w:before="0" w:after="283"/>
              <w:jc w:val="left"/>
              <w:rPr>
                <w:sz w:val="20"/>
              </w:rPr>
            </w:pPr>
            <w:r>
              <w:rPr>
                <w:sz w:val="20"/>
              </w:rPr>
              <w:t>Net Loss Per Share - Basic and Diluted</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835" w:type="dxa"/>
            <w:tcBorders/>
            <w:vAlign w:val="center"/>
          </w:tcPr>
          <w:p>
            <w:pPr>
              <w:pStyle w:val="TableContents"/>
              <w:bidi w:val="0"/>
              <w:spacing w:before="0" w:after="0"/>
              <w:jc w:val="left"/>
              <w:rPr>
                <w:sz w:val="20"/>
              </w:rPr>
            </w:pPr>
            <w:r>
              <w:rPr>
                <w:sz w:val="20"/>
              </w:rPr>
              <w:t>Continuing operations</w:t>
            </w:r>
          </w:p>
        </w:tc>
        <w:tc>
          <w:tcPr>
            <w:tcW w:w="60" w:type="dxa"/>
            <w:tcBorders/>
            <w:vAlign w:val="center"/>
          </w:tcPr>
          <w:p>
            <w:pPr>
              <w:pStyle w:val="TableContents"/>
              <w:bidi w:val="0"/>
              <w:spacing w:before="0" w:after="283"/>
              <w:jc w:val="left"/>
              <w:rPr/>
            </w:pPr>
            <w:r>
              <w:rPr/>
              <w:t> </w:t>
            </w:r>
          </w:p>
        </w:tc>
        <w:tc>
          <w:tcPr>
            <w:tcW w:w="125" w:type="dxa"/>
            <w:tcBorders>
              <w:bottom w:val="double" w:sz="10" w:space="0" w:color="000000"/>
            </w:tcBorders>
            <w:tcMar>
              <w:bottom w:w="28" w:type="dxa"/>
            </w:tcMar>
            <w:vAlign w:val="center"/>
          </w:tcPr>
          <w:p>
            <w:pPr>
              <w:pStyle w:val="TableContents"/>
              <w:bidi w:val="0"/>
              <w:spacing w:before="0" w:after="283"/>
              <w:jc w:val="left"/>
              <w:rPr>
                <w:sz w:val="20"/>
              </w:rPr>
            </w:pPr>
            <w:r>
              <w:rPr>
                <w:sz w:val="20"/>
              </w:rPr>
              <w:t>$</w:t>
            </w:r>
          </w:p>
        </w:tc>
        <w:tc>
          <w:tcPr>
            <w:tcW w:w="905" w:type="dxa"/>
            <w:tcBorders>
              <w:bottom w:val="double" w:sz="10" w:space="0" w:color="000000"/>
            </w:tcBorders>
            <w:tcMar>
              <w:bottom w:w="28" w:type="dxa"/>
            </w:tcMar>
            <w:vAlign w:val="center"/>
          </w:tcPr>
          <w:p>
            <w:pPr>
              <w:pStyle w:val="TableContents"/>
              <w:bidi w:val="0"/>
              <w:spacing w:before="0" w:after="283"/>
              <w:jc w:val="right"/>
              <w:rPr>
                <w:sz w:val="20"/>
              </w:rPr>
            </w:pPr>
            <w:r>
              <w:rPr>
                <w:sz w:val="20"/>
              </w:rPr>
              <w:t>(0.32</w:t>
            </w:r>
          </w:p>
        </w:tc>
        <w:tc>
          <w:tcPr>
            <w:tcW w:w="80" w:type="dxa"/>
            <w:tcBorders/>
            <w:vAlign w:val="center"/>
          </w:tcPr>
          <w:p>
            <w:pPr>
              <w:pStyle w:val="TableContents"/>
              <w:bidi w:val="0"/>
              <w:spacing w:before="0" w:after="283"/>
              <w:jc w:val="left"/>
              <w:rPr>
                <w:sz w:val="20"/>
              </w:rPr>
            </w:pPr>
            <w:r>
              <w:rPr>
                <w:sz w:val="20"/>
              </w:rPr>
              <w:t>)</w:t>
            </w:r>
          </w:p>
        </w:tc>
        <w:tc>
          <w:tcPr>
            <w:tcW w:w="60" w:type="dxa"/>
            <w:tcBorders/>
            <w:vAlign w:val="center"/>
          </w:tcPr>
          <w:p>
            <w:pPr>
              <w:pStyle w:val="TableContents"/>
              <w:bidi w:val="0"/>
              <w:spacing w:before="0" w:after="283"/>
              <w:jc w:val="left"/>
              <w:rPr/>
            </w:pPr>
            <w:r>
              <w:rPr/>
              <w:t> </w:t>
            </w:r>
          </w:p>
        </w:tc>
        <w:tc>
          <w:tcPr>
            <w:tcW w:w="125" w:type="dxa"/>
            <w:tcBorders>
              <w:bottom w:val="double" w:sz="10" w:space="0" w:color="000000"/>
            </w:tcBorders>
            <w:tcMar>
              <w:bottom w:w="28" w:type="dxa"/>
            </w:tcMar>
            <w:vAlign w:val="center"/>
          </w:tcPr>
          <w:p>
            <w:pPr>
              <w:pStyle w:val="TableContents"/>
              <w:bidi w:val="0"/>
              <w:spacing w:before="0" w:after="283"/>
              <w:jc w:val="left"/>
              <w:rPr>
                <w:sz w:val="20"/>
              </w:rPr>
            </w:pPr>
            <w:r>
              <w:rPr>
                <w:sz w:val="20"/>
              </w:rPr>
              <w:t>$</w:t>
            </w:r>
          </w:p>
        </w:tc>
        <w:tc>
          <w:tcPr>
            <w:tcW w:w="905" w:type="dxa"/>
            <w:tcBorders>
              <w:bottom w:val="double" w:sz="10" w:space="0" w:color="000000"/>
            </w:tcBorders>
            <w:tcMar>
              <w:bottom w:w="28" w:type="dxa"/>
            </w:tcMar>
            <w:vAlign w:val="center"/>
          </w:tcPr>
          <w:p>
            <w:pPr>
              <w:pStyle w:val="TableContents"/>
              <w:bidi w:val="0"/>
              <w:spacing w:before="0" w:after="283"/>
              <w:jc w:val="right"/>
              <w:rPr>
                <w:sz w:val="20"/>
              </w:rPr>
            </w:pPr>
            <w:r>
              <w:rPr>
                <w:sz w:val="20"/>
              </w:rPr>
              <w:t>(0.56</w:t>
            </w:r>
          </w:p>
        </w:tc>
        <w:tc>
          <w:tcPr>
            <w:tcW w:w="95" w:type="dxa"/>
            <w:tcBorders/>
            <w:vAlign w:val="center"/>
          </w:tcPr>
          <w:p>
            <w:pPr>
              <w:pStyle w:val="TableContents"/>
              <w:bidi w:val="0"/>
              <w:spacing w:before="0" w:after="283"/>
              <w:jc w:val="left"/>
              <w:rPr>
                <w:sz w:val="20"/>
              </w:rPr>
            </w:pPr>
            <w:r>
              <w:rPr>
                <w:sz w:val="20"/>
              </w:rPr>
              <w:t>)</w:t>
            </w:r>
          </w:p>
        </w:tc>
      </w:tr>
      <w:tr>
        <w:trPr/>
        <w:tc>
          <w:tcPr>
            <w:tcW w:w="4835" w:type="dxa"/>
            <w:tcBorders/>
            <w:shd w:fill="CCEEFF" w:val="clear"/>
            <w:vAlign w:val="center"/>
          </w:tcPr>
          <w:p>
            <w:pPr>
              <w:pStyle w:val="TableContents"/>
              <w:bidi w:val="0"/>
              <w:spacing w:before="0" w:after="0"/>
              <w:jc w:val="left"/>
              <w:rPr>
                <w:sz w:val="20"/>
              </w:rPr>
            </w:pPr>
            <w:r>
              <w:rPr>
                <w:sz w:val="20"/>
              </w:rPr>
              <w:t>Discontinued operations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10"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905" w:type="dxa"/>
            <w:tcBorders>
              <w:bottom w:val="double" w:sz="10" w:space="0" w:color="000000"/>
            </w:tcBorders>
            <w:shd w:fill="CCEEFF" w:val="clear"/>
            <w:tcMar>
              <w:bottom w:w="28" w:type="dxa"/>
            </w:tcMar>
            <w:vAlign w:val="center"/>
          </w:tcPr>
          <w:p>
            <w:pPr>
              <w:pStyle w:val="TableContents"/>
              <w:bidi w:val="0"/>
              <w:spacing w:before="0" w:after="283"/>
              <w:jc w:val="right"/>
              <w:rPr>
                <w:sz w:val="20"/>
              </w:rPr>
            </w:pPr>
            <w:r>
              <w:rPr>
                <w:sz w:val="20"/>
              </w:rPr>
              <w:t>(0.00</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10"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905" w:type="dxa"/>
            <w:tcBorders>
              <w:bottom w:val="double" w:sz="10" w:space="0" w:color="000000"/>
            </w:tcBorders>
            <w:shd w:fill="CCEEFF" w:val="clear"/>
            <w:tcMar>
              <w:bottom w:w="28" w:type="dxa"/>
            </w:tcMar>
            <w:vAlign w:val="center"/>
          </w:tcPr>
          <w:p>
            <w:pPr>
              <w:pStyle w:val="TableContents"/>
              <w:bidi w:val="0"/>
              <w:spacing w:before="0" w:after="283"/>
              <w:jc w:val="right"/>
              <w:rPr>
                <w:sz w:val="20"/>
              </w:rPr>
            </w:pPr>
            <w:r>
              <w:rPr>
                <w:sz w:val="20"/>
              </w:rPr>
              <w:t>(0.00</w:t>
            </w:r>
          </w:p>
        </w:tc>
        <w:tc>
          <w:tcPr>
            <w:tcW w:w="95" w:type="dxa"/>
            <w:tcBorders/>
            <w:shd w:fill="CCEEFF" w:val="clear"/>
            <w:vAlign w:val="center"/>
          </w:tcPr>
          <w:p>
            <w:pPr>
              <w:pStyle w:val="TableContents"/>
              <w:bidi w:val="0"/>
              <w:spacing w:before="0" w:after="283"/>
              <w:jc w:val="left"/>
              <w:rPr>
                <w:sz w:val="20"/>
              </w:rPr>
            </w:pPr>
            <w:r>
              <w:rPr>
                <w:sz w:val="20"/>
              </w:rPr>
              <w:t>)</w:t>
            </w:r>
          </w:p>
        </w:tc>
      </w:tr>
      <w:tr>
        <w:trPr/>
        <w:tc>
          <w:tcPr>
            <w:tcW w:w="4835" w:type="dxa"/>
            <w:tcBorders/>
            <w:vAlign w:val="center"/>
          </w:tcPr>
          <w:p>
            <w:pPr>
              <w:pStyle w:val="TableContents"/>
              <w:bidi w:val="0"/>
              <w:spacing w:before="0" w:after="0"/>
              <w:jc w:val="left"/>
              <w:rPr>
                <w:sz w:val="20"/>
              </w:rPr>
            </w:pPr>
            <w:r>
              <w:rPr>
                <w:sz w:val="20"/>
              </w:rPr>
              <w:t>Weighted Average Shares Outstanding - Basic and Diluted:</w:t>
            </w:r>
          </w:p>
        </w:tc>
        <w:tc>
          <w:tcPr>
            <w:tcW w:w="60" w:type="dxa"/>
            <w:tcBorders/>
            <w:vAlign w:val="center"/>
          </w:tcPr>
          <w:p>
            <w:pPr>
              <w:pStyle w:val="TableContents"/>
              <w:bidi w:val="0"/>
              <w:spacing w:before="0" w:after="283"/>
              <w:jc w:val="left"/>
              <w:rPr/>
            </w:pPr>
            <w:r>
              <w:rPr/>
              <w:t> </w:t>
            </w:r>
          </w:p>
        </w:tc>
        <w:tc>
          <w:tcPr>
            <w:tcW w:w="125" w:type="dxa"/>
            <w:tcBorders>
              <w:bottom w:val="double" w:sz="10" w:space="0" w:color="000000"/>
            </w:tcBorders>
            <w:tcMar>
              <w:bottom w:w="28" w:type="dxa"/>
            </w:tcMar>
            <w:vAlign w:val="center"/>
          </w:tcPr>
          <w:p>
            <w:pPr>
              <w:pStyle w:val="TableContents"/>
              <w:bidi w:val="0"/>
              <w:spacing w:before="0" w:after="283"/>
              <w:jc w:val="left"/>
              <w:rPr/>
            </w:pPr>
            <w:r>
              <w:rPr/>
              <w:t> </w:t>
            </w:r>
          </w:p>
        </w:tc>
        <w:tc>
          <w:tcPr>
            <w:tcW w:w="905" w:type="dxa"/>
            <w:tcBorders>
              <w:bottom w:val="double" w:sz="10" w:space="0" w:color="000000"/>
            </w:tcBorders>
            <w:tcMar>
              <w:bottom w:w="28" w:type="dxa"/>
            </w:tcMar>
            <w:vAlign w:val="center"/>
          </w:tcPr>
          <w:p>
            <w:pPr>
              <w:pStyle w:val="TableContents"/>
              <w:bidi w:val="0"/>
              <w:spacing w:before="0" w:after="283"/>
              <w:jc w:val="right"/>
              <w:rPr>
                <w:sz w:val="20"/>
              </w:rPr>
            </w:pPr>
            <w:r>
              <w:rPr>
                <w:sz w:val="20"/>
              </w:rPr>
              <w:t>9,450,220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double" w:sz="10" w:space="0" w:color="000000"/>
            </w:tcBorders>
            <w:tcMar>
              <w:bottom w:w="28" w:type="dxa"/>
            </w:tcMar>
            <w:vAlign w:val="center"/>
          </w:tcPr>
          <w:p>
            <w:pPr>
              <w:pStyle w:val="TableContents"/>
              <w:bidi w:val="0"/>
              <w:spacing w:before="0" w:after="283"/>
              <w:jc w:val="left"/>
              <w:rPr/>
            </w:pPr>
            <w:r>
              <w:rPr/>
              <w:t> </w:t>
            </w:r>
          </w:p>
        </w:tc>
        <w:tc>
          <w:tcPr>
            <w:tcW w:w="905" w:type="dxa"/>
            <w:tcBorders>
              <w:bottom w:val="double" w:sz="10" w:space="0" w:color="000000"/>
            </w:tcBorders>
            <w:tcMar>
              <w:bottom w:w="28" w:type="dxa"/>
            </w:tcMar>
            <w:vAlign w:val="center"/>
          </w:tcPr>
          <w:p>
            <w:pPr>
              <w:pStyle w:val="TableContents"/>
              <w:bidi w:val="0"/>
              <w:spacing w:before="0" w:after="283"/>
              <w:jc w:val="right"/>
              <w:rPr>
                <w:sz w:val="20"/>
              </w:rPr>
            </w:pPr>
            <w:r>
              <w:rPr>
                <w:sz w:val="20"/>
              </w:rPr>
              <w:t>3,180,538</w:t>
            </w:r>
          </w:p>
        </w:tc>
        <w:tc>
          <w:tcPr>
            <w:tcW w:w="9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notes to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 w:name="a_005"/>
      <w:bookmarkEnd w:id="6"/>
      <w:r>
        <w:rPr>
          <w:rFonts w:ascii="Times New Roman;Times;Serif" w:hAnsi="Times New Roman;Times;Serif"/>
          <w:b/>
          <w:i w:val="false"/>
          <w:caps w:val="false"/>
          <w:smallCaps w:val="false"/>
          <w:sz w:val="20"/>
        </w:rPr>
        <w:t>authID INC. AND SUBSIDIARIES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COMPREHENSIVE LOSS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tbl>
      <w:tblPr>
        <w:tblW w:w="5570" w:type="dxa"/>
        <w:jc w:val="left"/>
        <w:tblInd w:w="0" w:type="dxa"/>
        <w:tblLayout w:type="fixed"/>
        <w:tblCellMar>
          <w:top w:w="0" w:type="dxa"/>
          <w:left w:w="0" w:type="dxa"/>
          <w:bottom w:w="0" w:type="dxa"/>
          <w:right w:w="0" w:type="dxa"/>
        </w:tblCellMar>
      </w:tblPr>
      <w:tblGrid>
        <w:gridCol w:w="3215"/>
        <w:gridCol w:w="60"/>
        <w:gridCol w:w="125"/>
        <w:gridCol w:w="905"/>
        <w:gridCol w:w="80"/>
        <w:gridCol w:w="60"/>
        <w:gridCol w:w="125"/>
        <w:gridCol w:w="905"/>
        <w:gridCol w:w="95"/>
      </w:tblGrid>
      <w:tr>
        <w:trPr/>
        <w:tc>
          <w:tcPr>
            <w:tcW w:w="32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200" w:type="dxa"/>
            <w:gridSpan w:val="6"/>
            <w:tcBorders/>
            <w:vAlign w:val="center"/>
          </w:tcPr>
          <w:p>
            <w:pPr>
              <w:pStyle w:val="TableContents"/>
              <w:bidi w:val="0"/>
              <w:spacing w:before="0" w:after="283"/>
              <w:jc w:val="center"/>
              <w:rPr>
                <w:b/>
                <w:sz w:val="20"/>
              </w:rPr>
            </w:pPr>
            <w:r>
              <w:rPr>
                <w:b/>
                <w:sz w:val="20"/>
              </w:rPr>
              <w:t>Three Months Ended</w:t>
            </w:r>
          </w:p>
        </w:tc>
        <w:tc>
          <w:tcPr>
            <w:tcW w:w="95" w:type="dxa"/>
            <w:tcBorders/>
            <w:vAlign w:val="center"/>
          </w:tcPr>
          <w:p>
            <w:pPr>
              <w:pStyle w:val="TableContents"/>
              <w:bidi w:val="0"/>
              <w:spacing w:before="0" w:after="283"/>
              <w:jc w:val="left"/>
              <w:rPr/>
            </w:pPr>
            <w:r>
              <w:rPr/>
              <w:t> </w:t>
            </w:r>
          </w:p>
        </w:tc>
      </w:tr>
      <w:tr>
        <w:trPr/>
        <w:tc>
          <w:tcPr>
            <w:tcW w:w="32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200" w:type="dxa"/>
            <w:gridSpan w:val="6"/>
            <w:tcBorders>
              <w:bottom w:val="single" w:sz="12" w:space="0" w:color="000000"/>
            </w:tcBorders>
            <w:tcMar>
              <w:bottom w:w="28" w:type="dxa"/>
            </w:tcMar>
            <w:vAlign w:val="center"/>
          </w:tcPr>
          <w:p>
            <w:pPr>
              <w:pStyle w:val="TableContents"/>
              <w:bidi w:val="0"/>
              <w:spacing w:before="0" w:after="283"/>
              <w:jc w:val="center"/>
              <w:rPr>
                <w:b/>
                <w:sz w:val="20"/>
              </w:rPr>
            </w:pPr>
            <w:r>
              <w:rPr>
                <w:b/>
                <w:sz w:val="20"/>
              </w:rPr>
              <w:t>March 31,</w:t>
            </w:r>
          </w:p>
        </w:tc>
        <w:tc>
          <w:tcPr>
            <w:tcW w:w="95" w:type="dxa"/>
            <w:tcBorders/>
            <w:vAlign w:val="center"/>
          </w:tcPr>
          <w:p>
            <w:pPr>
              <w:pStyle w:val="TableContents"/>
              <w:bidi w:val="0"/>
              <w:spacing w:before="0" w:after="283"/>
              <w:jc w:val="left"/>
              <w:rPr/>
            </w:pPr>
            <w:r>
              <w:rPr/>
              <w:t> </w:t>
            </w:r>
          </w:p>
        </w:tc>
      </w:tr>
      <w:tr>
        <w:trPr/>
        <w:tc>
          <w:tcPr>
            <w:tcW w:w="32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30"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2024</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0"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2023</w:t>
            </w:r>
          </w:p>
        </w:tc>
        <w:tc>
          <w:tcPr>
            <w:tcW w:w="95" w:type="dxa"/>
            <w:tcBorders/>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before="0" w:after="283"/>
              <w:jc w:val="left"/>
              <w:rPr>
                <w:sz w:val="20"/>
              </w:rPr>
            </w:pPr>
            <w:r>
              <w:rPr>
                <w:sz w:val="20"/>
              </w:rPr>
              <w:t>Net Loss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905" w:type="dxa"/>
            <w:tcBorders/>
            <w:shd w:fill="CCEEFF" w:val="clear"/>
            <w:vAlign w:val="center"/>
          </w:tcPr>
          <w:p>
            <w:pPr>
              <w:pStyle w:val="TableContents"/>
              <w:bidi w:val="0"/>
              <w:spacing w:before="0" w:after="283"/>
              <w:jc w:val="right"/>
              <w:rPr>
                <w:sz w:val="20"/>
              </w:rPr>
            </w:pPr>
            <w:r>
              <w:rPr>
                <w:sz w:val="20"/>
              </w:rPr>
              <w:t>(3,057,577</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905" w:type="dxa"/>
            <w:tcBorders/>
            <w:shd w:fill="CCEEFF" w:val="clear"/>
            <w:vAlign w:val="center"/>
          </w:tcPr>
          <w:p>
            <w:pPr>
              <w:pStyle w:val="TableContents"/>
              <w:bidi w:val="0"/>
              <w:spacing w:before="0" w:after="283"/>
              <w:jc w:val="right"/>
              <w:rPr>
                <w:sz w:val="20"/>
              </w:rPr>
            </w:pPr>
            <w:r>
              <w:rPr>
                <w:sz w:val="20"/>
              </w:rPr>
              <w:t>(1,783,881</w:t>
            </w:r>
          </w:p>
        </w:tc>
        <w:tc>
          <w:tcPr>
            <w:tcW w:w="95" w:type="dxa"/>
            <w:tcBorders/>
            <w:shd w:fill="CCEEFF" w:val="clear"/>
            <w:vAlign w:val="center"/>
          </w:tcPr>
          <w:p>
            <w:pPr>
              <w:pStyle w:val="TableContents"/>
              <w:bidi w:val="0"/>
              <w:spacing w:before="0" w:after="283"/>
              <w:jc w:val="left"/>
              <w:rPr>
                <w:sz w:val="20"/>
              </w:rPr>
            </w:pPr>
            <w:r>
              <w:rPr>
                <w:sz w:val="20"/>
              </w:rPr>
              <w:t>)</w:t>
            </w:r>
          </w:p>
        </w:tc>
      </w:tr>
      <w:tr>
        <w:trPr/>
        <w:tc>
          <w:tcPr>
            <w:tcW w:w="3215" w:type="dxa"/>
            <w:tcBorders/>
            <w:vAlign w:val="center"/>
          </w:tcPr>
          <w:p>
            <w:pPr>
              <w:pStyle w:val="TableContents"/>
              <w:bidi w:val="0"/>
              <w:spacing w:before="0" w:after="283"/>
              <w:jc w:val="left"/>
              <w:rPr>
                <w:sz w:val="20"/>
              </w:rPr>
            </w:pPr>
            <w:r>
              <w:rPr>
                <w:sz w:val="20"/>
              </w:rPr>
              <w:t>Foreign currency translation gain (loss)</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right"/>
              <w:rPr>
                <w:sz w:val="20"/>
              </w:rPr>
            </w:pPr>
            <w:r>
              <w:rPr>
                <w:sz w:val="20"/>
              </w:rPr>
              <w:t>4,078</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right"/>
              <w:rPr>
                <w:sz w:val="20"/>
              </w:rPr>
            </w:pPr>
            <w:r>
              <w:rPr>
                <w:sz w:val="20"/>
              </w:rPr>
              <w:t>(24,066</w:t>
            </w:r>
          </w:p>
        </w:tc>
        <w:tc>
          <w:tcPr>
            <w:tcW w:w="95" w:type="dxa"/>
            <w:tcBorders/>
            <w:vAlign w:val="center"/>
          </w:tcPr>
          <w:p>
            <w:pPr>
              <w:pStyle w:val="TableContents"/>
              <w:bidi w:val="0"/>
              <w:spacing w:before="0" w:after="283"/>
              <w:jc w:val="left"/>
              <w:rPr>
                <w:sz w:val="20"/>
              </w:rPr>
            </w:pPr>
            <w:r>
              <w:rPr>
                <w:sz w:val="20"/>
              </w:rPr>
              <w:t>)</w:t>
            </w:r>
          </w:p>
        </w:tc>
      </w:tr>
      <w:tr>
        <w:trPr/>
        <w:tc>
          <w:tcPr>
            <w:tcW w:w="3215" w:type="dxa"/>
            <w:tcBorders/>
            <w:shd w:fill="CCEEFF" w:val="clear"/>
            <w:vAlign w:val="center"/>
          </w:tcPr>
          <w:p>
            <w:pPr>
              <w:pStyle w:val="TableContents"/>
              <w:bidi w:val="0"/>
              <w:spacing w:before="0" w:after="283"/>
              <w:jc w:val="left"/>
              <w:rPr>
                <w:sz w:val="20"/>
              </w:rPr>
            </w:pPr>
            <w:r>
              <w:rPr>
                <w:sz w:val="20"/>
              </w:rPr>
              <w:t>Comprehensive loss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10"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905" w:type="dxa"/>
            <w:tcBorders>
              <w:bottom w:val="double" w:sz="10" w:space="0" w:color="000000"/>
            </w:tcBorders>
            <w:shd w:fill="CCEEFF" w:val="clear"/>
            <w:tcMar>
              <w:bottom w:w="28" w:type="dxa"/>
            </w:tcMar>
            <w:vAlign w:val="center"/>
          </w:tcPr>
          <w:p>
            <w:pPr>
              <w:pStyle w:val="TableContents"/>
              <w:bidi w:val="0"/>
              <w:spacing w:before="0" w:after="283"/>
              <w:jc w:val="right"/>
              <w:rPr>
                <w:sz w:val="20"/>
              </w:rPr>
            </w:pPr>
            <w:r>
              <w:rPr>
                <w:sz w:val="20"/>
              </w:rPr>
              <w:t>(3,053,499</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10"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905" w:type="dxa"/>
            <w:tcBorders>
              <w:bottom w:val="double" w:sz="10" w:space="0" w:color="000000"/>
            </w:tcBorders>
            <w:shd w:fill="CCEEFF" w:val="clear"/>
            <w:tcMar>
              <w:bottom w:w="28" w:type="dxa"/>
            </w:tcMar>
            <w:vAlign w:val="center"/>
          </w:tcPr>
          <w:p>
            <w:pPr>
              <w:pStyle w:val="TableContents"/>
              <w:bidi w:val="0"/>
              <w:spacing w:before="0" w:after="283"/>
              <w:jc w:val="right"/>
              <w:rPr>
                <w:sz w:val="20"/>
              </w:rPr>
            </w:pPr>
            <w:r>
              <w:rPr>
                <w:sz w:val="20"/>
              </w:rPr>
              <w:t>(1,807,947</w:t>
            </w:r>
          </w:p>
        </w:tc>
        <w:tc>
          <w:tcPr>
            <w:tcW w:w="95" w:type="dxa"/>
            <w:tcBorders/>
            <w:shd w:fill="CCEEFF" w:val="clear"/>
            <w:vAlign w:val="center"/>
          </w:tcPr>
          <w:p>
            <w:pPr>
              <w:pStyle w:val="TableContents"/>
              <w:bidi w:val="0"/>
              <w:spacing w:before="0" w:after="283"/>
              <w:jc w:val="left"/>
              <w:rPr>
                <w:sz w:val="20"/>
              </w:rPr>
            </w:pPr>
            <w:r>
              <w:rPr>
                <w:sz w:val="20"/>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notes to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 w:name="a_006"/>
      <w:bookmarkEnd w:id="7"/>
      <w:r>
        <w:rPr>
          <w:rFonts w:ascii="Times New Roman;Times;Serif" w:hAnsi="Times New Roman;Times;Serif"/>
          <w:b/>
          <w:i w:val="false"/>
          <w:caps w:val="false"/>
          <w:smallCaps w:val="false"/>
          <w:sz w:val="20"/>
        </w:rPr>
        <w:t>authID INC. AND SUBSIDIARIES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CONDENSED CONSOLIDATED STATEMENTS OF CHANGES IN STOCKHOLDERS’ EQUITY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(Unaudited)</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caps w:val="false"/>
          <w:smallCaps w:val="false"/>
        </w:rPr>
      </w:pPr>
      <w:r>
        <w:rPr>
          <w:caps w:val="false"/>
          <w:smallCaps w:val="false"/>
        </w:rPr>
        <w:t> </w:t>
      </w:r>
    </w:p>
    <w:tbl>
      <w:tblPr>
        <w:tblW w:w="9790" w:type="dxa"/>
        <w:jc w:val="left"/>
        <w:tblInd w:w="0" w:type="dxa"/>
        <w:tblLayout w:type="fixed"/>
        <w:tblCellMar>
          <w:top w:w="0" w:type="dxa"/>
          <w:left w:w="0" w:type="dxa"/>
          <w:bottom w:w="0" w:type="dxa"/>
          <w:right w:w="0" w:type="dxa"/>
        </w:tblCellMar>
      </w:tblPr>
      <w:tblGrid>
        <w:gridCol w:w="2540"/>
        <w:gridCol w:w="60"/>
        <w:gridCol w:w="60"/>
        <w:gridCol w:w="845"/>
        <w:gridCol w:w="60"/>
        <w:gridCol w:w="60"/>
        <w:gridCol w:w="188"/>
        <w:gridCol w:w="507"/>
        <w:gridCol w:w="60"/>
        <w:gridCol w:w="60"/>
        <w:gridCol w:w="125"/>
        <w:gridCol w:w="1055"/>
        <w:gridCol w:w="80"/>
        <w:gridCol w:w="60"/>
        <w:gridCol w:w="125"/>
        <w:gridCol w:w="1115"/>
        <w:gridCol w:w="80"/>
        <w:gridCol w:w="60"/>
        <w:gridCol w:w="203"/>
        <w:gridCol w:w="1137"/>
        <w:gridCol w:w="80"/>
        <w:gridCol w:w="60"/>
        <w:gridCol w:w="125"/>
        <w:gridCol w:w="950"/>
        <w:gridCol w:w="95"/>
      </w:tblGrid>
      <w:tr>
        <w:trPr/>
        <w:tc>
          <w:tcPr>
            <w:tcW w:w="25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0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0"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vAlign w:val="center"/>
          </w:tcPr>
          <w:p>
            <w:pPr>
              <w:pStyle w:val="TableContents"/>
              <w:bidi w:val="0"/>
              <w:spacing w:before="0" w:after="283"/>
              <w:jc w:val="center"/>
              <w:rPr>
                <w:b/>
                <w:sz w:val="20"/>
              </w:rPr>
            </w:pPr>
            <w:r>
              <w:rPr>
                <w:b/>
                <w:sz w:val="20"/>
              </w:rPr>
              <w:t>Accumulated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r>
      <w:tr>
        <w:trPr/>
        <w:tc>
          <w:tcPr>
            <w:tcW w:w="25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0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0" w:type="dxa"/>
            <w:gridSpan w:val="2"/>
            <w:tcBorders/>
            <w:vAlign w:val="center"/>
          </w:tcPr>
          <w:p>
            <w:pPr>
              <w:pStyle w:val="TableContents"/>
              <w:bidi w:val="0"/>
              <w:spacing w:before="0" w:after="283"/>
              <w:jc w:val="center"/>
              <w:rPr>
                <w:b/>
                <w:sz w:val="20"/>
              </w:rPr>
            </w:pPr>
            <w:r>
              <w:rPr>
                <w:b/>
                <w:sz w:val="20"/>
              </w:rPr>
              <w:t>Additional</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vAlign w:val="center"/>
          </w:tcPr>
          <w:p>
            <w:pPr>
              <w:pStyle w:val="TableContents"/>
              <w:bidi w:val="0"/>
              <w:spacing w:before="0" w:after="283"/>
              <w:jc w:val="center"/>
              <w:rPr>
                <w:b/>
                <w:sz w:val="20"/>
              </w:rPr>
            </w:pPr>
            <w:r>
              <w:rPr>
                <w:b/>
                <w:sz w:val="20"/>
              </w:rPr>
              <w:t>Other</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r>
      <w:tr>
        <w:trPr/>
        <w:tc>
          <w:tcPr>
            <w:tcW w:w="25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720" w:type="dxa"/>
            <w:gridSpan w:val="6"/>
            <w:tcBorders>
              <w:bottom w:val="single" w:sz="12" w:space="0" w:color="000000"/>
            </w:tcBorders>
            <w:tcMar>
              <w:bottom w:w="28" w:type="dxa"/>
            </w:tcMar>
            <w:vAlign w:val="center"/>
          </w:tcPr>
          <w:p>
            <w:pPr>
              <w:pStyle w:val="TableContents"/>
              <w:bidi w:val="0"/>
              <w:spacing w:before="0" w:after="283"/>
              <w:jc w:val="center"/>
              <w:rPr>
                <w:b/>
                <w:sz w:val="20"/>
              </w:rPr>
            </w:pPr>
            <w:r>
              <w:rPr>
                <w:b/>
                <w:sz w:val="20"/>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0" w:type="dxa"/>
            <w:gridSpan w:val="2"/>
            <w:tcBorders/>
            <w:vAlign w:val="center"/>
          </w:tcPr>
          <w:p>
            <w:pPr>
              <w:pStyle w:val="TableContents"/>
              <w:bidi w:val="0"/>
              <w:spacing w:before="0" w:after="283"/>
              <w:jc w:val="center"/>
              <w:rPr>
                <w:b/>
                <w:sz w:val="20"/>
              </w:rPr>
            </w:pPr>
            <w:r>
              <w:rPr>
                <w:b/>
                <w:sz w:val="20"/>
              </w:rPr>
              <w:t>Paid-in</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center"/>
              <w:rPr>
                <w:b/>
                <w:sz w:val="20"/>
              </w:rPr>
            </w:pPr>
            <w:r>
              <w:rPr>
                <w:b/>
                <w:sz w:val="20"/>
              </w:rPr>
              <w:t>Accumulated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vAlign w:val="center"/>
          </w:tcPr>
          <w:p>
            <w:pPr>
              <w:pStyle w:val="TableContents"/>
              <w:bidi w:val="0"/>
              <w:spacing w:before="0" w:after="283"/>
              <w:jc w:val="center"/>
              <w:rPr>
                <w:b/>
                <w:sz w:val="20"/>
              </w:rPr>
            </w:pPr>
            <w:r>
              <w:rPr>
                <w:b/>
                <w:sz w:val="20"/>
              </w:rPr>
              <w:t>Comprehensive</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r>
      <w:tr>
        <w:trPr/>
        <w:tc>
          <w:tcPr>
            <w:tcW w:w="25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05"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5"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Capital</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Deficit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Income</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Total</w:t>
            </w:r>
          </w:p>
        </w:tc>
        <w:tc>
          <w:tcPr>
            <w:tcW w:w="95" w:type="dxa"/>
            <w:tcBorders/>
            <w:vAlign w:val="center"/>
          </w:tcPr>
          <w:p>
            <w:pPr>
              <w:pStyle w:val="TableContents"/>
              <w:bidi w:val="0"/>
              <w:spacing w:before="0" w:after="283"/>
              <w:jc w:val="left"/>
              <w:rPr/>
            </w:pPr>
            <w:r>
              <w:rPr/>
              <w:t> </w:t>
            </w:r>
          </w:p>
        </w:tc>
      </w:tr>
      <w:tr>
        <w:trPr/>
        <w:tc>
          <w:tcPr>
            <w:tcW w:w="2540" w:type="dxa"/>
            <w:tcBorders/>
            <w:shd w:fill="CCEEFF" w:val="clear"/>
            <w:vAlign w:val="center"/>
          </w:tcPr>
          <w:p>
            <w:pPr>
              <w:pStyle w:val="TableContents"/>
              <w:bidi w:val="0"/>
              <w:spacing w:before="0" w:after="283"/>
              <w:jc w:val="left"/>
              <w:rPr>
                <w:sz w:val="20"/>
              </w:rPr>
            </w:pPr>
            <w:r>
              <w:rPr>
                <w:sz w:val="20"/>
              </w:rPr>
              <w:t>Balances, December 31, 2022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sz w:val="20"/>
              </w:rPr>
            </w:pPr>
            <w:r>
              <w:rPr>
                <w:sz w:val="20"/>
              </w:rPr>
              <w:t>3,179,789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sz w:val="20"/>
              </w:rPr>
            </w:pPr>
            <w:r>
              <w:rPr>
                <w:sz w:val="20"/>
              </w:rPr>
              <w:t>$</w:t>
            </w:r>
          </w:p>
        </w:tc>
        <w:tc>
          <w:tcPr>
            <w:tcW w:w="507" w:type="dxa"/>
            <w:tcBorders/>
            <w:shd w:fill="CCEEFF" w:val="clear"/>
            <w:vAlign w:val="center"/>
          </w:tcPr>
          <w:p>
            <w:pPr>
              <w:pStyle w:val="TableContents"/>
              <w:bidi w:val="0"/>
              <w:spacing w:before="0" w:after="283"/>
              <w:jc w:val="right"/>
              <w:rPr>
                <w:sz w:val="20"/>
              </w:rPr>
            </w:pPr>
            <w:r>
              <w:rPr>
                <w:sz w:val="20"/>
              </w:rPr>
              <w:t>318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1055" w:type="dxa"/>
            <w:tcBorders/>
            <w:shd w:fill="CCEEFF" w:val="clear"/>
            <w:vAlign w:val="center"/>
          </w:tcPr>
          <w:p>
            <w:pPr>
              <w:pStyle w:val="TableContents"/>
              <w:bidi w:val="0"/>
              <w:spacing w:before="0" w:after="283"/>
              <w:jc w:val="right"/>
              <w:rPr>
                <w:sz w:val="20"/>
              </w:rPr>
            </w:pPr>
            <w:r>
              <w:rPr>
                <w:sz w:val="20"/>
              </w:rPr>
              <w:t>140,257,448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1115" w:type="dxa"/>
            <w:tcBorders/>
            <w:shd w:fill="CCEEFF" w:val="clear"/>
            <w:vAlign w:val="center"/>
          </w:tcPr>
          <w:p>
            <w:pPr>
              <w:pStyle w:val="TableContents"/>
              <w:bidi w:val="0"/>
              <w:spacing w:before="0" w:after="283"/>
              <w:jc w:val="right"/>
              <w:rPr>
                <w:sz w:val="20"/>
              </w:rPr>
            </w:pPr>
            <w:r>
              <w:rPr>
                <w:sz w:val="20"/>
              </w:rPr>
              <w:t>(140,130,159</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sz w:val="20"/>
              </w:rPr>
            </w:pPr>
            <w:r>
              <w:rPr>
                <w:sz w:val="20"/>
              </w:rPr>
              <w:t>$</w:t>
            </w:r>
          </w:p>
        </w:tc>
        <w:tc>
          <w:tcPr>
            <w:tcW w:w="1137" w:type="dxa"/>
            <w:tcBorders/>
            <w:shd w:fill="CCEEFF" w:val="clear"/>
            <w:vAlign w:val="center"/>
          </w:tcPr>
          <w:p>
            <w:pPr>
              <w:pStyle w:val="TableContents"/>
              <w:bidi w:val="0"/>
              <w:spacing w:before="0" w:after="283"/>
              <w:jc w:val="right"/>
              <w:rPr>
                <w:sz w:val="20"/>
              </w:rPr>
            </w:pPr>
            <w:r>
              <w:rPr>
                <w:sz w:val="20"/>
              </w:rPr>
              <w:t>155,929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950" w:type="dxa"/>
            <w:tcBorders/>
            <w:shd w:fill="CCEEFF" w:val="clear"/>
            <w:vAlign w:val="center"/>
          </w:tcPr>
          <w:p>
            <w:pPr>
              <w:pStyle w:val="TableContents"/>
              <w:bidi w:val="0"/>
              <w:spacing w:before="0" w:after="283"/>
              <w:jc w:val="right"/>
              <w:rPr>
                <w:sz w:val="20"/>
              </w:rPr>
            </w:pPr>
            <w:r>
              <w:rPr>
                <w:sz w:val="20"/>
              </w:rPr>
              <w:t>283,536</w:t>
            </w:r>
          </w:p>
        </w:tc>
        <w:tc>
          <w:tcPr>
            <w:tcW w:w="95" w:type="dxa"/>
            <w:tcBorders/>
            <w:shd w:fill="CCEEFF" w:val="clear"/>
            <w:vAlign w:val="center"/>
          </w:tcPr>
          <w:p>
            <w:pPr>
              <w:pStyle w:val="TableContents"/>
              <w:bidi w:val="0"/>
              <w:spacing w:before="0" w:after="283"/>
              <w:ind w:left="0" w:right="0" w:hanging="200"/>
              <w:jc w:val="left"/>
              <w:rPr/>
            </w:pPr>
            <w:r>
              <w:rPr/>
              <w:t> </w:t>
            </w:r>
          </w:p>
        </w:tc>
      </w:tr>
      <w:tr>
        <w:trPr/>
        <w:tc>
          <w:tcPr>
            <w:tcW w:w="2540" w:type="dxa"/>
            <w:tcBorders/>
            <w:vAlign w:val="center"/>
          </w:tcPr>
          <w:p>
            <w:pPr>
              <w:pStyle w:val="TableContents"/>
              <w:bidi w:val="0"/>
              <w:spacing w:before="0" w:after="283"/>
              <w:jc w:val="left"/>
              <w:rPr>
                <w:sz w:val="20"/>
              </w:rPr>
            </w:pPr>
            <w:r>
              <w:rPr>
                <w:sz w:val="20"/>
              </w:rPr>
              <w:t>Stock-based compensation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sz w:val="20"/>
              </w:rPr>
            </w:pPr>
            <w:r>
              <w:rPr>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507" w:type="dxa"/>
            <w:tcBorders/>
            <w:vAlign w:val="center"/>
          </w:tcPr>
          <w:p>
            <w:pPr>
              <w:pStyle w:val="TableContents"/>
              <w:bidi w:val="0"/>
              <w:spacing w:before="0" w:after="0"/>
              <w:jc w:val="right"/>
              <w:rPr>
                <w:sz w:val="20"/>
              </w:rPr>
            </w:pPr>
            <w:r>
              <w:rPr>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sz w:val="20"/>
              </w:rPr>
            </w:pPr>
            <w:r>
              <w:rPr>
                <w:sz w:val="20"/>
              </w:rPr>
              <w:t>(2,598,592</w:t>
            </w:r>
          </w:p>
        </w:tc>
        <w:tc>
          <w:tcPr>
            <w:tcW w:w="80" w:type="dxa"/>
            <w:tcBorders/>
            <w:vAlign w:val="center"/>
          </w:tcPr>
          <w:p>
            <w:pPr>
              <w:pStyle w:val="TableContents"/>
              <w:bidi w:val="0"/>
              <w:spacing w:before="0" w:after="283"/>
              <w:jc w:val="left"/>
              <w:rPr>
                <w:sz w:val="20"/>
              </w:rPr>
            </w:pPr>
            <w:r>
              <w:rPr>
                <w:sz w:val="20"/>
              </w:rPr>
              <w:t>)</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0"/>
              <w:jc w:val="right"/>
              <w:rPr>
                <w:sz w:val="20"/>
              </w:rPr>
            </w:pPr>
            <w:r>
              <w:rPr>
                <w:sz w:val="20"/>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1137" w:type="dxa"/>
            <w:tcBorders/>
            <w:vAlign w:val="center"/>
          </w:tcPr>
          <w:p>
            <w:pPr>
              <w:pStyle w:val="TableContents"/>
              <w:bidi w:val="0"/>
              <w:spacing w:before="0" w:after="0"/>
              <w:jc w:val="right"/>
              <w:rPr>
                <w:sz w:val="20"/>
              </w:rPr>
            </w:pPr>
            <w:r>
              <w:rPr>
                <w:sz w:val="20"/>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sz w:val="20"/>
              </w:rPr>
            </w:pPr>
            <w:r>
              <w:rPr>
                <w:sz w:val="20"/>
              </w:rPr>
              <w:t>(2,598,592</w:t>
            </w:r>
          </w:p>
        </w:tc>
        <w:tc>
          <w:tcPr>
            <w:tcW w:w="95" w:type="dxa"/>
            <w:tcBorders/>
            <w:vAlign w:val="center"/>
          </w:tcPr>
          <w:p>
            <w:pPr>
              <w:pStyle w:val="TableContents"/>
              <w:bidi w:val="0"/>
              <w:spacing w:before="0" w:after="283"/>
              <w:ind w:left="0" w:right="0" w:hanging="200"/>
              <w:jc w:val="left"/>
              <w:rPr>
                <w:sz w:val="20"/>
              </w:rPr>
            </w:pPr>
            <w:r>
              <w:rPr>
                <w:sz w:val="20"/>
              </w:rPr>
              <w:t>)</w:t>
            </w:r>
          </w:p>
        </w:tc>
      </w:tr>
      <w:tr>
        <w:trPr/>
        <w:tc>
          <w:tcPr>
            <w:tcW w:w="2540" w:type="dxa"/>
            <w:tcBorders/>
            <w:shd w:fill="CCEEFF" w:val="clear"/>
            <w:vAlign w:val="center"/>
          </w:tcPr>
          <w:p>
            <w:pPr>
              <w:pStyle w:val="TableContents"/>
              <w:bidi w:val="0"/>
              <w:spacing w:before="0" w:after="283"/>
              <w:jc w:val="left"/>
              <w:rPr>
                <w:sz w:val="20"/>
              </w:rPr>
            </w:pPr>
            <w:r>
              <w:rPr>
                <w:sz w:val="20"/>
              </w:rPr>
              <w:t>Shares issued in lieu of interest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sz w:val="20"/>
              </w:rPr>
            </w:pPr>
            <w:r>
              <w:rPr>
                <w:sz w:val="20"/>
              </w:rPr>
              <w:t>68,186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507" w:type="dxa"/>
            <w:tcBorders/>
            <w:shd w:fill="CCEEFF" w:val="clear"/>
            <w:vAlign w:val="center"/>
          </w:tcPr>
          <w:p>
            <w:pPr>
              <w:pStyle w:val="TableContents"/>
              <w:bidi w:val="0"/>
              <w:spacing w:before="0" w:after="283"/>
              <w:jc w:val="right"/>
              <w:rPr>
                <w:sz w:val="20"/>
              </w:rPr>
            </w:pPr>
            <w:r>
              <w:rPr>
                <w:sz w:val="20"/>
              </w:rPr>
              <w:t>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222,420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0"/>
              <w:jc w:val="right"/>
              <w:rPr>
                <w:sz w:val="20"/>
              </w:rPr>
            </w:pPr>
            <w:r>
              <w:rPr>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137" w:type="dxa"/>
            <w:tcBorders/>
            <w:shd w:fill="CCEEFF" w:val="clear"/>
            <w:vAlign w:val="center"/>
          </w:tcPr>
          <w:p>
            <w:pPr>
              <w:pStyle w:val="TableContents"/>
              <w:bidi w:val="0"/>
              <w:spacing w:before="0" w:after="0"/>
              <w:jc w:val="right"/>
              <w:rPr>
                <w:sz w:val="20"/>
              </w:rPr>
            </w:pPr>
            <w:r>
              <w:rPr>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sz w:val="20"/>
              </w:rPr>
            </w:pPr>
            <w:r>
              <w:rPr>
                <w:sz w:val="20"/>
              </w:rPr>
              <w:t>222,427</w:t>
            </w:r>
          </w:p>
        </w:tc>
        <w:tc>
          <w:tcPr>
            <w:tcW w:w="95" w:type="dxa"/>
            <w:tcBorders/>
            <w:shd w:fill="CCEEFF" w:val="clear"/>
            <w:vAlign w:val="center"/>
          </w:tcPr>
          <w:p>
            <w:pPr>
              <w:pStyle w:val="TableContents"/>
              <w:bidi w:val="0"/>
              <w:spacing w:before="0" w:after="283"/>
              <w:ind w:left="0" w:right="0" w:hanging="200"/>
              <w:jc w:val="left"/>
              <w:rPr/>
            </w:pPr>
            <w:r>
              <w:rPr/>
              <w:t> </w:t>
            </w:r>
          </w:p>
        </w:tc>
      </w:tr>
      <w:tr>
        <w:trPr/>
        <w:tc>
          <w:tcPr>
            <w:tcW w:w="2540" w:type="dxa"/>
            <w:tcBorders/>
            <w:vAlign w:val="center"/>
          </w:tcPr>
          <w:p>
            <w:pPr>
              <w:pStyle w:val="TableContents"/>
              <w:bidi w:val="0"/>
              <w:spacing w:before="0" w:after="283"/>
              <w:jc w:val="left"/>
              <w:rPr>
                <w:sz w:val="20"/>
              </w:rPr>
            </w:pPr>
            <w:r>
              <w:rPr>
                <w:sz w:val="20"/>
              </w:rPr>
              <w:t>Net loss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sz w:val="20"/>
              </w:rPr>
            </w:pPr>
            <w:r>
              <w:rPr>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507" w:type="dxa"/>
            <w:tcBorders/>
            <w:vAlign w:val="center"/>
          </w:tcPr>
          <w:p>
            <w:pPr>
              <w:pStyle w:val="TableContents"/>
              <w:bidi w:val="0"/>
              <w:spacing w:before="0" w:after="0"/>
              <w:jc w:val="right"/>
              <w:rPr>
                <w:sz w:val="20"/>
              </w:rPr>
            </w:pPr>
            <w:r>
              <w:rPr>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right"/>
              <w:rPr>
                <w:sz w:val="20"/>
              </w:rPr>
            </w:pPr>
            <w:r>
              <w:rPr>
                <w:sz w:val="20"/>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right"/>
              <w:rPr>
                <w:sz w:val="20"/>
              </w:rPr>
            </w:pPr>
            <w:r>
              <w:rPr>
                <w:sz w:val="20"/>
              </w:rPr>
              <w:t>(1,783,881</w:t>
            </w:r>
          </w:p>
        </w:tc>
        <w:tc>
          <w:tcPr>
            <w:tcW w:w="80" w:type="dxa"/>
            <w:tcBorders/>
            <w:vAlign w:val="center"/>
          </w:tcPr>
          <w:p>
            <w:pPr>
              <w:pStyle w:val="TableContents"/>
              <w:bidi w:val="0"/>
              <w:spacing w:before="0" w:after="283"/>
              <w:jc w:val="left"/>
              <w:rPr>
                <w:sz w:val="20"/>
              </w:rPr>
            </w:pPr>
            <w:r>
              <w:rPr>
                <w:sz w:val="20"/>
              </w:rPr>
              <w:t>)</w:t>
            </w:r>
          </w:p>
        </w:tc>
        <w:tc>
          <w:tcPr>
            <w:tcW w:w="6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1137" w:type="dxa"/>
            <w:tcBorders/>
            <w:vAlign w:val="center"/>
          </w:tcPr>
          <w:p>
            <w:pPr>
              <w:pStyle w:val="TableContents"/>
              <w:bidi w:val="0"/>
              <w:spacing w:before="0" w:after="0"/>
              <w:jc w:val="right"/>
              <w:rPr>
                <w:sz w:val="20"/>
              </w:rPr>
            </w:pPr>
            <w:r>
              <w:rPr>
                <w:sz w:val="20"/>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sz w:val="20"/>
              </w:rPr>
            </w:pPr>
            <w:r>
              <w:rPr>
                <w:sz w:val="20"/>
              </w:rPr>
              <w:t>(1,783,881</w:t>
            </w:r>
          </w:p>
        </w:tc>
        <w:tc>
          <w:tcPr>
            <w:tcW w:w="95" w:type="dxa"/>
            <w:tcBorders/>
            <w:vAlign w:val="center"/>
          </w:tcPr>
          <w:p>
            <w:pPr>
              <w:pStyle w:val="TableContents"/>
              <w:bidi w:val="0"/>
              <w:spacing w:before="0" w:after="283"/>
              <w:ind w:left="0" w:right="0" w:hanging="200"/>
              <w:jc w:val="left"/>
              <w:rPr>
                <w:sz w:val="20"/>
              </w:rPr>
            </w:pPr>
            <w:r>
              <w:rPr>
                <w:sz w:val="20"/>
              </w:rPr>
              <w:t>)</w:t>
            </w:r>
          </w:p>
        </w:tc>
      </w:tr>
      <w:tr>
        <w:trPr/>
        <w:tc>
          <w:tcPr>
            <w:tcW w:w="2540" w:type="dxa"/>
            <w:tcBorders/>
            <w:shd w:fill="CCEEFF" w:val="clear"/>
            <w:vAlign w:val="center"/>
          </w:tcPr>
          <w:p>
            <w:pPr>
              <w:pStyle w:val="TableContents"/>
              <w:bidi w:val="0"/>
              <w:spacing w:before="0" w:after="283"/>
              <w:jc w:val="left"/>
              <w:rPr>
                <w:sz w:val="20"/>
              </w:rPr>
            </w:pPr>
            <w:r>
              <w:rPr>
                <w:sz w:val="20"/>
              </w:rPr>
              <w:t>Foreign currency translation</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center"/>
          </w:tcPr>
          <w:p>
            <w:pPr>
              <w:pStyle w:val="TableContents"/>
              <w:bidi w:val="0"/>
              <w:spacing w:before="0" w:after="283"/>
              <w:jc w:val="righ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07" w:type="dxa"/>
            <w:tcBorders>
              <w:bottom w:val="single" w:sz="12" w:space="0" w:color="000000"/>
            </w:tcBorders>
            <w:shd w:fill="CCEEFF" w:val="clear"/>
            <w:tcMar>
              <w:bottom w:w="28" w:type="dxa"/>
            </w:tcMar>
            <w:vAlign w:val="center"/>
          </w:tcPr>
          <w:p>
            <w:pPr>
              <w:pStyle w:val="TableContents"/>
              <w:bidi w:val="0"/>
              <w:spacing w:before="0" w:after="0"/>
              <w:jc w:val="righ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0"/>
              <w:jc w:val="right"/>
              <w:rPr>
                <w:sz w:val="20"/>
              </w:rPr>
            </w:pPr>
            <w:r>
              <w:rPr>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15" w:type="dxa"/>
            <w:tcBorders>
              <w:bottom w:val="single" w:sz="12" w:space="0" w:color="000000"/>
            </w:tcBorders>
            <w:shd w:fill="CCEEFF" w:val="clear"/>
            <w:tcMar>
              <w:bottom w:w="28" w:type="dxa"/>
            </w:tcMar>
            <w:vAlign w:val="center"/>
          </w:tcPr>
          <w:p>
            <w:pPr>
              <w:pStyle w:val="TableContents"/>
              <w:bidi w:val="0"/>
              <w:spacing w:before="0" w:after="0"/>
              <w:jc w:val="right"/>
              <w:rPr>
                <w:sz w:val="20"/>
              </w:rPr>
            </w:pPr>
            <w:r>
              <w:rPr>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7" w:type="dxa"/>
            <w:tcBorders>
              <w:bottom w:val="single" w:sz="12" w:space="0" w:color="000000"/>
            </w:tcBorders>
            <w:shd w:fill="CCEEFF" w:val="clear"/>
            <w:tcMar>
              <w:bottom w:w="28" w:type="dxa"/>
            </w:tcMar>
            <w:vAlign w:val="center"/>
          </w:tcPr>
          <w:p>
            <w:pPr>
              <w:pStyle w:val="TableContents"/>
              <w:bidi w:val="0"/>
              <w:spacing w:before="0" w:after="283"/>
              <w:jc w:val="right"/>
              <w:rPr>
                <w:sz w:val="20"/>
              </w:rPr>
            </w:pPr>
            <w:r>
              <w:rPr>
                <w:sz w:val="20"/>
              </w:rPr>
              <w:t>(24,066</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center"/>
          </w:tcPr>
          <w:p>
            <w:pPr>
              <w:pStyle w:val="TableContents"/>
              <w:bidi w:val="0"/>
              <w:spacing w:before="0" w:after="283"/>
              <w:jc w:val="right"/>
              <w:rPr>
                <w:sz w:val="20"/>
              </w:rPr>
            </w:pPr>
            <w:r>
              <w:rPr>
                <w:sz w:val="20"/>
              </w:rPr>
              <w:t>(24,066</w:t>
            </w:r>
          </w:p>
        </w:tc>
        <w:tc>
          <w:tcPr>
            <w:tcW w:w="95" w:type="dxa"/>
            <w:tcBorders/>
            <w:shd w:fill="CCEEFF" w:val="clear"/>
            <w:vAlign w:val="center"/>
          </w:tcPr>
          <w:p>
            <w:pPr>
              <w:pStyle w:val="TableContents"/>
              <w:bidi w:val="0"/>
              <w:spacing w:before="0" w:after="283"/>
              <w:ind w:left="0" w:right="0" w:hanging="200"/>
              <w:jc w:val="left"/>
              <w:rPr>
                <w:sz w:val="20"/>
              </w:rPr>
            </w:pPr>
            <w:r>
              <w:rPr>
                <w:sz w:val="20"/>
              </w:rPr>
              <w:t>)</w:t>
            </w:r>
          </w:p>
        </w:tc>
      </w:tr>
      <w:tr>
        <w:trPr/>
        <w:tc>
          <w:tcPr>
            <w:tcW w:w="2540" w:type="dxa"/>
            <w:tcBorders/>
            <w:vAlign w:val="center"/>
          </w:tcPr>
          <w:p>
            <w:pPr>
              <w:pStyle w:val="TableContents"/>
              <w:bidi w:val="0"/>
              <w:spacing w:before="0" w:after="283"/>
              <w:jc w:val="left"/>
              <w:rPr>
                <w:sz w:val="20"/>
              </w:rPr>
            </w:pPr>
            <w:r>
              <w:rPr>
                <w:sz w:val="20"/>
              </w:rPr>
              <w:t>Balances, March 31, 2023</w:t>
            </w:r>
          </w:p>
        </w:tc>
        <w:tc>
          <w:tcPr>
            <w:tcW w:w="60" w:type="dxa"/>
            <w:tcBorders/>
            <w:vAlign w:val="center"/>
          </w:tcPr>
          <w:p>
            <w:pPr>
              <w:pStyle w:val="TableContents"/>
              <w:bidi w:val="0"/>
              <w:spacing w:before="0" w:after="283"/>
              <w:jc w:val="left"/>
              <w:rPr/>
            </w:pPr>
            <w:r>
              <w:rPr/>
              <w:t> </w:t>
            </w:r>
          </w:p>
        </w:tc>
        <w:tc>
          <w:tcPr>
            <w:tcW w:w="60" w:type="dxa"/>
            <w:tcBorders>
              <w:bottom w:val="double" w:sz="10" w:space="0" w:color="000000"/>
            </w:tcBorders>
            <w:tcMar>
              <w:bottom w:w="28" w:type="dxa"/>
            </w:tcMar>
            <w:vAlign w:val="center"/>
          </w:tcPr>
          <w:p>
            <w:pPr>
              <w:pStyle w:val="TableContents"/>
              <w:bidi w:val="0"/>
              <w:spacing w:before="0" w:after="283"/>
              <w:jc w:val="left"/>
              <w:rPr/>
            </w:pPr>
            <w:r>
              <w:rPr/>
              <w:t> </w:t>
            </w:r>
          </w:p>
        </w:tc>
        <w:tc>
          <w:tcPr>
            <w:tcW w:w="845" w:type="dxa"/>
            <w:tcBorders>
              <w:bottom w:val="double" w:sz="10" w:space="0" w:color="000000"/>
            </w:tcBorders>
            <w:tcMar>
              <w:bottom w:w="28" w:type="dxa"/>
            </w:tcMar>
            <w:vAlign w:val="center"/>
          </w:tcPr>
          <w:p>
            <w:pPr>
              <w:pStyle w:val="TableContents"/>
              <w:bidi w:val="0"/>
              <w:spacing w:before="0" w:after="283"/>
              <w:jc w:val="right"/>
              <w:rPr>
                <w:sz w:val="20"/>
              </w:rPr>
            </w:pPr>
            <w:r>
              <w:rPr>
                <w:sz w:val="20"/>
              </w:rPr>
              <w:t>3,247,975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bottom w:val="double" w:sz="10" w:space="0" w:color="000000"/>
            </w:tcBorders>
            <w:tcMar>
              <w:bottom w:w="28" w:type="dxa"/>
            </w:tcMar>
            <w:vAlign w:val="center"/>
          </w:tcPr>
          <w:p>
            <w:pPr>
              <w:pStyle w:val="TableContents"/>
              <w:bidi w:val="0"/>
              <w:spacing w:before="0" w:after="283"/>
              <w:jc w:val="left"/>
              <w:rPr>
                <w:sz w:val="20"/>
              </w:rPr>
            </w:pPr>
            <w:r>
              <w:rPr>
                <w:sz w:val="20"/>
              </w:rPr>
              <w:t>$</w:t>
            </w:r>
          </w:p>
        </w:tc>
        <w:tc>
          <w:tcPr>
            <w:tcW w:w="507" w:type="dxa"/>
            <w:tcBorders>
              <w:bottom w:val="double" w:sz="10" w:space="0" w:color="000000"/>
            </w:tcBorders>
            <w:tcMar>
              <w:bottom w:w="28" w:type="dxa"/>
            </w:tcMar>
            <w:vAlign w:val="center"/>
          </w:tcPr>
          <w:p>
            <w:pPr>
              <w:pStyle w:val="TableContents"/>
              <w:bidi w:val="0"/>
              <w:spacing w:before="0" w:after="283"/>
              <w:jc w:val="right"/>
              <w:rPr>
                <w:sz w:val="20"/>
              </w:rPr>
            </w:pPr>
            <w:r>
              <w:rPr>
                <w:sz w:val="20"/>
              </w:rPr>
              <w:t>325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double" w:sz="10" w:space="0" w:color="000000"/>
            </w:tcBorders>
            <w:tcMar>
              <w:bottom w:w="28" w:type="dxa"/>
            </w:tcMar>
            <w:vAlign w:val="center"/>
          </w:tcPr>
          <w:p>
            <w:pPr>
              <w:pStyle w:val="TableContents"/>
              <w:bidi w:val="0"/>
              <w:spacing w:before="0" w:after="283"/>
              <w:jc w:val="left"/>
              <w:rPr>
                <w:sz w:val="20"/>
              </w:rPr>
            </w:pPr>
            <w:r>
              <w:rPr>
                <w:sz w:val="20"/>
              </w:rPr>
              <w:t>$</w:t>
            </w:r>
          </w:p>
        </w:tc>
        <w:tc>
          <w:tcPr>
            <w:tcW w:w="1055" w:type="dxa"/>
            <w:tcBorders>
              <w:bottom w:val="double" w:sz="10" w:space="0" w:color="000000"/>
            </w:tcBorders>
            <w:tcMar>
              <w:bottom w:w="28" w:type="dxa"/>
            </w:tcMar>
            <w:vAlign w:val="center"/>
          </w:tcPr>
          <w:p>
            <w:pPr>
              <w:pStyle w:val="TableContents"/>
              <w:bidi w:val="0"/>
              <w:spacing w:before="0" w:after="283"/>
              <w:jc w:val="right"/>
              <w:rPr>
                <w:sz w:val="20"/>
              </w:rPr>
            </w:pPr>
            <w:r>
              <w:rPr>
                <w:sz w:val="20"/>
              </w:rPr>
              <w:t>137,881,276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double" w:sz="10" w:space="0" w:color="000000"/>
            </w:tcBorders>
            <w:tcMar>
              <w:bottom w:w="28" w:type="dxa"/>
            </w:tcMar>
            <w:vAlign w:val="center"/>
          </w:tcPr>
          <w:p>
            <w:pPr>
              <w:pStyle w:val="TableContents"/>
              <w:bidi w:val="0"/>
              <w:spacing w:before="0" w:after="283"/>
              <w:jc w:val="left"/>
              <w:rPr>
                <w:sz w:val="20"/>
              </w:rPr>
            </w:pPr>
            <w:r>
              <w:rPr>
                <w:sz w:val="20"/>
              </w:rPr>
              <w:t>$</w:t>
            </w:r>
          </w:p>
        </w:tc>
        <w:tc>
          <w:tcPr>
            <w:tcW w:w="1115" w:type="dxa"/>
            <w:tcBorders>
              <w:bottom w:val="double" w:sz="10" w:space="0" w:color="000000"/>
            </w:tcBorders>
            <w:tcMar>
              <w:bottom w:w="28" w:type="dxa"/>
            </w:tcMar>
            <w:vAlign w:val="center"/>
          </w:tcPr>
          <w:p>
            <w:pPr>
              <w:pStyle w:val="TableContents"/>
              <w:bidi w:val="0"/>
              <w:spacing w:before="0" w:after="283"/>
              <w:jc w:val="right"/>
              <w:rPr>
                <w:sz w:val="20"/>
              </w:rPr>
            </w:pPr>
            <w:r>
              <w:rPr>
                <w:sz w:val="20"/>
              </w:rPr>
              <w:t>(141,914,040</w:t>
            </w:r>
          </w:p>
        </w:tc>
        <w:tc>
          <w:tcPr>
            <w:tcW w:w="80" w:type="dxa"/>
            <w:tcBorders/>
            <w:vAlign w:val="center"/>
          </w:tcPr>
          <w:p>
            <w:pPr>
              <w:pStyle w:val="TableContents"/>
              <w:bidi w:val="0"/>
              <w:spacing w:before="0" w:after="283"/>
              <w:jc w:val="left"/>
              <w:rPr>
                <w:sz w:val="20"/>
              </w:rPr>
            </w:pPr>
            <w:r>
              <w:rPr>
                <w:sz w:val="20"/>
              </w:rPr>
              <w:t>)</w:t>
            </w:r>
          </w:p>
        </w:tc>
        <w:tc>
          <w:tcPr>
            <w:tcW w:w="60" w:type="dxa"/>
            <w:tcBorders/>
            <w:vAlign w:val="center"/>
          </w:tcPr>
          <w:p>
            <w:pPr>
              <w:pStyle w:val="TableContents"/>
              <w:bidi w:val="0"/>
              <w:spacing w:before="0" w:after="283"/>
              <w:jc w:val="left"/>
              <w:rPr/>
            </w:pPr>
            <w:r>
              <w:rPr/>
              <w:t> </w:t>
            </w:r>
          </w:p>
        </w:tc>
        <w:tc>
          <w:tcPr>
            <w:tcW w:w="203" w:type="dxa"/>
            <w:tcBorders>
              <w:bottom w:val="double" w:sz="10" w:space="0" w:color="000000"/>
            </w:tcBorders>
            <w:tcMar>
              <w:bottom w:w="28" w:type="dxa"/>
            </w:tcMar>
            <w:vAlign w:val="center"/>
          </w:tcPr>
          <w:p>
            <w:pPr>
              <w:pStyle w:val="TableContents"/>
              <w:bidi w:val="0"/>
              <w:spacing w:before="0" w:after="283"/>
              <w:jc w:val="left"/>
              <w:rPr>
                <w:sz w:val="20"/>
              </w:rPr>
            </w:pPr>
            <w:r>
              <w:rPr>
                <w:sz w:val="20"/>
              </w:rPr>
              <w:t>$</w:t>
            </w:r>
          </w:p>
        </w:tc>
        <w:tc>
          <w:tcPr>
            <w:tcW w:w="1137" w:type="dxa"/>
            <w:tcBorders>
              <w:bottom w:val="double" w:sz="10" w:space="0" w:color="000000"/>
            </w:tcBorders>
            <w:tcMar>
              <w:bottom w:w="28" w:type="dxa"/>
            </w:tcMar>
            <w:vAlign w:val="center"/>
          </w:tcPr>
          <w:p>
            <w:pPr>
              <w:pStyle w:val="TableContents"/>
              <w:bidi w:val="0"/>
              <w:spacing w:before="0" w:after="283"/>
              <w:jc w:val="right"/>
              <w:rPr>
                <w:sz w:val="20"/>
              </w:rPr>
            </w:pPr>
            <w:r>
              <w:rPr>
                <w:sz w:val="20"/>
              </w:rPr>
              <w:t>131,863</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double" w:sz="10" w:space="0" w:color="000000"/>
            </w:tcBorders>
            <w:tcMar>
              <w:bottom w:w="28" w:type="dxa"/>
            </w:tcMar>
            <w:vAlign w:val="center"/>
          </w:tcPr>
          <w:p>
            <w:pPr>
              <w:pStyle w:val="TableContents"/>
              <w:bidi w:val="0"/>
              <w:spacing w:before="0" w:after="283"/>
              <w:jc w:val="left"/>
              <w:rPr>
                <w:sz w:val="20"/>
              </w:rPr>
            </w:pPr>
            <w:r>
              <w:rPr>
                <w:sz w:val="20"/>
              </w:rPr>
              <w:t>$</w:t>
            </w:r>
          </w:p>
        </w:tc>
        <w:tc>
          <w:tcPr>
            <w:tcW w:w="950" w:type="dxa"/>
            <w:tcBorders>
              <w:bottom w:val="double" w:sz="10" w:space="0" w:color="000000"/>
            </w:tcBorders>
            <w:tcMar>
              <w:bottom w:w="28" w:type="dxa"/>
            </w:tcMar>
            <w:vAlign w:val="center"/>
          </w:tcPr>
          <w:p>
            <w:pPr>
              <w:pStyle w:val="TableContents"/>
              <w:bidi w:val="0"/>
              <w:spacing w:before="0" w:after="283"/>
              <w:jc w:val="right"/>
              <w:rPr>
                <w:sz w:val="20"/>
              </w:rPr>
            </w:pPr>
            <w:r>
              <w:rPr>
                <w:sz w:val="20"/>
              </w:rPr>
              <w:t>(3,900,576</w:t>
            </w:r>
          </w:p>
        </w:tc>
        <w:tc>
          <w:tcPr>
            <w:tcW w:w="95" w:type="dxa"/>
            <w:tcBorders/>
            <w:vAlign w:val="center"/>
          </w:tcPr>
          <w:p>
            <w:pPr>
              <w:pStyle w:val="TableContents"/>
              <w:bidi w:val="0"/>
              <w:spacing w:before="0" w:after="283"/>
              <w:ind w:left="0" w:right="0" w:hanging="200"/>
              <w:jc w:val="left"/>
              <w:rPr>
                <w:sz w:val="20"/>
              </w:rPr>
            </w:pPr>
            <w:r>
              <w:rPr>
                <w:sz w:val="20"/>
              </w:rPr>
              <w:t>)</w:t>
            </w:r>
          </w:p>
        </w:tc>
      </w:tr>
      <w:tr>
        <w:trPr/>
        <w:tc>
          <w:tcPr>
            <w:tcW w:w="25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50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13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2540" w:type="dxa"/>
            <w:tcBorders/>
            <w:vAlign w:val="center"/>
          </w:tcPr>
          <w:p>
            <w:pPr>
              <w:pStyle w:val="TableContents"/>
              <w:bidi w:val="0"/>
              <w:spacing w:before="0" w:after="283"/>
              <w:jc w:val="left"/>
              <w:rPr>
                <w:sz w:val="20"/>
              </w:rPr>
            </w:pPr>
            <w:r>
              <w:rPr>
                <w:sz w:val="20"/>
              </w:rPr>
              <w:t>Balances, December 31, 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sz w:val="20"/>
              </w:rPr>
            </w:pPr>
            <w:r>
              <w:rPr>
                <w:sz w:val="20"/>
              </w:rPr>
              <w:t>9,450,220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sz w:val="20"/>
              </w:rPr>
            </w:pPr>
            <w:r>
              <w:rPr>
                <w:sz w:val="20"/>
              </w:rPr>
              <w:t>$</w:t>
            </w:r>
          </w:p>
        </w:tc>
        <w:tc>
          <w:tcPr>
            <w:tcW w:w="507" w:type="dxa"/>
            <w:tcBorders/>
            <w:vAlign w:val="center"/>
          </w:tcPr>
          <w:p>
            <w:pPr>
              <w:pStyle w:val="TableContents"/>
              <w:bidi w:val="0"/>
              <w:spacing w:before="0" w:after="283"/>
              <w:jc w:val="right"/>
              <w:rPr>
                <w:sz w:val="20"/>
              </w:rPr>
            </w:pPr>
            <w:r>
              <w:rPr>
                <w:sz w:val="20"/>
              </w:rPr>
              <w:t>945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sz w:val="20"/>
              </w:rPr>
            </w:pPr>
            <w:r>
              <w:rPr>
                <w:sz w:val="20"/>
              </w:rPr>
              <w:t>$</w:t>
            </w:r>
          </w:p>
        </w:tc>
        <w:tc>
          <w:tcPr>
            <w:tcW w:w="1055" w:type="dxa"/>
            <w:tcBorders/>
            <w:vAlign w:val="center"/>
          </w:tcPr>
          <w:p>
            <w:pPr>
              <w:pStyle w:val="TableContents"/>
              <w:bidi w:val="0"/>
              <w:spacing w:before="0" w:after="283"/>
              <w:jc w:val="right"/>
              <w:rPr>
                <w:sz w:val="20"/>
              </w:rPr>
            </w:pPr>
            <w:r>
              <w:rPr>
                <w:sz w:val="20"/>
              </w:rPr>
              <w:t>172,714,712</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sz w:val="20"/>
              </w:rPr>
            </w:pPr>
            <w:r>
              <w:rPr>
                <w:sz w:val="20"/>
              </w:rPr>
              <w:t>$</w:t>
            </w:r>
          </w:p>
        </w:tc>
        <w:tc>
          <w:tcPr>
            <w:tcW w:w="1115" w:type="dxa"/>
            <w:tcBorders/>
            <w:vAlign w:val="center"/>
          </w:tcPr>
          <w:p>
            <w:pPr>
              <w:pStyle w:val="TableContents"/>
              <w:bidi w:val="0"/>
              <w:spacing w:before="0" w:after="283"/>
              <w:jc w:val="right"/>
              <w:rPr>
                <w:sz w:val="20"/>
              </w:rPr>
            </w:pPr>
            <w:r>
              <w:rPr>
                <w:sz w:val="20"/>
              </w:rPr>
              <w:t>(159,530,535</w:t>
            </w:r>
          </w:p>
        </w:tc>
        <w:tc>
          <w:tcPr>
            <w:tcW w:w="80" w:type="dxa"/>
            <w:tcBorders/>
            <w:vAlign w:val="center"/>
          </w:tcPr>
          <w:p>
            <w:pPr>
              <w:pStyle w:val="TableContents"/>
              <w:bidi w:val="0"/>
              <w:spacing w:before="0" w:after="283"/>
              <w:jc w:val="left"/>
              <w:rPr>
                <w:sz w:val="20"/>
              </w:rPr>
            </w:pPr>
            <w:r>
              <w:rPr>
                <w:sz w:val="20"/>
              </w:rPr>
              <w:t>)</w:t>
            </w:r>
          </w:p>
        </w:tc>
        <w:tc>
          <w:tcPr>
            <w:tcW w:w="6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sz w:val="20"/>
              </w:rPr>
            </w:pPr>
            <w:r>
              <w:rPr>
                <w:sz w:val="20"/>
              </w:rPr>
              <w:t>$</w:t>
            </w:r>
          </w:p>
        </w:tc>
        <w:tc>
          <w:tcPr>
            <w:tcW w:w="1137" w:type="dxa"/>
            <w:tcBorders/>
            <w:vAlign w:val="center"/>
          </w:tcPr>
          <w:p>
            <w:pPr>
              <w:pStyle w:val="TableContents"/>
              <w:bidi w:val="0"/>
              <w:spacing w:before="0" w:after="283"/>
              <w:jc w:val="right"/>
              <w:rPr>
                <w:sz w:val="20"/>
              </w:rPr>
            </w:pPr>
            <w:r>
              <w:rPr>
                <w:sz w:val="20"/>
              </w:rPr>
              <w:t>12,624</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sz w:val="20"/>
              </w:rPr>
            </w:pPr>
            <w:r>
              <w:rPr>
                <w:sz w:val="20"/>
              </w:rPr>
              <w:t>$</w:t>
            </w:r>
          </w:p>
        </w:tc>
        <w:tc>
          <w:tcPr>
            <w:tcW w:w="950" w:type="dxa"/>
            <w:tcBorders/>
            <w:vAlign w:val="center"/>
          </w:tcPr>
          <w:p>
            <w:pPr>
              <w:pStyle w:val="TableContents"/>
              <w:bidi w:val="0"/>
              <w:spacing w:before="0" w:after="283"/>
              <w:jc w:val="right"/>
              <w:rPr>
                <w:sz w:val="20"/>
              </w:rPr>
            </w:pPr>
            <w:r>
              <w:rPr>
                <w:sz w:val="20"/>
              </w:rPr>
              <w:t>13,197,746</w:t>
            </w:r>
          </w:p>
        </w:tc>
        <w:tc>
          <w:tcPr>
            <w:tcW w:w="95" w:type="dxa"/>
            <w:tcBorders/>
            <w:vAlign w:val="center"/>
          </w:tcPr>
          <w:p>
            <w:pPr>
              <w:pStyle w:val="TableContents"/>
              <w:bidi w:val="0"/>
              <w:spacing w:before="0" w:after="283"/>
              <w:ind w:left="0" w:right="0" w:hanging="200"/>
              <w:jc w:val="left"/>
              <w:rPr/>
            </w:pPr>
            <w:r>
              <w:rPr/>
              <w:t> </w:t>
            </w:r>
          </w:p>
        </w:tc>
      </w:tr>
      <w:tr>
        <w:trPr/>
        <w:tc>
          <w:tcPr>
            <w:tcW w:w="2540" w:type="dxa"/>
            <w:tcBorders/>
            <w:shd w:fill="CCEEFF" w:val="clear"/>
            <w:vAlign w:val="center"/>
          </w:tcPr>
          <w:p>
            <w:pPr>
              <w:pStyle w:val="TableContents"/>
              <w:bidi w:val="0"/>
              <w:spacing w:before="0" w:after="283"/>
              <w:jc w:val="left"/>
              <w:rPr>
                <w:sz w:val="20"/>
              </w:rPr>
            </w:pPr>
            <w:r>
              <w:rPr>
                <w:sz w:val="20"/>
              </w:rPr>
              <w:t>Stock-based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507" w:type="dxa"/>
            <w:tcBorders/>
            <w:shd w:fill="CCEEFF" w:val="clear"/>
            <w:vAlign w:val="center"/>
          </w:tcPr>
          <w:p>
            <w:pPr>
              <w:pStyle w:val="TableContents"/>
              <w:bidi w:val="0"/>
              <w:spacing w:before="0" w:after="0"/>
              <w:jc w:val="righ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722,971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0"/>
              <w:jc w:val="right"/>
              <w:rPr>
                <w:sz w:val="20"/>
              </w:rPr>
            </w:pPr>
            <w:r>
              <w:rPr>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137" w:type="dxa"/>
            <w:tcBorders/>
            <w:shd w:fill="CCEEFF" w:val="clear"/>
            <w:vAlign w:val="center"/>
          </w:tcPr>
          <w:p>
            <w:pPr>
              <w:pStyle w:val="TableContents"/>
              <w:bidi w:val="0"/>
              <w:spacing w:before="0" w:after="0"/>
              <w:jc w:val="right"/>
              <w:rPr>
                <w:sz w:val="20"/>
              </w:rPr>
            </w:pPr>
            <w:r>
              <w:rPr>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sz w:val="20"/>
              </w:rPr>
            </w:pPr>
            <w:r>
              <w:rPr>
                <w:sz w:val="20"/>
              </w:rPr>
              <w:t>722,971</w:t>
            </w:r>
          </w:p>
        </w:tc>
        <w:tc>
          <w:tcPr>
            <w:tcW w:w="95" w:type="dxa"/>
            <w:tcBorders/>
            <w:shd w:fill="CCEEFF" w:val="clear"/>
            <w:vAlign w:val="center"/>
          </w:tcPr>
          <w:p>
            <w:pPr>
              <w:pStyle w:val="TableContents"/>
              <w:bidi w:val="0"/>
              <w:spacing w:before="0" w:after="283"/>
              <w:ind w:left="0" w:right="0" w:hanging="200"/>
              <w:jc w:val="left"/>
              <w:rPr/>
            </w:pPr>
            <w:r>
              <w:rPr/>
              <w:t> </w:t>
            </w:r>
          </w:p>
        </w:tc>
      </w:tr>
      <w:tr>
        <w:trPr/>
        <w:tc>
          <w:tcPr>
            <w:tcW w:w="2540" w:type="dxa"/>
            <w:tcBorders/>
            <w:vAlign w:val="center"/>
          </w:tcPr>
          <w:p>
            <w:pPr>
              <w:pStyle w:val="TableContents"/>
              <w:bidi w:val="0"/>
              <w:spacing w:before="0" w:after="283"/>
              <w:jc w:val="left"/>
              <w:rPr>
                <w:sz w:val="20"/>
              </w:rPr>
            </w:pPr>
            <w:r>
              <w:rPr>
                <w:sz w:val="20"/>
              </w:rPr>
              <w:t>Net loss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sz w:val="20"/>
              </w:rPr>
            </w:pPr>
            <w:r>
              <w:rPr>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507" w:type="dxa"/>
            <w:tcBorders/>
            <w:vAlign w:val="center"/>
          </w:tcPr>
          <w:p>
            <w:pPr>
              <w:pStyle w:val="TableContents"/>
              <w:bidi w:val="0"/>
              <w:spacing w:before="0" w:after="0"/>
              <w:jc w:val="right"/>
              <w:rPr>
                <w:sz w:val="20"/>
              </w:rPr>
            </w:pPr>
            <w:r>
              <w:rPr>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right"/>
              <w:rPr>
                <w:sz w:val="20"/>
              </w:rPr>
            </w:pPr>
            <w:r>
              <w:rPr>
                <w:sz w:val="20"/>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right"/>
              <w:rPr>
                <w:sz w:val="20"/>
              </w:rPr>
            </w:pPr>
            <w:r>
              <w:rPr>
                <w:sz w:val="20"/>
              </w:rPr>
              <w:t>(3,057,577</w:t>
            </w:r>
          </w:p>
        </w:tc>
        <w:tc>
          <w:tcPr>
            <w:tcW w:w="80" w:type="dxa"/>
            <w:tcBorders/>
            <w:vAlign w:val="center"/>
          </w:tcPr>
          <w:p>
            <w:pPr>
              <w:pStyle w:val="TableContents"/>
              <w:bidi w:val="0"/>
              <w:spacing w:before="0" w:after="283"/>
              <w:jc w:val="left"/>
              <w:rPr>
                <w:sz w:val="20"/>
              </w:rPr>
            </w:pPr>
            <w:r>
              <w:rPr>
                <w:sz w:val="20"/>
              </w:rPr>
              <w:t>)</w:t>
            </w:r>
          </w:p>
        </w:tc>
        <w:tc>
          <w:tcPr>
            <w:tcW w:w="6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1137" w:type="dxa"/>
            <w:tcBorders/>
            <w:vAlign w:val="center"/>
          </w:tcPr>
          <w:p>
            <w:pPr>
              <w:pStyle w:val="TableContents"/>
              <w:bidi w:val="0"/>
              <w:spacing w:before="0" w:after="0"/>
              <w:jc w:val="right"/>
              <w:rPr>
                <w:sz w:val="20"/>
              </w:rPr>
            </w:pPr>
            <w:r>
              <w:rPr>
                <w:sz w:val="20"/>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sz w:val="20"/>
              </w:rPr>
            </w:pPr>
            <w:r>
              <w:rPr>
                <w:sz w:val="20"/>
              </w:rPr>
              <w:t>(3,057,577</w:t>
            </w:r>
          </w:p>
        </w:tc>
        <w:tc>
          <w:tcPr>
            <w:tcW w:w="95" w:type="dxa"/>
            <w:tcBorders/>
            <w:vAlign w:val="center"/>
          </w:tcPr>
          <w:p>
            <w:pPr>
              <w:pStyle w:val="TableContents"/>
              <w:bidi w:val="0"/>
              <w:spacing w:before="0" w:after="283"/>
              <w:ind w:left="0" w:right="0" w:hanging="200"/>
              <w:jc w:val="left"/>
              <w:rPr>
                <w:sz w:val="20"/>
              </w:rPr>
            </w:pPr>
            <w:r>
              <w:rPr>
                <w:sz w:val="20"/>
              </w:rPr>
              <w:t>)</w:t>
            </w:r>
          </w:p>
        </w:tc>
      </w:tr>
      <w:tr>
        <w:trPr/>
        <w:tc>
          <w:tcPr>
            <w:tcW w:w="2540" w:type="dxa"/>
            <w:tcBorders/>
            <w:shd w:fill="CCEEFF" w:val="clear"/>
            <w:vAlign w:val="center"/>
          </w:tcPr>
          <w:p>
            <w:pPr>
              <w:pStyle w:val="TableContents"/>
              <w:bidi w:val="0"/>
              <w:spacing w:before="0" w:after="283"/>
              <w:jc w:val="left"/>
              <w:rPr>
                <w:sz w:val="20"/>
              </w:rPr>
            </w:pPr>
            <w:r>
              <w:rPr>
                <w:sz w:val="20"/>
              </w:rPr>
              <w:t>Foreign currency translation</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center"/>
          </w:tcPr>
          <w:p>
            <w:pPr>
              <w:pStyle w:val="TableContents"/>
              <w:bidi w:val="0"/>
              <w:spacing w:before="0" w:after="283"/>
              <w:jc w:val="righ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07" w:type="dxa"/>
            <w:tcBorders>
              <w:bottom w:val="single" w:sz="12" w:space="0" w:color="000000"/>
            </w:tcBorders>
            <w:shd w:fill="CCEEFF" w:val="clear"/>
            <w:tcMar>
              <w:bottom w:w="28" w:type="dxa"/>
            </w:tcMar>
            <w:vAlign w:val="center"/>
          </w:tcPr>
          <w:p>
            <w:pPr>
              <w:pStyle w:val="TableContents"/>
              <w:bidi w:val="0"/>
              <w:spacing w:before="0" w:after="0"/>
              <w:jc w:val="righ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0"/>
              <w:jc w:val="right"/>
              <w:rPr>
                <w:sz w:val="20"/>
              </w:rPr>
            </w:pPr>
            <w:r>
              <w:rPr>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15" w:type="dxa"/>
            <w:tcBorders>
              <w:bottom w:val="single" w:sz="12" w:space="0" w:color="000000"/>
            </w:tcBorders>
            <w:shd w:fill="CCEEFF" w:val="clear"/>
            <w:tcMar>
              <w:bottom w:w="28" w:type="dxa"/>
            </w:tcMar>
            <w:vAlign w:val="center"/>
          </w:tcPr>
          <w:p>
            <w:pPr>
              <w:pStyle w:val="TableContents"/>
              <w:bidi w:val="0"/>
              <w:spacing w:before="0" w:after="0"/>
              <w:jc w:val="right"/>
              <w:rPr>
                <w:sz w:val="20"/>
              </w:rPr>
            </w:pPr>
            <w:r>
              <w:rPr>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7" w:type="dxa"/>
            <w:tcBorders>
              <w:bottom w:val="single" w:sz="12" w:space="0" w:color="000000"/>
            </w:tcBorders>
            <w:shd w:fill="CCEEFF" w:val="clear"/>
            <w:tcMar>
              <w:bottom w:w="28" w:type="dxa"/>
            </w:tcMar>
            <w:vAlign w:val="center"/>
          </w:tcPr>
          <w:p>
            <w:pPr>
              <w:pStyle w:val="TableContents"/>
              <w:bidi w:val="0"/>
              <w:spacing w:before="0" w:after="283"/>
              <w:jc w:val="right"/>
              <w:rPr>
                <w:sz w:val="20"/>
              </w:rPr>
            </w:pPr>
            <w:r>
              <w:rPr>
                <w:sz w:val="20"/>
              </w:rPr>
              <w:t>4,078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center"/>
          </w:tcPr>
          <w:p>
            <w:pPr>
              <w:pStyle w:val="TableContents"/>
              <w:bidi w:val="0"/>
              <w:spacing w:before="0" w:after="283"/>
              <w:jc w:val="right"/>
              <w:rPr>
                <w:sz w:val="20"/>
              </w:rPr>
            </w:pPr>
            <w:r>
              <w:rPr>
                <w:sz w:val="20"/>
              </w:rPr>
              <w:t>4,078</w:t>
            </w:r>
          </w:p>
        </w:tc>
        <w:tc>
          <w:tcPr>
            <w:tcW w:w="95" w:type="dxa"/>
            <w:tcBorders/>
            <w:shd w:fill="CCEEFF" w:val="clear"/>
            <w:vAlign w:val="center"/>
          </w:tcPr>
          <w:p>
            <w:pPr>
              <w:pStyle w:val="TableContents"/>
              <w:bidi w:val="0"/>
              <w:spacing w:before="0" w:after="283"/>
              <w:ind w:left="0" w:right="0" w:hanging="200"/>
              <w:jc w:val="left"/>
              <w:rPr/>
            </w:pPr>
            <w:r>
              <w:rPr/>
              <w:t> </w:t>
            </w:r>
          </w:p>
        </w:tc>
      </w:tr>
      <w:tr>
        <w:trPr/>
        <w:tc>
          <w:tcPr>
            <w:tcW w:w="2540" w:type="dxa"/>
            <w:tcBorders/>
            <w:vAlign w:val="center"/>
          </w:tcPr>
          <w:p>
            <w:pPr>
              <w:pStyle w:val="TableContents"/>
              <w:bidi w:val="0"/>
              <w:spacing w:before="0" w:after="283"/>
              <w:jc w:val="left"/>
              <w:rPr>
                <w:sz w:val="20"/>
              </w:rPr>
            </w:pPr>
            <w:r>
              <w:rPr>
                <w:sz w:val="20"/>
              </w:rPr>
              <w:t>Balances, March 31, 2024</w:t>
            </w:r>
          </w:p>
        </w:tc>
        <w:tc>
          <w:tcPr>
            <w:tcW w:w="60" w:type="dxa"/>
            <w:tcBorders/>
            <w:vAlign w:val="center"/>
          </w:tcPr>
          <w:p>
            <w:pPr>
              <w:pStyle w:val="TableContents"/>
              <w:bidi w:val="0"/>
              <w:spacing w:before="0" w:after="283"/>
              <w:jc w:val="left"/>
              <w:rPr/>
            </w:pPr>
            <w:r>
              <w:rPr/>
              <w:t> </w:t>
            </w:r>
          </w:p>
        </w:tc>
        <w:tc>
          <w:tcPr>
            <w:tcW w:w="60" w:type="dxa"/>
            <w:tcBorders>
              <w:bottom w:val="double" w:sz="10" w:space="0" w:color="000000"/>
            </w:tcBorders>
            <w:tcMar>
              <w:bottom w:w="28" w:type="dxa"/>
            </w:tcMar>
            <w:vAlign w:val="center"/>
          </w:tcPr>
          <w:p>
            <w:pPr>
              <w:pStyle w:val="TableContents"/>
              <w:bidi w:val="0"/>
              <w:spacing w:before="0" w:after="283"/>
              <w:jc w:val="left"/>
              <w:rPr/>
            </w:pPr>
            <w:r>
              <w:rPr/>
              <w:t> </w:t>
            </w:r>
          </w:p>
        </w:tc>
        <w:tc>
          <w:tcPr>
            <w:tcW w:w="845" w:type="dxa"/>
            <w:tcBorders>
              <w:bottom w:val="double" w:sz="10" w:space="0" w:color="000000"/>
            </w:tcBorders>
            <w:tcMar>
              <w:bottom w:w="28" w:type="dxa"/>
            </w:tcMar>
            <w:vAlign w:val="center"/>
          </w:tcPr>
          <w:p>
            <w:pPr>
              <w:pStyle w:val="TableContents"/>
              <w:bidi w:val="0"/>
              <w:spacing w:before="0" w:after="283"/>
              <w:jc w:val="right"/>
              <w:rPr>
                <w:sz w:val="20"/>
              </w:rPr>
            </w:pPr>
            <w:r>
              <w:rPr>
                <w:sz w:val="20"/>
              </w:rPr>
              <w:t>9,450,220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bottom w:val="double" w:sz="10" w:space="0" w:color="000000"/>
            </w:tcBorders>
            <w:tcMar>
              <w:bottom w:w="28" w:type="dxa"/>
            </w:tcMar>
            <w:vAlign w:val="center"/>
          </w:tcPr>
          <w:p>
            <w:pPr>
              <w:pStyle w:val="TableContents"/>
              <w:bidi w:val="0"/>
              <w:spacing w:before="0" w:after="283"/>
              <w:jc w:val="left"/>
              <w:rPr>
                <w:sz w:val="20"/>
              </w:rPr>
            </w:pPr>
            <w:r>
              <w:rPr>
                <w:sz w:val="20"/>
              </w:rPr>
              <w:t>$</w:t>
            </w:r>
          </w:p>
        </w:tc>
        <w:tc>
          <w:tcPr>
            <w:tcW w:w="507" w:type="dxa"/>
            <w:tcBorders>
              <w:bottom w:val="double" w:sz="10" w:space="0" w:color="000000"/>
            </w:tcBorders>
            <w:tcMar>
              <w:bottom w:w="28" w:type="dxa"/>
            </w:tcMar>
            <w:vAlign w:val="center"/>
          </w:tcPr>
          <w:p>
            <w:pPr>
              <w:pStyle w:val="TableContents"/>
              <w:bidi w:val="0"/>
              <w:spacing w:before="0" w:after="283"/>
              <w:jc w:val="right"/>
              <w:rPr>
                <w:sz w:val="20"/>
              </w:rPr>
            </w:pPr>
            <w:r>
              <w:rPr>
                <w:sz w:val="20"/>
              </w:rPr>
              <w:t>945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double" w:sz="10" w:space="0" w:color="000000"/>
            </w:tcBorders>
            <w:tcMar>
              <w:bottom w:w="28" w:type="dxa"/>
            </w:tcMar>
            <w:vAlign w:val="center"/>
          </w:tcPr>
          <w:p>
            <w:pPr>
              <w:pStyle w:val="TableContents"/>
              <w:bidi w:val="0"/>
              <w:spacing w:before="0" w:after="283"/>
              <w:jc w:val="left"/>
              <w:rPr>
                <w:sz w:val="20"/>
              </w:rPr>
            </w:pPr>
            <w:r>
              <w:rPr>
                <w:sz w:val="20"/>
              </w:rPr>
              <w:t>$</w:t>
            </w:r>
          </w:p>
        </w:tc>
        <w:tc>
          <w:tcPr>
            <w:tcW w:w="1055" w:type="dxa"/>
            <w:tcBorders>
              <w:bottom w:val="double" w:sz="10" w:space="0" w:color="000000"/>
            </w:tcBorders>
            <w:tcMar>
              <w:bottom w:w="28" w:type="dxa"/>
            </w:tcMar>
            <w:vAlign w:val="center"/>
          </w:tcPr>
          <w:p>
            <w:pPr>
              <w:pStyle w:val="TableContents"/>
              <w:bidi w:val="0"/>
              <w:spacing w:before="0" w:after="283"/>
              <w:jc w:val="right"/>
              <w:rPr>
                <w:sz w:val="20"/>
              </w:rPr>
            </w:pPr>
            <w:r>
              <w:rPr>
                <w:sz w:val="20"/>
              </w:rPr>
              <w:t>173,437,683</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double" w:sz="10" w:space="0" w:color="000000"/>
            </w:tcBorders>
            <w:tcMar>
              <w:bottom w:w="28" w:type="dxa"/>
            </w:tcMar>
            <w:vAlign w:val="center"/>
          </w:tcPr>
          <w:p>
            <w:pPr>
              <w:pStyle w:val="TableContents"/>
              <w:bidi w:val="0"/>
              <w:spacing w:before="0" w:after="283"/>
              <w:jc w:val="left"/>
              <w:rPr>
                <w:sz w:val="20"/>
              </w:rPr>
            </w:pPr>
            <w:r>
              <w:rPr>
                <w:sz w:val="20"/>
              </w:rPr>
              <w:t>$</w:t>
            </w:r>
          </w:p>
        </w:tc>
        <w:tc>
          <w:tcPr>
            <w:tcW w:w="1115" w:type="dxa"/>
            <w:tcBorders>
              <w:bottom w:val="double" w:sz="10" w:space="0" w:color="000000"/>
            </w:tcBorders>
            <w:tcMar>
              <w:bottom w:w="28" w:type="dxa"/>
            </w:tcMar>
            <w:vAlign w:val="center"/>
          </w:tcPr>
          <w:p>
            <w:pPr>
              <w:pStyle w:val="TableContents"/>
              <w:bidi w:val="0"/>
              <w:spacing w:before="0" w:after="283"/>
              <w:jc w:val="right"/>
              <w:rPr>
                <w:sz w:val="20"/>
              </w:rPr>
            </w:pPr>
            <w:r>
              <w:rPr>
                <w:sz w:val="20"/>
              </w:rPr>
              <w:t>(162,588,112</w:t>
            </w:r>
          </w:p>
        </w:tc>
        <w:tc>
          <w:tcPr>
            <w:tcW w:w="80" w:type="dxa"/>
            <w:tcBorders/>
            <w:vAlign w:val="center"/>
          </w:tcPr>
          <w:p>
            <w:pPr>
              <w:pStyle w:val="TableContents"/>
              <w:bidi w:val="0"/>
              <w:spacing w:before="0" w:after="283"/>
              <w:jc w:val="left"/>
              <w:rPr>
                <w:sz w:val="20"/>
              </w:rPr>
            </w:pPr>
            <w:r>
              <w:rPr>
                <w:sz w:val="20"/>
              </w:rPr>
              <w:t>)</w:t>
            </w:r>
          </w:p>
        </w:tc>
        <w:tc>
          <w:tcPr>
            <w:tcW w:w="60" w:type="dxa"/>
            <w:tcBorders/>
            <w:vAlign w:val="center"/>
          </w:tcPr>
          <w:p>
            <w:pPr>
              <w:pStyle w:val="TableContents"/>
              <w:bidi w:val="0"/>
              <w:spacing w:before="0" w:after="283"/>
              <w:jc w:val="left"/>
              <w:rPr/>
            </w:pPr>
            <w:r>
              <w:rPr/>
              <w:t> </w:t>
            </w:r>
          </w:p>
        </w:tc>
        <w:tc>
          <w:tcPr>
            <w:tcW w:w="203" w:type="dxa"/>
            <w:tcBorders>
              <w:bottom w:val="double" w:sz="10" w:space="0" w:color="000000"/>
            </w:tcBorders>
            <w:tcMar>
              <w:bottom w:w="28" w:type="dxa"/>
            </w:tcMar>
            <w:vAlign w:val="center"/>
          </w:tcPr>
          <w:p>
            <w:pPr>
              <w:pStyle w:val="TableContents"/>
              <w:bidi w:val="0"/>
              <w:spacing w:before="0" w:after="283"/>
              <w:jc w:val="left"/>
              <w:rPr>
                <w:sz w:val="20"/>
              </w:rPr>
            </w:pPr>
            <w:r>
              <w:rPr>
                <w:sz w:val="20"/>
              </w:rPr>
              <w:t>$</w:t>
            </w:r>
          </w:p>
        </w:tc>
        <w:tc>
          <w:tcPr>
            <w:tcW w:w="1137" w:type="dxa"/>
            <w:tcBorders>
              <w:bottom w:val="double" w:sz="10" w:space="0" w:color="000000"/>
            </w:tcBorders>
            <w:tcMar>
              <w:bottom w:w="28" w:type="dxa"/>
            </w:tcMar>
            <w:vAlign w:val="center"/>
          </w:tcPr>
          <w:p>
            <w:pPr>
              <w:pStyle w:val="TableContents"/>
              <w:bidi w:val="0"/>
              <w:spacing w:before="0" w:after="283"/>
              <w:jc w:val="right"/>
              <w:rPr>
                <w:sz w:val="20"/>
              </w:rPr>
            </w:pPr>
            <w:r>
              <w:rPr>
                <w:sz w:val="20"/>
              </w:rPr>
              <w:t>16,702</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double" w:sz="10" w:space="0" w:color="000000"/>
            </w:tcBorders>
            <w:tcMar>
              <w:bottom w:w="28" w:type="dxa"/>
            </w:tcMar>
            <w:vAlign w:val="center"/>
          </w:tcPr>
          <w:p>
            <w:pPr>
              <w:pStyle w:val="TableContents"/>
              <w:bidi w:val="0"/>
              <w:spacing w:before="0" w:after="283"/>
              <w:jc w:val="left"/>
              <w:rPr>
                <w:sz w:val="20"/>
              </w:rPr>
            </w:pPr>
            <w:r>
              <w:rPr>
                <w:sz w:val="20"/>
              </w:rPr>
              <w:t>$</w:t>
            </w:r>
          </w:p>
        </w:tc>
        <w:tc>
          <w:tcPr>
            <w:tcW w:w="950" w:type="dxa"/>
            <w:tcBorders>
              <w:bottom w:val="double" w:sz="10" w:space="0" w:color="000000"/>
            </w:tcBorders>
            <w:tcMar>
              <w:bottom w:w="28" w:type="dxa"/>
            </w:tcMar>
            <w:vAlign w:val="center"/>
          </w:tcPr>
          <w:p>
            <w:pPr>
              <w:pStyle w:val="TableContents"/>
              <w:bidi w:val="0"/>
              <w:spacing w:before="0" w:after="283"/>
              <w:jc w:val="right"/>
              <w:rPr>
                <w:sz w:val="20"/>
              </w:rPr>
            </w:pPr>
            <w:r>
              <w:rPr>
                <w:sz w:val="20"/>
              </w:rPr>
              <w:t>10,867,218</w:t>
            </w:r>
          </w:p>
        </w:tc>
        <w:tc>
          <w:tcPr>
            <w:tcW w:w="9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notes to condensed consolidated financial statements.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a_007"/>
      <w:bookmarkEnd w:id="8"/>
      <w:r>
        <w:rPr>
          <w:rFonts w:ascii="Times New Roman;Times;Serif" w:hAnsi="Times New Roman;Times;Serif"/>
          <w:b/>
          <w:i w:val="false"/>
          <w:caps w:val="false"/>
          <w:smallCaps w:val="false"/>
          <w:sz w:val="20"/>
        </w:rPr>
        <w:t>authID INC. AND SUBSIDIARIES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CASH FLOWS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tbl>
      <w:tblPr>
        <w:tblW w:w="7790" w:type="dxa"/>
        <w:jc w:val="left"/>
        <w:tblInd w:w="0" w:type="dxa"/>
        <w:tblLayout w:type="fixed"/>
        <w:tblCellMar>
          <w:top w:w="0" w:type="dxa"/>
          <w:left w:w="0" w:type="dxa"/>
          <w:bottom w:w="0" w:type="dxa"/>
          <w:right w:w="0" w:type="dxa"/>
        </w:tblCellMar>
      </w:tblPr>
      <w:tblGrid>
        <w:gridCol w:w="5390"/>
        <w:gridCol w:w="60"/>
        <w:gridCol w:w="125"/>
        <w:gridCol w:w="950"/>
        <w:gridCol w:w="80"/>
        <w:gridCol w:w="60"/>
        <w:gridCol w:w="125"/>
        <w:gridCol w:w="905"/>
        <w:gridCol w:w="95"/>
      </w:tblGrid>
      <w:tr>
        <w:trPr/>
        <w:tc>
          <w:tcPr>
            <w:tcW w:w="53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45" w:type="dxa"/>
            <w:gridSpan w:val="6"/>
            <w:tcBorders/>
            <w:vAlign w:val="center"/>
          </w:tcPr>
          <w:p>
            <w:pPr>
              <w:pStyle w:val="TableContents"/>
              <w:bidi w:val="0"/>
              <w:spacing w:before="0" w:after="283"/>
              <w:jc w:val="center"/>
              <w:rPr>
                <w:b/>
                <w:sz w:val="20"/>
              </w:rPr>
            </w:pPr>
            <w:r>
              <w:rPr>
                <w:b/>
                <w:sz w:val="20"/>
              </w:rPr>
              <w:t>Three Months Ended</w:t>
            </w:r>
          </w:p>
        </w:tc>
        <w:tc>
          <w:tcPr>
            <w:tcW w:w="95" w:type="dxa"/>
            <w:tcBorders/>
            <w:vAlign w:val="center"/>
          </w:tcPr>
          <w:p>
            <w:pPr>
              <w:pStyle w:val="TableContents"/>
              <w:bidi w:val="0"/>
              <w:spacing w:before="0" w:after="283"/>
              <w:jc w:val="left"/>
              <w:rPr/>
            </w:pPr>
            <w:r>
              <w:rPr/>
              <w:t> </w:t>
            </w:r>
          </w:p>
        </w:tc>
      </w:tr>
      <w:tr>
        <w:trPr/>
        <w:tc>
          <w:tcPr>
            <w:tcW w:w="53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45" w:type="dxa"/>
            <w:gridSpan w:val="6"/>
            <w:tcBorders>
              <w:bottom w:val="single" w:sz="12" w:space="0" w:color="000000"/>
            </w:tcBorders>
            <w:tcMar>
              <w:bottom w:w="28" w:type="dxa"/>
            </w:tcMar>
            <w:vAlign w:val="center"/>
          </w:tcPr>
          <w:p>
            <w:pPr>
              <w:pStyle w:val="TableContents"/>
              <w:bidi w:val="0"/>
              <w:spacing w:before="0" w:after="283"/>
              <w:jc w:val="center"/>
              <w:rPr>
                <w:b/>
                <w:sz w:val="20"/>
              </w:rPr>
            </w:pPr>
            <w:r>
              <w:rPr>
                <w:b/>
                <w:sz w:val="20"/>
              </w:rPr>
              <w:t>March 31,</w:t>
            </w:r>
          </w:p>
        </w:tc>
        <w:tc>
          <w:tcPr>
            <w:tcW w:w="95" w:type="dxa"/>
            <w:tcBorders/>
            <w:vAlign w:val="center"/>
          </w:tcPr>
          <w:p>
            <w:pPr>
              <w:pStyle w:val="TableContents"/>
              <w:bidi w:val="0"/>
              <w:spacing w:before="0" w:after="283"/>
              <w:jc w:val="left"/>
              <w:rPr/>
            </w:pPr>
            <w:r>
              <w:rPr/>
              <w:t> </w:t>
            </w:r>
          </w:p>
        </w:tc>
      </w:tr>
      <w:tr>
        <w:trPr/>
        <w:tc>
          <w:tcPr>
            <w:tcW w:w="53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2024</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0"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2023</w:t>
            </w:r>
          </w:p>
        </w:tc>
        <w:tc>
          <w:tcPr>
            <w:tcW w:w="95" w:type="dxa"/>
            <w:tcBorders/>
            <w:vAlign w:val="center"/>
          </w:tcPr>
          <w:p>
            <w:pPr>
              <w:pStyle w:val="TableContents"/>
              <w:bidi w:val="0"/>
              <w:spacing w:before="0" w:after="283"/>
              <w:jc w:val="left"/>
              <w:rPr/>
            </w:pPr>
            <w:r>
              <w:rPr/>
              <w:t> </w:t>
            </w:r>
          </w:p>
        </w:tc>
      </w:tr>
      <w:tr>
        <w:trPr/>
        <w:tc>
          <w:tcPr>
            <w:tcW w:w="5390" w:type="dxa"/>
            <w:tcBorders/>
            <w:vAlign w:val="center"/>
          </w:tcPr>
          <w:p>
            <w:pPr>
              <w:pStyle w:val="TableContents"/>
              <w:bidi w:val="0"/>
              <w:spacing w:before="0" w:after="283"/>
              <w:jc w:val="left"/>
              <w:rPr>
                <w:sz w:val="20"/>
              </w:rPr>
            </w:pPr>
            <w:r>
              <w:rPr>
                <w:sz w:val="20"/>
              </w:rPr>
              <w:t>CASH FLOWS FROM OPERATING ACTIVITIES:</w:t>
            </w:r>
          </w:p>
        </w:tc>
        <w:tc>
          <w:tcPr>
            <w:tcW w:w="60" w:type="dxa"/>
            <w:tcBorders/>
            <w:vAlign w:val="center"/>
          </w:tcPr>
          <w:p>
            <w:pPr>
              <w:pStyle w:val="TableContents"/>
              <w:bidi w:val="0"/>
              <w:spacing w:before="0" w:after="283"/>
              <w:jc w:val="left"/>
              <w:rPr/>
            </w:pPr>
            <w:r>
              <w:rPr/>
              <w:t> </w:t>
            </w:r>
          </w:p>
        </w:tc>
        <w:tc>
          <w:tcPr>
            <w:tcW w:w="1075"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ind w:left="0" w:right="0" w:hanging="200"/>
              <w:jc w:val="left"/>
              <w:rPr/>
            </w:pPr>
            <w:r>
              <w:rPr/>
              <w:t> </w:t>
            </w:r>
          </w:p>
        </w:tc>
      </w:tr>
      <w:tr>
        <w:trPr/>
        <w:tc>
          <w:tcPr>
            <w:tcW w:w="5390" w:type="dxa"/>
            <w:tcBorders/>
            <w:shd w:fill="CCEEFF" w:val="clear"/>
            <w:vAlign w:val="center"/>
          </w:tcPr>
          <w:p>
            <w:pPr>
              <w:pStyle w:val="TableContents"/>
              <w:bidi w:val="0"/>
              <w:spacing w:before="0" w:after="283"/>
              <w:jc w:val="left"/>
              <w:rPr>
                <w:sz w:val="20"/>
              </w:rPr>
            </w:pPr>
            <w:r>
              <w:rPr>
                <w:sz w:val="20"/>
              </w:rPr>
              <w:t>Net loss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950" w:type="dxa"/>
            <w:tcBorders/>
            <w:shd w:fill="CCEEFF" w:val="clear"/>
            <w:vAlign w:val="center"/>
          </w:tcPr>
          <w:p>
            <w:pPr>
              <w:pStyle w:val="TableContents"/>
              <w:bidi w:val="0"/>
              <w:spacing w:before="0" w:after="283"/>
              <w:jc w:val="right"/>
              <w:rPr>
                <w:sz w:val="20"/>
              </w:rPr>
            </w:pPr>
            <w:r>
              <w:rPr>
                <w:sz w:val="20"/>
              </w:rPr>
              <w:t>(3,057,577</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905" w:type="dxa"/>
            <w:tcBorders/>
            <w:shd w:fill="CCEEFF" w:val="clear"/>
            <w:vAlign w:val="center"/>
          </w:tcPr>
          <w:p>
            <w:pPr>
              <w:pStyle w:val="TableContents"/>
              <w:bidi w:val="0"/>
              <w:spacing w:before="0" w:after="283"/>
              <w:jc w:val="right"/>
              <w:rPr>
                <w:sz w:val="20"/>
              </w:rPr>
            </w:pPr>
            <w:r>
              <w:rPr>
                <w:sz w:val="20"/>
              </w:rPr>
              <w:t>(1,783,881</w:t>
            </w:r>
          </w:p>
        </w:tc>
        <w:tc>
          <w:tcPr>
            <w:tcW w:w="95" w:type="dxa"/>
            <w:tcBorders/>
            <w:shd w:fill="CCEEFF" w:val="clear"/>
            <w:vAlign w:val="center"/>
          </w:tcPr>
          <w:p>
            <w:pPr>
              <w:pStyle w:val="TableContents"/>
              <w:bidi w:val="0"/>
              <w:spacing w:before="0" w:after="283"/>
              <w:ind w:left="0" w:right="0" w:hanging="200"/>
              <w:jc w:val="left"/>
              <w:rPr>
                <w:sz w:val="20"/>
              </w:rPr>
            </w:pPr>
            <w:r>
              <w:rPr>
                <w:sz w:val="20"/>
              </w:rPr>
              <w:t>)</w:t>
            </w:r>
          </w:p>
        </w:tc>
      </w:tr>
      <w:tr>
        <w:trPr/>
        <w:tc>
          <w:tcPr>
            <w:tcW w:w="5390" w:type="dxa"/>
            <w:tcBorders/>
            <w:vAlign w:val="center"/>
          </w:tcPr>
          <w:p>
            <w:pPr>
              <w:pStyle w:val="TableContents"/>
              <w:bidi w:val="0"/>
              <w:spacing w:before="0" w:after="283"/>
              <w:jc w:val="left"/>
              <w:rPr>
                <w:sz w:val="20"/>
              </w:rPr>
            </w:pPr>
            <w:r>
              <w:rPr>
                <w:sz w:val="20"/>
              </w:rPr>
              <w:t>Adjustments to reconcile net loss with cash flows from operations:</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ind w:left="0" w:right="0" w:hanging="200"/>
              <w:jc w:val="left"/>
              <w:rPr/>
            </w:pPr>
            <w:r>
              <w:rPr/>
              <w:t> </w:t>
            </w:r>
          </w:p>
        </w:tc>
      </w:tr>
      <w:tr>
        <w:trPr/>
        <w:tc>
          <w:tcPr>
            <w:tcW w:w="5390" w:type="dxa"/>
            <w:tcBorders/>
            <w:shd w:fill="CCEEFF" w:val="clear"/>
            <w:vAlign w:val="center"/>
          </w:tcPr>
          <w:p>
            <w:pPr>
              <w:pStyle w:val="TableContents"/>
              <w:bidi w:val="0"/>
              <w:spacing w:before="0" w:after="283"/>
              <w:jc w:val="left"/>
              <w:rPr>
                <w:sz w:val="20"/>
              </w:rPr>
            </w:pPr>
            <w:r>
              <w:rPr>
                <w:sz w:val="20"/>
              </w:rPr>
              <w:t>Stock-based compensation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sz w:val="20"/>
              </w:rPr>
            </w:pPr>
            <w:r>
              <w:rPr>
                <w:sz w:val="20"/>
              </w:rPr>
              <w:t>722,971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sz w:val="20"/>
              </w:rPr>
            </w:pPr>
            <w:r>
              <w:rPr>
                <w:sz w:val="20"/>
              </w:rPr>
              <w:t>(2,598,592</w:t>
            </w:r>
          </w:p>
        </w:tc>
        <w:tc>
          <w:tcPr>
            <w:tcW w:w="95" w:type="dxa"/>
            <w:tcBorders/>
            <w:shd w:fill="CCEEFF" w:val="clear"/>
            <w:vAlign w:val="center"/>
          </w:tcPr>
          <w:p>
            <w:pPr>
              <w:pStyle w:val="TableContents"/>
              <w:bidi w:val="0"/>
              <w:spacing w:before="0" w:after="283"/>
              <w:ind w:left="0" w:right="0" w:hanging="200"/>
              <w:jc w:val="left"/>
              <w:rPr>
                <w:sz w:val="20"/>
              </w:rPr>
            </w:pPr>
            <w:r>
              <w:rPr>
                <w:sz w:val="20"/>
              </w:rPr>
              <w:t>)</w:t>
            </w:r>
          </w:p>
        </w:tc>
      </w:tr>
      <w:tr>
        <w:trPr/>
        <w:tc>
          <w:tcPr>
            <w:tcW w:w="5390" w:type="dxa"/>
            <w:tcBorders/>
            <w:vAlign w:val="center"/>
          </w:tcPr>
          <w:p>
            <w:pPr>
              <w:pStyle w:val="TableContents"/>
              <w:bidi w:val="0"/>
              <w:spacing w:before="0" w:after="283"/>
              <w:jc w:val="left"/>
              <w:rPr>
                <w:sz w:val="20"/>
              </w:rPr>
            </w:pPr>
            <w:r>
              <w:rPr>
                <w:sz w:val="20"/>
              </w:rPr>
              <w:t>Depreciation and amortization expense</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sz w:val="20"/>
              </w:rPr>
            </w:pPr>
            <w:r>
              <w:rPr>
                <w:sz w:val="20"/>
              </w:rPr>
              <w:t>43,408</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sz w:val="20"/>
              </w:rPr>
            </w:pPr>
            <w:r>
              <w:rPr>
                <w:sz w:val="20"/>
              </w:rPr>
              <w:t>76,017</w:t>
            </w:r>
          </w:p>
        </w:tc>
        <w:tc>
          <w:tcPr>
            <w:tcW w:w="95" w:type="dxa"/>
            <w:tcBorders/>
            <w:vAlign w:val="center"/>
          </w:tcPr>
          <w:p>
            <w:pPr>
              <w:pStyle w:val="TableContents"/>
              <w:bidi w:val="0"/>
              <w:spacing w:before="0" w:after="283"/>
              <w:ind w:left="0" w:right="0" w:hanging="200"/>
              <w:jc w:val="left"/>
              <w:rPr/>
            </w:pPr>
            <w:r>
              <w:rPr/>
              <w:t> </w:t>
            </w:r>
          </w:p>
        </w:tc>
      </w:tr>
      <w:tr>
        <w:trPr/>
        <w:tc>
          <w:tcPr>
            <w:tcW w:w="5390" w:type="dxa"/>
            <w:tcBorders/>
            <w:shd w:fill="CCEEFF" w:val="clear"/>
            <w:vAlign w:val="center"/>
          </w:tcPr>
          <w:p>
            <w:pPr>
              <w:pStyle w:val="TableContents"/>
              <w:bidi w:val="0"/>
              <w:spacing w:before="0" w:after="283"/>
              <w:jc w:val="left"/>
              <w:rPr>
                <w:sz w:val="20"/>
              </w:rPr>
            </w:pPr>
            <w:r>
              <w:rPr>
                <w:sz w:val="20"/>
              </w:rPr>
              <w:t>Amortization of debt discounts and issuance costs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sz w:val="20"/>
              </w:rPr>
            </w:pPr>
            <w:r>
              <w:rPr>
                <w:sz w:val="20"/>
              </w:rPr>
              <w:t>4,115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sz w:val="20"/>
              </w:rPr>
            </w:pPr>
            <w:r>
              <w:rPr>
                <w:sz w:val="20"/>
              </w:rPr>
              <w:t>567,287</w:t>
            </w:r>
          </w:p>
        </w:tc>
        <w:tc>
          <w:tcPr>
            <w:tcW w:w="95" w:type="dxa"/>
            <w:tcBorders/>
            <w:shd w:fill="CCEEFF" w:val="clear"/>
            <w:vAlign w:val="center"/>
          </w:tcPr>
          <w:p>
            <w:pPr>
              <w:pStyle w:val="TableContents"/>
              <w:bidi w:val="0"/>
              <w:spacing w:before="0" w:after="283"/>
              <w:ind w:left="0" w:right="0" w:hanging="200"/>
              <w:jc w:val="left"/>
              <w:rPr/>
            </w:pPr>
            <w:r>
              <w:rPr/>
              <w:t> </w:t>
            </w:r>
          </w:p>
        </w:tc>
      </w:tr>
      <w:tr>
        <w:trPr/>
        <w:tc>
          <w:tcPr>
            <w:tcW w:w="5390" w:type="dxa"/>
            <w:tcBorders/>
            <w:vAlign w:val="center"/>
          </w:tcPr>
          <w:p>
            <w:pPr>
              <w:pStyle w:val="TableContents"/>
              <w:bidi w:val="0"/>
              <w:spacing w:before="0" w:after="283"/>
              <w:jc w:val="left"/>
              <w:rPr>
                <w:sz w:val="20"/>
              </w:rPr>
            </w:pPr>
            <w:r>
              <w:rPr>
                <w:sz w:val="20"/>
              </w:rPr>
              <w:t>Non-cash recruiting fees</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0"/>
              <w:jc w:val="right"/>
              <w:rPr>
                <w:sz w:val="20"/>
              </w:rPr>
            </w:pPr>
            <w:r>
              <w:rPr>
                <w:sz w:val="20"/>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sz w:val="20"/>
              </w:rPr>
            </w:pPr>
            <w:r>
              <w:rPr>
                <w:sz w:val="20"/>
              </w:rPr>
              <w:t>492,000</w:t>
            </w:r>
          </w:p>
        </w:tc>
        <w:tc>
          <w:tcPr>
            <w:tcW w:w="95" w:type="dxa"/>
            <w:tcBorders/>
            <w:vAlign w:val="center"/>
          </w:tcPr>
          <w:p>
            <w:pPr>
              <w:pStyle w:val="TableContents"/>
              <w:bidi w:val="0"/>
              <w:spacing w:before="0" w:after="283"/>
              <w:ind w:left="0" w:right="0" w:hanging="200"/>
              <w:jc w:val="left"/>
              <w:rPr/>
            </w:pPr>
            <w:r>
              <w:rPr/>
              <w:t> </w:t>
            </w:r>
          </w:p>
        </w:tc>
      </w:tr>
      <w:tr>
        <w:trPr/>
        <w:tc>
          <w:tcPr>
            <w:tcW w:w="5390" w:type="dxa"/>
            <w:tcBorders/>
            <w:shd w:fill="CCEEFF" w:val="clear"/>
            <w:vAlign w:val="center"/>
          </w:tcPr>
          <w:p>
            <w:pPr>
              <w:pStyle w:val="TableContents"/>
              <w:bidi w:val="0"/>
              <w:spacing w:before="0" w:after="283"/>
              <w:jc w:val="left"/>
              <w:rPr>
                <w:sz w:val="20"/>
              </w:rPr>
            </w:pPr>
            <w:r>
              <w:rPr>
                <w:sz w:val="20"/>
              </w:rPr>
              <w:t>Shares issued in lieu of interest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0"/>
              <w:jc w:val="right"/>
              <w:rPr>
                <w:sz w:val="20"/>
              </w:rPr>
            </w:pPr>
            <w:r>
              <w:rPr>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sz w:val="20"/>
              </w:rPr>
            </w:pPr>
            <w:r>
              <w:rPr>
                <w:sz w:val="20"/>
              </w:rPr>
              <w:t>222,427</w:t>
            </w:r>
          </w:p>
        </w:tc>
        <w:tc>
          <w:tcPr>
            <w:tcW w:w="95" w:type="dxa"/>
            <w:tcBorders/>
            <w:shd w:fill="CCEEFF" w:val="clear"/>
            <w:vAlign w:val="center"/>
          </w:tcPr>
          <w:p>
            <w:pPr>
              <w:pStyle w:val="TableContents"/>
              <w:bidi w:val="0"/>
              <w:spacing w:before="0" w:after="283"/>
              <w:ind w:left="0" w:right="0" w:hanging="200"/>
              <w:jc w:val="left"/>
              <w:rPr/>
            </w:pPr>
            <w:r>
              <w:rPr/>
              <w:t> </w:t>
            </w:r>
          </w:p>
        </w:tc>
      </w:tr>
      <w:tr>
        <w:trPr/>
        <w:tc>
          <w:tcPr>
            <w:tcW w:w="5390" w:type="dxa"/>
            <w:tcBorders/>
            <w:vAlign w:val="center"/>
          </w:tcPr>
          <w:p>
            <w:pPr>
              <w:pStyle w:val="TableContents"/>
              <w:bidi w:val="0"/>
              <w:spacing w:before="0" w:after="283"/>
              <w:jc w:val="left"/>
              <w:rPr>
                <w:sz w:val="20"/>
              </w:rPr>
            </w:pPr>
            <w:r>
              <w:rPr>
                <w:sz w:val="20"/>
              </w:rPr>
              <w:t>Other non-cash interest expense</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0"/>
              <w:jc w:val="right"/>
              <w:rPr>
                <w:sz w:val="20"/>
              </w:rPr>
            </w:pPr>
            <w:r>
              <w:rPr>
                <w:sz w:val="20"/>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sz w:val="20"/>
              </w:rPr>
            </w:pPr>
            <w:r>
              <w:rPr>
                <w:sz w:val="20"/>
              </w:rPr>
              <w:t>8,250</w:t>
            </w:r>
          </w:p>
        </w:tc>
        <w:tc>
          <w:tcPr>
            <w:tcW w:w="95" w:type="dxa"/>
            <w:tcBorders/>
            <w:vAlign w:val="center"/>
          </w:tcPr>
          <w:p>
            <w:pPr>
              <w:pStyle w:val="TableContents"/>
              <w:bidi w:val="0"/>
              <w:spacing w:before="0" w:after="283"/>
              <w:ind w:left="0" w:right="0" w:hanging="200"/>
              <w:jc w:val="left"/>
              <w:rPr/>
            </w:pPr>
            <w:r>
              <w:rPr/>
              <w:t> </w:t>
            </w:r>
          </w:p>
        </w:tc>
      </w:tr>
      <w:tr>
        <w:trPr/>
        <w:tc>
          <w:tcPr>
            <w:tcW w:w="5390" w:type="dxa"/>
            <w:tcBorders/>
            <w:shd w:fill="CCEEFF" w:val="clear"/>
            <w:vAlign w:val="center"/>
          </w:tcPr>
          <w:p>
            <w:pPr>
              <w:pStyle w:val="TableContents"/>
              <w:bidi w:val="0"/>
              <w:spacing w:before="0" w:after="283"/>
              <w:jc w:val="left"/>
              <w:rPr>
                <w:sz w:val="20"/>
              </w:rPr>
            </w:pPr>
            <w:r>
              <w:rPr>
                <w:sz w:val="20"/>
              </w:rPr>
              <w:t>Changes in operating assets and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ind w:left="0" w:right="0" w:hanging="200"/>
              <w:jc w:val="left"/>
              <w:rPr/>
            </w:pPr>
            <w:r>
              <w:rPr/>
              <w:t> </w:t>
            </w:r>
          </w:p>
        </w:tc>
      </w:tr>
      <w:tr>
        <w:trPr/>
        <w:tc>
          <w:tcPr>
            <w:tcW w:w="5390" w:type="dxa"/>
            <w:tcBorders/>
            <w:vAlign w:val="center"/>
          </w:tcPr>
          <w:p>
            <w:pPr>
              <w:pStyle w:val="TableContents"/>
              <w:bidi w:val="0"/>
              <w:spacing w:before="0" w:after="283"/>
              <w:jc w:val="left"/>
              <w:rPr>
                <w:sz w:val="20"/>
              </w:rPr>
            </w:pPr>
            <w:r>
              <w:rPr>
                <w:sz w:val="20"/>
              </w:rPr>
              <w:t>Accounts receivable</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sz w:val="20"/>
              </w:rPr>
            </w:pPr>
            <w:r>
              <w:rPr>
                <w:sz w:val="20"/>
              </w:rPr>
              <w:t>(237,506</w:t>
            </w:r>
          </w:p>
        </w:tc>
        <w:tc>
          <w:tcPr>
            <w:tcW w:w="80" w:type="dxa"/>
            <w:tcBorders/>
            <w:vAlign w:val="center"/>
          </w:tcPr>
          <w:p>
            <w:pPr>
              <w:pStyle w:val="TableContents"/>
              <w:bidi w:val="0"/>
              <w:spacing w:before="0" w:after="283"/>
              <w:jc w:val="left"/>
              <w:rPr>
                <w:sz w:val="20"/>
              </w:rPr>
            </w:pPr>
            <w:r>
              <w:rPr>
                <w:sz w:val="20"/>
              </w:rPr>
              <w:t>)</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sz w:val="20"/>
              </w:rPr>
            </w:pPr>
            <w:r>
              <w:rPr>
                <w:sz w:val="20"/>
              </w:rPr>
              <w:t>206,419</w:t>
            </w:r>
          </w:p>
        </w:tc>
        <w:tc>
          <w:tcPr>
            <w:tcW w:w="95" w:type="dxa"/>
            <w:tcBorders/>
            <w:vAlign w:val="center"/>
          </w:tcPr>
          <w:p>
            <w:pPr>
              <w:pStyle w:val="TableContents"/>
              <w:bidi w:val="0"/>
              <w:spacing w:before="0" w:after="283"/>
              <w:ind w:left="0" w:right="0" w:hanging="200"/>
              <w:jc w:val="left"/>
              <w:rPr/>
            </w:pPr>
            <w:r>
              <w:rPr/>
              <w:t> </w:t>
            </w:r>
          </w:p>
        </w:tc>
      </w:tr>
      <w:tr>
        <w:trPr/>
        <w:tc>
          <w:tcPr>
            <w:tcW w:w="5390" w:type="dxa"/>
            <w:tcBorders/>
            <w:shd w:fill="CCEEFF" w:val="clear"/>
            <w:vAlign w:val="center"/>
          </w:tcPr>
          <w:p>
            <w:pPr>
              <w:pStyle w:val="TableContents"/>
              <w:bidi w:val="0"/>
              <w:spacing w:before="0" w:after="283"/>
              <w:jc w:val="left"/>
              <w:rPr>
                <w:sz w:val="20"/>
              </w:rPr>
            </w:pPr>
            <w:r>
              <w:rPr>
                <w:sz w:val="20"/>
              </w:rPr>
              <w:t>Deferred contract costs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sz w:val="20"/>
              </w:rPr>
            </w:pPr>
            <w:r>
              <w:rPr>
                <w:sz w:val="20"/>
              </w:rPr>
              <w:t>(44,368</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0"/>
              <w:jc w:val="right"/>
              <w:rPr>
                <w:sz w:val="20"/>
              </w:rPr>
            </w:pPr>
            <w:r>
              <w:rPr>
                <w:sz w:val="20"/>
              </w:rPr>
              <w:t>-</w:t>
            </w:r>
          </w:p>
        </w:tc>
        <w:tc>
          <w:tcPr>
            <w:tcW w:w="95" w:type="dxa"/>
            <w:tcBorders/>
            <w:shd w:fill="CCEEFF" w:val="clear"/>
            <w:vAlign w:val="center"/>
          </w:tcPr>
          <w:p>
            <w:pPr>
              <w:pStyle w:val="TableContents"/>
              <w:bidi w:val="0"/>
              <w:spacing w:before="0" w:after="283"/>
              <w:ind w:left="0" w:right="0" w:hanging="200"/>
              <w:jc w:val="left"/>
              <w:rPr/>
            </w:pPr>
            <w:r>
              <w:rPr/>
              <w:t> </w:t>
            </w:r>
          </w:p>
        </w:tc>
      </w:tr>
      <w:tr>
        <w:trPr/>
        <w:tc>
          <w:tcPr>
            <w:tcW w:w="5390" w:type="dxa"/>
            <w:tcBorders/>
            <w:vAlign w:val="center"/>
          </w:tcPr>
          <w:p>
            <w:pPr>
              <w:pStyle w:val="TableContents"/>
              <w:bidi w:val="0"/>
              <w:spacing w:before="0" w:after="283"/>
              <w:jc w:val="left"/>
              <w:rPr>
                <w:sz w:val="20"/>
              </w:rPr>
            </w:pPr>
            <w:r>
              <w:rPr>
                <w:sz w:val="20"/>
              </w:rPr>
              <w:t>Other assets</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sz w:val="20"/>
              </w:rPr>
            </w:pPr>
            <w:r>
              <w:rPr>
                <w:sz w:val="20"/>
              </w:rPr>
              <w:t>(59,233</w:t>
            </w:r>
          </w:p>
        </w:tc>
        <w:tc>
          <w:tcPr>
            <w:tcW w:w="80" w:type="dxa"/>
            <w:tcBorders/>
            <w:vAlign w:val="center"/>
          </w:tcPr>
          <w:p>
            <w:pPr>
              <w:pStyle w:val="TableContents"/>
              <w:bidi w:val="0"/>
              <w:spacing w:before="0" w:after="283"/>
              <w:jc w:val="left"/>
              <w:rPr>
                <w:sz w:val="20"/>
              </w:rPr>
            </w:pPr>
            <w:r>
              <w:rPr>
                <w:sz w:val="20"/>
              </w:rPr>
              <w:t>)</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sz w:val="20"/>
              </w:rPr>
            </w:pPr>
            <w:r>
              <w:rPr>
                <w:sz w:val="20"/>
              </w:rPr>
              <w:t>106,600</w:t>
            </w:r>
          </w:p>
        </w:tc>
        <w:tc>
          <w:tcPr>
            <w:tcW w:w="95" w:type="dxa"/>
            <w:tcBorders/>
            <w:vAlign w:val="center"/>
          </w:tcPr>
          <w:p>
            <w:pPr>
              <w:pStyle w:val="TableContents"/>
              <w:bidi w:val="0"/>
              <w:spacing w:before="0" w:after="283"/>
              <w:ind w:left="0" w:right="0" w:hanging="200"/>
              <w:jc w:val="left"/>
              <w:rPr/>
            </w:pPr>
            <w:r>
              <w:rPr/>
              <w:t> </w:t>
            </w:r>
          </w:p>
        </w:tc>
      </w:tr>
      <w:tr>
        <w:trPr/>
        <w:tc>
          <w:tcPr>
            <w:tcW w:w="5390" w:type="dxa"/>
            <w:tcBorders/>
            <w:shd w:fill="CCEEFF" w:val="clear"/>
            <w:vAlign w:val="center"/>
          </w:tcPr>
          <w:p>
            <w:pPr>
              <w:pStyle w:val="TableContents"/>
              <w:bidi w:val="0"/>
              <w:spacing w:before="0" w:after="283"/>
              <w:jc w:val="left"/>
              <w:rPr>
                <w:sz w:val="20"/>
              </w:rPr>
            </w:pPr>
            <w:r>
              <w:rPr>
                <w:sz w:val="20"/>
              </w:rPr>
              <w:t>Accounts payable and accrued expenses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sz w:val="20"/>
              </w:rPr>
            </w:pPr>
            <w:r>
              <w:rPr>
                <w:sz w:val="20"/>
              </w:rPr>
              <w:t>(495,357</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sz w:val="20"/>
              </w:rPr>
            </w:pPr>
            <w:r>
              <w:rPr>
                <w:sz w:val="20"/>
              </w:rPr>
              <w:t>155,371</w:t>
            </w:r>
          </w:p>
        </w:tc>
        <w:tc>
          <w:tcPr>
            <w:tcW w:w="95" w:type="dxa"/>
            <w:tcBorders/>
            <w:shd w:fill="CCEEFF" w:val="clear"/>
            <w:vAlign w:val="center"/>
          </w:tcPr>
          <w:p>
            <w:pPr>
              <w:pStyle w:val="TableContents"/>
              <w:bidi w:val="0"/>
              <w:spacing w:before="0" w:after="283"/>
              <w:ind w:left="0" w:right="0" w:hanging="200"/>
              <w:jc w:val="left"/>
              <w:rPr/>
            </w:pPr>
            <w:r>
              <w:rPr/>
              <w:t> </w:t>
            </w:r>
          </w:p>
        </w:tc>
      </w:tr>
      <w:tr>
        <w:trPr/>
        <w:tc>
          <w:tcPr>
            <w:tcW w:w="5390" w:type="dxa"/>
            <w:tcBorders/>
            <w:vAlign w:val="center"/>
          </w:tcPr>
          <w:p>
            <w:pPr>
              <w:pStyle w:val="TableContents"/>
              <w:bidi w:val="0"/>
              <w:spacing w:before="0" w:after="283"/>
              <w:jc w:val="left"/>
              <w:rPr>
                <w:sz w:val="20"/>
              </w:rPr>
            </w:pPr>
            <w:r>
              <w:rPr>
                <w:sz w:val="20"/>
              </w:rPr>
              <w:t>Deferred revenue</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sz w:val="20"/>
              </w:rPr>
            </w:pPr>
            <w:r>
              <w:rPr>
                <w:sz w:val="20"/>
              </w:rPr>
              <w:t>176,019</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sz w:val="20"/>
              </w:rPr>
            </w:pPr>
            <w:r>
              <w:rPr>
                <w:sz w:val="20"/>
              </w:rPr>
              <w:t>(7,449</w:t>
            </w:r>
          </w:p>
        </w:tc>
        <w:tc>
          <w:tcPr>
            <w:tcW w:w="95" w:type="dxa"/>
            <w:tcBorders/>
            <w:vAlign w:val="center"/>
          </w:tcPr>
          <w:p>
            <w:pPr>
              <w:pStyle w:val="TableContents"/>
              <w:bidi w:val="0"/>
              <w:spacing w:before="0" w:after="283"/>
              <w:ind w:left="0" w:right="0" w:hanging="200"/>
              <w:jc w:val="left"/>
              <w:rPr>
                <w:sz w:val="20"/>
              </w:rPr>
            </w:pPr>
            <w:r>
              <w:rPr>
                <w:sz w:val="20"/>
              </w:rPr>
              <w:t>)</w:t>
            </w:r>
          </w:p>
        </w:tc>
      </w:tr>
      <w:tr>
        <w:trPr/>
        <w:tc>
          <w:tcPr>
            <w:tcW w:w="5390" w:type="dxa"/>
            <w:tcBorders/>
            <w:shd w:fill="CCEEFF" w:val="clear"/>
            <w:vAlign w:val="center"/>
          </w:tcPr>
          <w:p>
            <w:pPr>
              <w:pStyle w:val="TableContents"/>
              <w:bidi w:val="0"/>
              <w:spacing w:before="0" w:after="283"/>
              <w:jc w:val="left"/>
              <w:rPr>
                <w:sz w:val="20"/>
              </w:rPr>
            </w:pPr>
            <w:r>
              <w:rPr>
                <w:sz w:val="20"/>
              </w:rPr>
              <w:t>Other accrued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0"/>
              <w:jc w:val="right"/>
              <w:rPr>
                <w:sz w:val="20"/>
              </w:rPr>
            </w:pPr>
            <w:r>
              <w:rPr>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sz w:val="20"/>
              </w:rPr>
            </w:pPr>
            <w:r>
              <w:rPr>
                <w:sz w:val="20"/>
              </w:rPr>
              <w:t>325,000</w:t>
            </w:r>
          </w:p>
        </w:tc>
        <w:tc>
          <w:tcPr>
            <w:tcW w:w="95" w:type="dxa"/>
            <w:tcBorders/>
            <w:shd w:fill="CCEEFF" w:val="clear"/>
            <w:vAlign w:val="center"/>
          </w:tcPr>
          <w:p>
            <w:pPr>
              <w:pStyle w:val="TableContents"/>
              <w:bidi w:val="0"/>
              <w:spacing w:before="0" w:after="283"/>
              <w:ind w:left="0" w:right="0" w:hanging="200"/>
              <w:jc w:val="left"/>
              <w:rPr/>
            </w:pPr>
            <w:r>
              <w:rPr/>
              <w:t> </w:t>
            </w:r>
          </w:p>
        </w:tc>
      </w:tr>
      <w:tr>
        <w:trPr/>
        <w:tc>
          <w:tcPr>
            <w:tcW w:w="5390" w:type="dxa"/>
            <w:tcBorders/>
            <w:vAlign w:val="center"/>
          </w:tcPr>
          <w:p>
            <w:pPr>
              <w:pStyle w:val="TableContents"/>
              <w:bidi w:val="0"/>
              <w:spacing w:before="0" w:after="283"/>
              <w:jc w:val="left"/>
              <w:rPr>
                <w:sz w:val="20"/>
              </w:rPr>
            </w:pPr>
            <w:r>
              <w:rPr>
                <w:sz w:val="20"/>
              </w:rPr>
              <w:t>Adjustments relating to discontinued operations</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tcMar>
              <w:bottom w:w="28" w:type="dxa"/>
            </w:tcMar>
            <w:vAlign w:val="center"/>
          </w:tcPr>
          <w:p>
            <w:pPr>
              <w:pStyle w:val="TableContents"/>
              <w:bidi w:val="0"/>
              <w:spacing w:before="0" w:after="0"/>
              <w:jc w:val="right"/>
              <w:rPr>
                <w:sz w:val="20"/>
              </w:rPr>
            </w:pPr>
            <w:r>
              <w:rPr>
                <w:sz w:val="20"/>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right"/>
              <w:rPr>
                <w:sz w:val="20"/>
              </w:rPr>
            </w:pPr>
            <w:r>
              <w:rPr>
                <w:sz w:val="20"/>
              </w:rPr>
              <w:t>60,494</w:t>
            </w:r>
          </w:p>
        </w:tc>
        <w:tc>
          <w:tcPr>
            <w:tcW w:w="95" w:type="dxa"/>
            <w:tcBorders/>
            <w:vAlign w:val="center"/>
          </w:tcPr>
          <w:p>
            <w:pPr>
              <w:pStyle w:val="TableContents"/>
              <w:bidi w:val="0"/>
              <w:spacing w:before="0" w:after="283"/>
              <w:ind w:left="0" w:right="0" w:hanging="200"/>
              <w:jc w:val="left"/>
              <w:rPr/>
            </w:pPr>
            <w:r>
              <w:rPr/>
              <w:t> </w:t>
            </w:r>
          </w:p>
        </w:tc>
      </w:tr>
      <w:tr>
        <w:trPr/>
        <w:tc>
          <w:tcPr>
            <w:tcW w:w="5390" w:type="dxa"/>
            <w:tcBorders/>
            <w:shd w:fill="CCEEFF" w:val="clear"/>
            <w:vAlign w:val="center"/>
          </w:tcPr>
          <w:p>
            <w:pPr>
              <w:pStyle w:val="TableContents"/>
              <w:bidi w:val="0"/>
              <w:spacing w:before="0" w:after="283"/>
              <w:jc w:val="left"/>
              <w:rPr>
                <w:sz w:val="20"/>
              </w:rPr>
            </w:pPr>
            <w:r>
              <w:rPr>
                <w:sz w:val="20"/>
              </w:rPr>
              <w:t>Net 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center"/>
          </w:tcPr>
          <w:p>
            <w:pPr>
              <w:pStyle w:val="TableContents"/>
              <w:bidi w:val="0"/>
              <w:spacing w:before="0" w:after="283"/>
              <w:jc w:val="right"/>
              <w:rPr>
                <w:sz w:val="20"/>
              </w:rPr>
            </w:pPr>
            <w:r>
              <w:rPr>
                <w:sz w:val="20"/>
              </w:rPr>
              <w:t>(2,947,528</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sz w:val="20"/>
              </w:rPr>
            </w:pPr>
            <w:r>
              <w:rPr>
                <w:sz w:val="20"/>
              </w:rPr>
              <w:t>(2,170,057</w:t>
            </w:r>
          </w:p>
        </w:tc>
        <w:tc>
          <w:tcPr>
            <w:tcW w:w="95" w:type="dxa"/>
            <w:tcBorders/>
            <w:shd w:fill="CCEEFF" w:val="clear"/>
            <w:vAlign w:val="center"/>
          </w:tcPr>
          <w:p>
            <w:pPr>
              <w:pStyle w:val="TableContents"/>
              <w:bidi w:val="0"/>
              <w:spacing w:before="0" w:after="283"/>
              <w:ind w:left="0" w:right="0" w:hanging="200"/>
              <w:jc w:val="left"/>
              <w:rPr>
                <w:sz w:val="20"/>
              </w:rPr>
            </w:pPr>
            <w:r>
              <w:rPr>
                <w:sz w:val="20"/>
              </w:rPr>
              <w:t>)</w:t>
            </w:r>
          </w:p>
        </w:tc>
      </w:tr>
      <w:tr>
        <w:trPr/>
        <w:tc>
          <w:tcPr>
            <w:tcW w:w="53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ind w:left="0" w:right="0" w:hanging="200"/>
              <w:jc w:val="left"/>
              <w:rPr/>
            </w:pPr>
            <w:r>
              <w:rPr/>
              <w:t> </w:t>
            </w:r>
          </w:p>
        </w:tc>
      </w:tr>
      <w:tr>
        <w:trPr/>
        <w:tc>
          <w:tcPr>
            <w:tcW w:w="5390" w:type="dxa"/>
            <w:tcBorders/>
            <w:shd w:fill="CCEEFF" w:val="clear"/>
            <w:vAlign w:val="center"/>
          </w:tcPr>
          <w:p>
            <w:pPr>
              <w:pStyle w:val="TableContents"/>
              <w:bidi w:val="0"/>
              <w:spacing w:before="0" w:after="283"/>
              <w:jc w:val="left"/>
              <w:rPr>
                <w:sz w:val="20"/>
              </w:rPr>
            </w:pPr>
            <w:r>
              <w:rPr>
                <w:sz w:val="20"/>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ind w:left="0" w:right="0" w:hanging="200"/>
              <w:jc w:val="left"/>
              <w:rPr/>
            </w:pPr>
            <w:r>
              <w:rPr/>
              <w:t> </w:t>
            </w:r>
          </w:p>
        </w:tc>
      </w:tr>
      <w:tr>
        <w:trPr/>
        <w:tc>
          <w:tcPr>
            <w:tcW w:w="5390" w:type="dxa"/>
            <w:tcBorders/>
            <w:vAlign w:val="center"/>
          </w:tcPr>
          <w:p>
            <w:pPr>
              <w:pStyle w:val="TableContents"/>
              <w:bidi w:val="0"/>
              <w:spacing w:before="0" w:after="283"/>
              <w:jc w:val="left"/>
              <w:rPr>
                <w:sz w:val="20"/>
              </w:rPr>
            </w:pPr>
            <w:r>
              <w:rPr>
                <w:sz w:val="20"/>
              </w:rPr>
              <w:t>Credit facility drawdown, net of issuance costs</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tcMar>
              <w:bottom w:w="28" w:type="dxa"/>
            </w:tcMar>
            <w:vAlign w:val="center"/>
          </w:tcPr>
          <w:p>
            <w:pPr>
              <w:pStyle w:val="TableContents"/>
              <w:bidi w:val="0"/>
              <w:spacing w:before="0" w:after="0"/>
              <w:jc w:val="right"/>
              <w:rPr>
                <w:sz w:val="20"/>
              </w:rPr>
            </w:pPr>
            <w:r>
              <w:rPr>
                <w:sz w:val="20"/>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right"/>
              <w:rPr>
                <w:sz w:val="20"/>
              </w:rPr>
            </w:pPr>
            <w:r>
              <w:rPr>
                <w:sz w:val="20"/>
              </w:rPr>
              <w:t>543,760</w:t>
            </w:r>
          </w:p>
        </w:tc>
        <w:tc>
          <w:tcPr>
            <w:tcW w:w="95" w:type="dxa"/>
            <w:tcBorders/>
            <w:vAlign w:val="center"/>
          </w:tcPr>
          <w:p>
            <w:pPr>
              <w:pStyle w:val="TableContents"/>
              <w:bidi w:val="0"/>
              <w:spacing w:before="0" w:after="283"/>
              <w:ind w:left="0" w:right="0" w:hanging="200"/>
              <w:jc w:val="left"/>
              <w:rPr/>
            </w:pPr>
            <w:r>
              <w:rPr/>
              <w:t> </w:t>
            </w:r>
          </w:p>
        </w:tc>
      </w:tr>
      <w:tr>
        <w:trPr/>
        <w:tc>
          <w:tcPr>
            <w:tcW w:w="5390" w:type="dxa"/>
            <w:tcBorders/>
            <w:shd w:fill="CCEEFF" w:val="clear"/>
            <w:vAlign w:val="center"/>
          </w:tcPr>
          <w:p>
            <w:pPr>
              <w:pStyle w:val="TableContents"/>
              <w:bidi w:val="0"/>
              <w:spacing w:before="0" w:after="283"/>
              <w:jc w:val="left"/>
              <w:rPr>
                <w:sz w:val="20"/>
              </w:rPr>
            </w:pPr>
            <w:r>
              <w:rPr>
                <w:sz w:val="20"/>
              </w:rPr>
              <w:t>Net cash flows from financing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center"/>
          </w:tcPr>
          <w:p>
            <w:pPr>
              <w:pStyle w:val="TableContents"/>
              <w:bidi w:val="0"/>
              <w:spacing w:before="0" w:after="0"/>
              <w:jc w:val="right"/>
              <w:rPr>
                <w:sz w:val="20"/>
              </w:rPr>
            </w:pPr>
            <w:r>
              <w:rPr>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sz w:val="20"/>
              </w:rPr>
            </w:pPr>
            <w:r>
              <w:rPr>
                <w:sz w:val="20"/>
              </w:rPr>
              <w:t>543,760</w:t>
            </w:r>
          </w:p>
        </w:tc>
        <w:tc>
          <w:tcPr>
            <w:tcW w:w="95" w:type="dxa"/>
            <w:tcBorders/>
            <w:shd w:fill="CCEEFF" w:val="clear"/>
            <w:vAlign w:val="center"/>
          </w:tcPr>
          <w:p>
            <w:pPr>
              <w:pStyle w:val="TableContents"/>
              <w:bidi w:val="0"/>
              <w:spacing w:before="0" w:after="283"/>
              <w:ind w:left="0" w:right="0" w:hanging="200"/>
              <w:jc w:val="left"/>
              <w:rPr/>
            </w:pPr>
            <w:r>
              <w:rPr/>
              <w:t> </w:t>
            </w:r>
          </w:p>
        </w:tc>
      </w:tr>
      <w:tr>
        <w:trPr/>
        <w:tc>
          <w:tcPr>
            <w:tcW w:w="53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ind w:left="0" w:right="0" w:hanging="200"/>
              <w:jc w:val="left"/>
              <w:rPr/>
            </w:pPr>
            <w:r>
              <w:rPr/>
              <w:t> </w:t>
            </w:r>
          </w:p>
        </w:tc>
      </w:tr>
      <w:tr>
        <w:trPr/>
        <w:tc>
          <w:tcPr>
            <w:tcW w:w="5390" w:type="dxa"/>
            <w:tcBorders/>
            <w:shd w:fill="CCEEFF" w:val="clear"/>
            <w:vAlign w:val="center"/>
          </w:tcPr>
          <w:p>
            <w:pPr>
              <w:pStyle w:val="TableContents"/>
              <w:bidi w:val="0"/>
              <w:spacing w:before="0" w:after="283"/>
              <w:jc w:val="left"/>
              <w:rPr>
                <w:sz w:val="20"/>
              </w:rPr>
            </w:pPr>
            <w:r>
              <w:rPr>
                <w:sz w:val="20"/>
              </w:rPr>
              <w:t>Effect of Foreign Currencies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center"/>
          </w:tcPr>
          <w:p>
            <w:pPr>
              <w:pStyle w:val="TableContents"/>
              <w:bidi w:val="0"/>
              <w:spacing w:before="0" w:after="283"/>
              <w:jc w:val="right"/>
              <w:rPr>
                <w:sz w:val="20"/>
              </w:rPr>
            </w:pPr>
            <w:r>
              <w:rPr>
                <w:sz w:val="20"/>
              </w:rPr>
              <w:t>(3,359</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sz w:val="20"/>
              </w:rPr>
            </w:pPr>
            <w:r>
              <w:rPr>
                <w:sz w:val="20"/>
              </w:rPr>
              <w:t>(22,505</w:t>
            </w:r>
          </w:p>
        </w:tc>
        <w:tc>
          <w:tcPr>
            <w:tcW w:w="95" w:type="dxa"/>
            <w:tcBorders/>
            <w:shd w:fill="CCEEFF" w:val="clear"/>
            <w:vAlign w:val="center"/>
          </w:tcPr>
          <w:p>
            <w:pPr>
              <w:pStyle w:val="TableContents"/>
              <w:bidi w:val="0"/>
              <w:spacing w:before="0" w:after="283"/>
              <w:ind w:left="0" w:right="0" w:hanging="200"/>
              <w:jc w:val="left"/>
              <w:rPr>
                <w:sz w:val="20"/>
              </w:rPr>
            </w:pPr>
            <w:r>
              <w:rPr>
                <w:sz w:val="20"/>
              </w:rPr>
              <w:t>)</w:t>
            </w:r>
          </w:p>
        </w:tc>
      </w:tr>
      <w:tr>
        <w:trPr/>
        <w:tc>
          <w:tcPr>
            <w:tcW w:w="53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ind w:left="0" w:right="0" w:hanging="200"/>
              <w:jc w:val="left"/>
              <w:rPr/>
            </w:pPr>
            <w:r>
              <w:rPr/>
              <w:t> </w:t>
            </w:r>
          </w:p>
        </w:tc>
      </w:tr>
      <w:tr>
        <w:trPr/>
        <w:tc>
          <w:tcPr>
            <w:tcW w:w="5390" w:type="dxa"/>
            <w:tcBorders/>
            <w:shd w:fill="CCEEFF" w:val="clear"/>
            <w:vAlign w:val="center"/>
          </w:tcPr>
          <w:p>
            <w:pPr>
              <w:pStyle w:val="TableContents"/>
              <w:bidi w:val="0"/>
              <w:spacing w:before="0" w:after="283"/>
              <w:jc w:val="left"/>
              <w:rPr>
                <w:sz w:val="20"/>
              </w:rPr>
            </w:pPr>
            <w:r>
              <w:rPr>
                <w:sz w:val="20"/>
              </w:rPr>
              <w:t>Net Change in Cash</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sz w:val="20"/>
              </w:rPr>
            </w:pPr>
            <w:r>
              <w:rPr>
                <w:sz w:val="20"/>
              </w:rPr>
              <w:t>(2,950,887</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sz w:val="20"/>
              </w:rPr>
            </w:pPr>
            <w:r>
              <w:rPr>
                <w:sz w:val="20"/>
              </w:rPr>
              <w:t>(1,648,802</w:t>
            </w:r>
          </w:p>
        </w:tc>
        <w:tc>
          <w:tcPr>
            <w:tcW w:w="95" w:type="dxa"/>
            <w:tcBorders/>
            <w:shd w:fill="CCEEFF" w:val="clear"/>
            <w:vAlign w:val="center"/>
          </w:tcPr>
          <w:p>
            <w:pPr>
              <w:pStyle w:val="TableContents"/>
              <w:bidi w:val="0"/>
              <w:spacing w:before="0" w:after="283"/>
              <w:ind w:left="0" w:right="0" w:hanging="200"/>
              <w:jc w:val="left"/>
              <w:rPr>
                <w:sz w:val="20"/>
              </w:rPr>
            </w:pPr>
            <w:r>
              <w:rPr>
                <w:sz w:val="20"/>
              </w:rPr>
              <w:t>)</w:t>
            </w:r>
          </w:p>
        </w:tc>
      </w:tr>
      <w:tr>
        <w:trPr/>
        <w:tc>
          <w:tcPr>
            <w:tcW w:w="5390" w:type="dxa"/>
            <w:tcBorders/>
            <w:vAlign w:val="center"/>
          </w:tcPr>
          <w:p>
            <w:pPr>
              <w:pStyle w:val="TableContents"/>
              <w:bidi w:val="0"/>
              <w:spacing w:before="0" w:after="283"/>
              <w:jc w:val="left"/>
              <w:rPr>
                <w:sz w:val="20"/>
              </w:rPr>
            </w:pPr>
            <w:r>
              <w:rPr>
                <w:sz w:val="20"/>
              </w:rPr>
              <w:t>Cash, Beginning of the Period</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sz w:val="20"/>
              </w:rPr>
            </w:pPr>
            <w:r>
              <w:rPr>
                <w:sz w:val="20"/>
              </w:rPr>
              <w:t>10,177,099</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sz w:val="20"/>
              </w:rPr>
            </w:pPr>
            <w:r>
              <w:rPr>
                <w:sz w:val="20"/>
              </w:rPr>
              <w:t>3,237,106</w:t>
            </w:r>
          </w:p>
        </w:tc>
        <w:tc>
          <w:tcPr>
            <w:tcW w:w="95" w:type="dxa"/>
            <w:tcBorders/>
            <w:vAlign w:val="center"/>
          </w:tcPr>
          <w:p>
            <w:pPr>
              <w:pStyle w:val="TableContents"/>
              <w:bidi w:val="0"/>
              <w:spacing w:before="0" w:after="283"/>
              <w:ind w:left="0" w:right="0" w:hanging="200"/>
              <w:jc w:val="left"/>
              <w:rPr/>
            </w:pPr>
            <w:r>
              <w:rPr/>
              <w:t> </w:t>
            </w:r>
          </w:p>
        </w:tc>
      </w:tr>
      <w:tr>
        <w:trPr/>
        <w:tc>
          <w:tcPr>
            <w:tcW w:w="5390" w:type="dxa"/>
            <w:tcBorders/>
            <w:shd w:fill="CCEEFF" w:val="clear"/>
            <w:vAlign w:val="center"/>
          </w:tcPr>
          <w:p>
            <w:pPr>
              <w:pStyle w:val="TableContents"/>
              <w:bidi w:val="0"/>
              <w:spacing w:before="0" w:after="283"/>
              <w:jc w:val="left"/>
              <w:rPr>
                <w:sz w:val="20"/>
              </w:rPr>
            </w:pPr>
            <w:r>
              <w:rPr>
                <w:sz w:val="20"/>
              </w:rPr>
              <w:t>Cash, Beginning of the Period - Discontinued Operations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0"/>
              <w:jc w:val="right"/>
              <w:rPr>
                <w:sz w:val="20"/>
              </w:rPr>
            </w:pPr>
            <w:r>
              <w:rPr>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sz w:val="20"/>
              </w:rPr>
            </w:pPr>
            <w:r>
              <w:rPr>
                <w:sz w:val="20"/>
              </w:rPr>
              <w:t>2,703</w:t>
            </w:r>
          </w:p>
        </w:tc>
        <w:tc>
          <w:tcPr>
            <w:tcW w:w="95" w:type="dxa"/>
            <w:tcBorders/>
            <w:shd w:fill="CCEEFF" w:val="clear"/>
            <w:vAlign w:val="center"/>
          </w:tcPr>
          <w:p>
            <w:pPr>
              <w:pStyle w:val="TableContents"/>
              <w:bidi w:val="0"/>
              <w:spacing w:before="0" w:after="283"/>
              <w:ind w:left="0" w:right="0" w:hanging="200"/>
              <w:jc w:val="left"/>
              <w:rPr/>
            </w:pPr>
            <w:r>
              <w:rPr/>
              <w:t> </w:t>
            </w:r>
          </w:p>
        </w:tc>
      </w:tr>
      <w:tr>
        <w:trPr/>
        <w:tc>
          <w:tcPr>
            <w:tcW w:w="5390" w:type="dxa"/>
            <w:tcBorders/>
            <w:vAlign w:val="center"/>
          </w:tcPr>
          <w:p>
            <w:pPr>
              <w:pStyle w:val="TableContents"/>
              <w:bidi w:val="0"/>
              <w:spacing w:before="0" w:after="283"/>
              <w:jc w:val="left"/>
              <w:rPr>
                <w:sz w:val="20"/>
              </w:rPr>
            </w:pPr>
            <w:r>
              <w:rPr>
                <w:sz w:val="20"/>
              </w:rPr>
              <w:t>Cash, End of the Period - Discontinued Operations</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tcMar>
              <w:bottom w:w="28" w:type="dxa"/>
            </w:tcMar>
            <w:vAlign w:val="center"/>
          </w:tcPr>
          <w:p>
            <w:pPr>
              <w:pStyle w:val="TableContents"/>
              <w:bidi w:val="0"/>
              <w:spacing w:before="0" w:after="0"/>
              <w:jc w:val="right"/>
              <w:rPr>
                <w:sz w:val="20"/>
              </w:rPr>
            </w:pPr>
            <w:r>
              <w:rPr>
                <w:sz w:val="20"/>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right"/>
              <w:rPr>
                <w:sz w:val="20"/>
              </w:rPr>
            </w:pPr>
            <w:r>
              <w:rPr>
                <w:sz w:val="20"/>
              </w:rPr>
              <w:t>(3,025</w:t>
            </w:r>
          </w:p>
        </w:tc>
        <w:tc>
          <w:tcPr>
            <w:tcW w:w="95" w:type="dxa"/>
            <w:tcBorders/>
            <w:vAlign w:val="center"/>
          </w:tcPr>
          <w:p>
            <w:pPr>
              <w:pStyle w:val="TableContents"/>
              <w:bidi w:val="0"/>
              <w:spacing w:before="0" w:after="283"/>
              <w:ind w:left="0" w:right="0" w:hanging="200"/>
              <w:jc w:val="left"/>
              <w:rPr>
                <w:sz w:val="20"/>
              </w:rPr>
            </w:pPr>
            <w:r>
              <w:rPr>
                <w:sz w:val="20"/>
              </w:rPr>
              <w:t>)</w:t>
            </w:r>
          </w:p>
        </w:tc>
      </w:tr>
      <w:tr>
        <w:trPr/>
        <w:tc>
          <w:tcPr>
            <w:tcW w:w="5390" w:type="dxa"/>
            <w:tcBorders/>
            <w:shd w:fill="CCEEFF" w:val="clear"/>
            <w:vAlign w:val="center"/>
          </w:tcPr>
          <w:p>
            <w:pPr>
              <w:pStyle w:val="TableContents"/>
              <w:bidi w:val="0"/>
              <w:spacing w:before="0" w:after="283"/>
              <w:jc w:val="left"/>
              <w:rPr>
                <w:sz w:val="20"/>
              </w:rPr>
            </w:pPr>
            <w:r>
              <w:rPr>
                <w:sz w:val="20"/>
              </w:rPr>
              <w:t>Cash, End of the Period</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10"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950" w:type="dxa"/>
            <w:tcBorders>
              <w:bottom w:val="double" w:sz="10" w:space="0" w:color="000000"/>
            </w:tcBorders>
            <w:shd w:fill="CCEEFF" w:val="clear"/>
            <w:tcMar>
              <w:bottom w:w="28" w:type="dxa"/>
            </w:tcMar>
            <w:vAlign w:val="center"/>
          </w:tcPr>
          <w:p>
            <w:pPr>
              <w:pStyle w:val="TableContents"/>
              <w:bidi w:val="0"/>
              <w:spacing w:before="0" w:after="283"/>
              <w:jc w:val="right"/>
              <w:rPr>
                <w:sz w:val="20"/>
              </w:rPr>
            </w:pPr>
            <w:r>
              <w:rPr>
                <w:sz w:val="20"/>
              </w:rPr>
              <w:t>7,226,212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10"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905" w:type="dxa"/>
            <w:tcBorders>
              <w:bottom w:val="double" w:sz="10" w:space="0" w:color="000000"/>
            </w:tcBorders>
            <w:shd w:fill="CCEEFF" w:val="clear"/>
            <w:tcMar>
              <w:bottom w:w="28" w:type="dxa"/>
            </w:tcMar>
            <w:vAlign w:val="center"/>
          </w:tcPr>
          <w:p>
            <w:pPr>
              <w:pStyle w:val="TableContents"/>
              <w:bidi w:val="0"/>
              <w:spacing w:before="0" w:after="283"/>
              <w:jc w:val="right"/>
              <w:rPr>
                <w:sz w:val="20"/>
              </w:rPr>
            </w:pPr>
            <w:r>
              <w:rPr>
                <w:sz w:val="20"/>
              </w:rPr>
              <w:t>1,587,982</w:t>
            </w:r>
          </w:p>
        </w:tc>
        <w:tc>
          <w:tcPr>
            <w:tcW w:w="95" w:type="dxa"/>
            <w:tcBorders/>
            <w:shd w:fill="CCEEFF" w:val="clear"/>
            <w:vAlign w:val="center"/>
          </w:tcPr>
          <w:p>
            <w:pPr>
              <w:pStyle w:val="TableContents"/>
              <w:bidi w:val="0"/>
              <w:spacing w:before="0" w:after="283"/>
              <w:ind w:left="0" w:right="0" w:hanging="200"/>
              <w:jc w:val="left"/>
              <w:rPr/>
            </w:pPr>
            <w:r>
              <w:rPr/>
              <w:t> </w:t>
            </w:r>
          </w:p>
        </w:tc>
      </w:tr>
      <w:tr>
        <w:trPr/>
        <w:tc>
          <w:tcPr>
            <w:tcW w:w="53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ind w:left="0" w:right="0" w:hanging="200"/>
              <w:jc w:val="left"/>
              <w:rPr/>
            </w:pPr>
            <w:r>
              <w:rPr/>
              <w:t> </w:t>
            </w:r>
          </w:p>
        </w:tc>
      </w:tr>
      <w:tr>
        <w:trPr/>
        <w:tc>
          <w:tcPr>
            <w:tcW w:w="5390" w:type="dxa"/>
            <w:tcBorders/>
            <w:shd w:fill="CCEEFF" w:val="clear"/>
            <w:vAlign w:val="center"/>
          </w:tcPr>
          <w:p>
            <w:pPr>
              <w:pStyle w:val="TableContents"/>
              <w:bidi w:val="0"/>
              <w:spacing w:before="0" w:after="283"/>
              <w:jc w:val="left"/>
              <w:rPr>
                <w:sz w:val="20"/>
              </w:rPr>
            </w:pPr>
            <w:r>
              <w:rPr>
                <w:sz w:val="20"/>
              </w:rPr>
              <w:t>Supplemental Disclosure of Cash Flow Information: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ind w:left="0" w:right="0" w:hanging="200"/>
              <w:jc w:val="left"/>
              <w:rPr/>
            </w:pPr>
            <w:r>
              <w:rPr/>
              <w:t> </w:t>
            </w:r>
          </w:p>
        </w:tc>
      </w:tr>
      <w:tr>
        <w:trPr/>
        <w:tc>
          <w:tcPr>
            <w:tcW w:w="5390" w:type="dxa"/>
            <w:tcBorders/>
            <w:vAlign w:val="center"/>
          </w:tcPr>
          <w:p>
            <w:pPr>
              <w:pStyle w:val="TableContents"/>
              <w:bidi w:val="0"/>
              <w:spacing w:before="0" w:after="283"/>
              <w:jc w:val="left"/>
              <w:rPr>
                <w:sz w:val="20"/>
              </w:rPr>
            </w:pPr>
            <w:r>
              <w:rPr>
                <w:sz w:val="20"/>
              </w:rPr>
              <w:t>Cash paid for interest</w:t>
            </w:r>
          </w:p>
        </w:tc>
        <w:tc>
          <w:tcPr>
            <w:tcW w:w="60" w:type="dxa"/>
            <w:tcBorders/>
            <w:vAlign w:val="center"/>
          </w:tcPr>
          <w:p>
            <w:pPr>
              <w:pStyle w:val="TableContents"/>
              <w:bidi w:val="0"/>
              <w:spacing w:before="0" w:after="283"/>
              <w:jc w:val="left"/>
              <w:rPr/>
            </w:pPr>
            <w:r>
              <w:rPr/>
              <w:t> </w:t>
            </w:r>
          </w:p>
        </w:tc>
        <w:tc>
          <w:tcPr>
            <w:tcW w:w="125" w:type="dxa"/>
            <w:tcBorders>
              <w:bottom w:val="double" w:sz="10" w:space="0" w:color="000000"/>
            </w:tcBorders>
            <w:tcMar>
              <w:bottom w:w="28" w:type="dxa"/>
            </w:tcMar>
            <w:vAlign w:val="center"/>
          </w:tcPr>
          <w:p>
            <w:pPr>
              <w:pStyle w:val="TableContents"/>
              <w:bidi w:val="0"/>
              <w:spacing w:before="0" w:after="283"/>
              <w:jc w:val="left"/>
              <w:rPr>
                <w:sz w:val="20"/>
              </w:rPr>
            </w:pPr>
            <w:r>
              <w:rPr>
                <w:sz w:val="20"/>
              </w:rPr>
              <w:t>$</w:t>
            </w:r>
          </w:p>
        </w:tc>
        <w:tc>
          <w:tcPr>
            <w:tcW w:w="950" w:type="dxa"/>
            <w:tcBorders>
              <w:bottom w:val="double" w:sz="10" w:space="0" w:color="000000"/>
            </w:tcBorders>
            <w:tcMar>
              <w:bottom w:w="28" w:type="dxa"/>
            </w:tcMar>
            <w:vAlign w:val="center"/>
          </w:tcPr>
          <w:p>
            <w:pPr>
              <w:pStyle w:val="TableContents"/>
              <w:bidi w:val="0"/>
              <w:spacing w:before="0" w:after="283"/>
              <w:jc w:val="right"/>
              <w:rPr>
                <w:sz w:val="20"/>
              </w:rPr>
            </w:pPr>
            <w:r>
              <w:rPr>
                <w:sz w:val="20"/>
              </w:rPr>
              <w:t>9,023</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double" w:sz="10" w:space="0" w:color="000000"/>
            </w:tcBorders>
            <w:tcMar>
              <w:bottom w:w="28" w:type="dxa"/>
            </w:tcMar>
            <w:vAlign w:val="center"/>
          </w:tcPr>
          <w:p>
            <w:pPr>
              <w:pStyle w:val="TableContents"/>
              <w:bidi w:val="0"/>
              <w:spacing w:before="0" w:after="283"/>
              <w:jc w:val="left"/>
              <w:rPr>
                <w:sz w:val="20"/>
              </w:rPr>
            </w:pPr>
            <w:r>
              <w:rPr>
                <w:sz w:val="20"/>
              </w:rPr>
              <w:t>$</w:t>
            </w:r>
          </w:p>
        </w:tc>
        <w:tc>
          <w:tcPr>
            <w:tcW w:w="905" w:type="dxa"/>
            <w:tcBorders>
              <w:bottom w:val="double" w:sz="10" w:space="0" w:color="000000"/>
            </w:tcBorders>
            <w:tcMar>
              <w:bottom w:w="28" w:type="dxa"/>
            </w:tcMar>
            <w:vAlign w:val="center"/>
          </w:tcPr>
          <w:p>
            <w:pPr>
              <w:pStyle w:val="TableContents"/>
              <w:bidi w:val="0"/>
              <w:spacing w:before="0" w:after="0"/>
              <w:jc w:val="right"/>
              <w:rPr>
                <w:sz w:val="20"/>
              </w:rPr>
            </w:pPr>
            <w:r>
              <w:rPr>
                <w:sz w:val="20"/>
              </w:rPr>
              <w:t>-</w:t>
            </w:r>
          </w:p>
        </w:tc>
        <w:tc>
          <w:tcPr>
            <w:tcW w:w="95" w:type="dxa"/>
            <w:tcBorders/>
            <w:vAlign w:val="center"/>
          </w:tcPr>
          <w:p>
            <w:pPr>
              <w:pStyle w:val="TableContents"/>
              <w:bidi w:val="0"/>
              <w:spacing w:before="0" w:after="283"/>
              <w:ind w:left="0" w:right="0" w:hanging="200"/>
              <w:jc w:val="left"/>
              <w:rPr/>
            </w:pPr>
            <w:r>
              <w:rPr/>
              <w:t> </w:t>
            </w:r>
          </w:p>
        </w:tc>
      </w:tr>
      <w:tr>
        <w:trPr/>
        <w:tc>
          <w:tcPr>
            <w:tcW w:w="5390" w:type="dxa"/>
            <w:tcBorders/>
            <w:shd w:fill="CCEEFF" w:val="clear"/>
            <w:vAlign w:val="center"/>
          </w:tcPr>
          <w:p>
            <w:pPr>
              <w:pStyle w:val="TableContents"/>
              <w:bidi w:val="0"/>
              <w:spacing w:before="0" w:after="283"/>
              <w:jc w:val="left"/>
              <w:rPr>
                <w:sz w:val="20"/>
              </w:rPr>
            </w:pPr>
            <w:r>
              <w:rPr>
                <w:sz w:val="20"/>
              </w:rPr>
              <w:t>Cash paid for income taxes - discontinued operations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10"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950" w:type="dxa"/>
            <w:tcBorders>
              <w:bottom w:val="double" w:sz="10" w:space="0" w:color="000000"/>
            </w:tcBorders>
            <w:shd w:fill="CCEEFF" w:val="clear"/>
            <w:tcMar>
              <w:bottom w:w="28" w:type="dxa"/>
            </w:tcMar>
            <w:vAlign w:val="center"/>
          </w:tcPr>
          <w:p>
            <w:pPr>
              <w:pStyle w:val="TableContents"/>
              <w:bidi w:val="0"/>
              <w:spacing w:before="0" w:after="0"/>
              <w:jc w:val="right"/>
              <w:rPr>
                <w:sz w:val="20"/>
              </w:rPr>
            </w:pPr>
            <w:r>
              <w:rPr>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10"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905" w:type="dxa"/>
            <w:tcBorders>
              <w:bottom w:val="double" w:sz="10" w:space="0" w:color="000000"/>
            </w:tcBorders>
            <w:shd w:fill="CCEEFF" w:val="clear"/>
            <w:tcMar>
              <w:bottom w:w="28" w:type="dxa"/>
            </w:tcMar>
            <w:vAlign w:val="center"/>
          </w:tcPr>
          <w:p>
            <w:pPr>
              <w:pStyle w:val="TableContents"/>
              <w:bidi w:val="0"/>
              <w:spacing w:before="0" w:after="283"/>
              <w:jc w:val="right"/>
              <w:rPr>
                <w:sz w:val="20"/>
              </w:rPr>
            </w:pPr>
            <w:r>
              <w:rPr>
                <w:sz w:val="20"/>
              </w:rPr>
              <w:t>1,294</w:t>
            </w:r>
          </w:p>
        </w:tc>
        <w:tc>
          <w:tcPr>
            <w:tcW w:w="9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notes to condensed consolidated financial statements.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9" w:name="a_008"/>
      <w:bookmarkEnd w:id="9"/>
      <w:r>
        <w:rPr>
          <w:rFonts w:ascii="Times New Roman;Times;Serif" w:hAnsi="Times New Roman;Times;Serif"/>
          <w:b/>
          <w:i w:val="false"/>
          <w:caps w:val="false"/>
          <w:smallCaps w:val="false"/>
          <w:sz w:val="20"/>
        </w:rPr>
        <w:t>authID INC. AND SUBSIDIARIES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 – BASIS OF 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opinion of Management, the accompanying unaudited condensed consolidated financial statements are prepared in accordance with instructions for Form 10-Q, include all adjustments (consisting only of normal recurring accruals) which we considered as necessary for a fair presentation of the results for the periods presented. Certain information and footnote disclosures normally included in the consolidated financial statements prepared in accordance with accounting principles generally accepted in the United States of America have been condensed or omitted. It is suggested that these condensed consolidated financial statements be read in conjunction with the Company’s Annual Report on Form 10-K for the year ended December 31, 2023. The results of operations for the three months ended March 31, 2024 are not necessarily indicative of the results to be expected for future periods or the full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condensed consolidated financial statements include the accounts of authID Inc. and its wholly-owned subsidiaries MultiPay S.A.S., ID Solutions, Inc., FIN Holdings Inc., Ipsidy Enterprises Limited and authID Gaming Inc. (collectively the “Company”). All significant intercompany balances and transactions have been eliminated in consolidation.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2024, the Company had an accumulated deficit of approximately $162.6 million. For the three months ended March 31, 2024, the Company earned revenue from continuing operations of approximately $0.16 million, used approximately $2.9 million to fund its operations, and incurred a net loss of approximately $3.1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continuation of the Company as a going concern is dependent upon financial support from the Company’s stockholders and noteholders, the ability of the Company to obtain additional debt or equity financing to continue operations, the Company’s ability to generate sufficient cash flows from operations, successfully locating and negotiating with other business entities for potential acquisition, and acquiring new clients to generate revenues and cash flows. In 2024 and 2025, the Company plans to raise additional funds to support its operations and investments as it seeks to create a sustainable organization. Our growth-oriented business plan to offer products to our customers will require continued capital investment and there is no guarantee that such financing will be available, or available on acceptable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assurance that the Company will ever be profitable. These unaudited condensed consolidated financial statements do not include any adjustments to reflect the possible future effects on the recoverability and classification of assets or the amounts and classifications of liabilities that may result should the Company be unable to continue as a going concern. As there can be no assurance that the Company will be able to achieve positive cash flows (become cash flow positive) and raise sufficient capital to maintain operations, there is substantial doubt about the Company’s ability to continue as a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Reclassification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prior year expenses have been reclassified for consistency with the current year presentation. These reclassifications had no effect on the previously reported loss from continuing operations and management does not believe that this reclassification is material to the consolidated financial statements taken as a whole. Specifically, we reclassified approximately $19,000 in Q1 2023 expenses from research and development expenses to general and administrative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Net Loss per Common Share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computes net loss per share in accordance with FASB ASC 260, “Earnings per Share”. ASC 260 requires presentation of both basic and diluted earnings per share (“EPS”) on the face of the statement of operations. Basic EPS is computed by dividing net loss available to common shareholders by the weighted average number of common shares outstanding during the period. Diluted EPS gives effect to all dilutive potential common shares outstanding during the period including stock options, using the treasury stock method, and convertible notes and stock warrants, using the if-converted method. In computing diluted EPS, the average stock price for the period is used in determining the number of shares assumed to be purchased from the exercise of stock options, warrants and conversion of convertible notes. Diluted EPS excludes all dilutive potential common shares if their effect is anti-dilutive. The following potentially dilutive securities were excluded from the calculation of diluted loss per share for the three months ended March 31, 2024 and 2023 because their effect was antidilutive:</w:t>
      </w:r>
    </w:p>
    <w:p>
      <w:pPr>
        <w:pStyle w:val="TextBody"/>
        <w:bidi w:val="0"/>
        <w:spacing w:before="0" w:after="0"/>
        <w:ind w:left="0" w:right="0" w:hanging="0"/>
        <w:jc w:val="both"/>
        <w:rPr>
          <w:caps w:val="false"/>
          <w:smallCaps w:val="false"/>
        </w:rPr>
      </w:pPr>
      <w:r>
        <w:rPr>
          <w:caps w:val="false"/>
          <w:smallCaps w:val="false"/>
        </w:rPr>
        <w:t> </w:t>
      </w:r>
    </w:p>
    <w:tbl>
      <w:tblPr>
        <w:tblW w:w="4245" w:type="dxa"/>
        <w:jc w:val="left"/>
        <w:tblInd w:w="0" w:type="dxa"/>
        <w:tblLayout w:type="fixed"/>
        <w:tblCellMar>
          <w:top w:w="0" w:type="dxa"/>
          <w:left w:w="0" w:type="dxa"/>
          <w:bottom w:w="28" w:type="dxa"/>
          <w:right w:w="0" w:type="dxa"/>
        </w:tblCellMar>
      </w:tblPr>
      <w:tblGrid>
        <w:gridCol w:w="2180"/>
        <w:gridCol w:w="60"/>
        <w:gridCol w:w="60"/>
        <w:gridCol w:w="845"/>
        <w:gridCol w:w="60"/>
        <w:gridCol w:w="60"/>
        <w:gridCol w:w="60"/>
        <w:gridCol w:w="845"/>
        <w:gridCol w:w="75"/>
      </w:tblGrid>
      <w:tr>
        <w:trPr/>
        <w:tc>
          <w:tcPr>
            <w:tcW w:w="2180" w:type="dxa"/>
            <w:tcBorders>
              <w:bottom w:val="single" w:sz="12" w:space="0" w:color="000000"/>
            </w:tcBorders>
            <w:vAlign w:val="center"/>
          </w:tcPr>
          <w:p>
            <w:pPr>
              <w:pStyle w:val="TableContents"/>
              <w:bidi w:val="0"/>
              <w:spacing w:before="0" w:after="283"/>
              <w:jc w:val="left"/>
              <w:rPr>
                <w:b/>
                <w:sz w:val="20"/>
              </w:rPr>
            </w:pPr>
            <w:r>
              <w:rPr>
                <w:b/>
                <w:sz w:val="20"/>
              </w:rPr>
              <w:t>Security</w:t>
            </w:r>
          </w:p>
        </w:tc>
        <w:tc>
          <w:tcPr>
            <w:tcW w:w="60" w:type="dxa"/>
            <w:tcBorders/>
            <w:tcMar>
              <w:bottom w:w="0" w:type="dxa"/>
            </w:tcMar>
            <w:vAlign w:val="center"/>
          </w:tcPr>
          <w:p>
            <w:pPr>
              <w:pStyle w:val="TableContents"/>
              <w:bidi w:val="0"/>
              <w:spacing w:before="0" w:after="283"/>
              <w:jc w:val="left"/>
              <w:rPr/>
            </w:pPr>
            <w:r>
              <w:rPr/>
              <w:t> </w:t>
            </w:r>
          </w:p>
        </w:tc>
        <w:tc>
          <w:tcPr>
            <w:tcW w:w="905" w:type="dxa"/>
            <w:gridSpan w:val="2"/>
            <w:tcBorders>
              <w:bottom w:val="single" w:sz="12" w:space="0" w:color="000000"/>
            </w:tcBorders>
            <w:vAlign w:val="center"/>
          </w:tcPr>
          <w:p>
            <w:pPr>
              <w:pStyle w:val="TableContents"/>
              <w:bidi w:val="0"/>
              <w:spacing w:before="0" w:after="283"/>
              <w:jc w:val="center"/>
              <w:rPr>
                <w:b/>
                <w:sz w:val="20"/>
              </w:rPr>
            </w:pPr>
            <w:r>
              <w:rPr>
                <w:b/>
                <w:sz w:val="20"/>
              </w:rPr>
              <w:t>2024</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05" w:type="dxa"/>
            <w:gridSpan w:val="2"/>
            <w:tcBorders>
              <w:bottom w:val="single" w:sz="12" w:space="0" w:color="000000"/>
            </w:tcBorders>
            <w:vAlign w:val="center"/>
          </w:tcPr>
          <w:p>
            <w:pPr>
              <w:pStyle w:val="TableContents"/>
              <w:bidi w:val="0"/>
              <w:spacing w:before="0" w:after="283"/>
              <w:jc w:val="center"/>
              <w:rPr>
                <w:b/>
                <w:sz w:val="20"/>
              </w:rPr>
            </w:pPr>
            <w:r>
              <w:rPr>
                <w:b/>
                <w:sz w:val="20"/>
              </w:rPr>
              <w:t>2023</w:t>
            </w:r>
          </w:p>
        </w:tc>
        <w:tc>
          <w:tcPr>
            <w:tcW w:w="75" w:type="dxa"/>
            <w:tcBorders/>
            <w:tcMar>
              <w:bottom w:w="0" w:type="dxa"/>
            </w:tcMar>
            <w:vAlign w:val="center"/>
          </w:tcPr>
          <w:p>
            <w:pPr>
              <w:pStyle w:val="TableContents"/>
              <w:bidi w:val="0"/>
              <w:spacing w:before="0" w:after="283"/>
              <w:jc w:val="left"/>
              <w:rPr/>
            </w:pPr>
            <w:r>
              <w:rPr/>
              <w:t> </w:t>
            </w:r>
          </w:p>
        </w:tc>
      </w:tr>
      <w:tr>
        <w:trPr/>
        <w:tc>
          <w:tcPr>
            <w:tcW w:w="21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05" w:type="dxa"/>
            <w:gridSpan w:val="2"/>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05" w:type="dxa"/>
            <w:gridSpan w:val="2"/>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2180" w:type="dxa"/>
            <w:tcBorders/>
            <w:shd w:fill="CCEEFF" w:val="clear"/>
            <w:tcMar>
              <w:bottom w:w="0" w:type="dxa"/>
            </w:tcMar>
            <w:vAlign w:val="center"/>
          </w:tcPr>
          <w:p>
            <w:pPr>
              <w:pStyle w:val="TableContents"/>
              <w:bidi w:val="0"/>
              <w:spacing w:before="0" w:after="283"/>
              <w:jc w:val="left"/>
              <w:rPr>
                <w:sz w:val="20"/>
              </w:rPr>
            </w:pPr>
            <w:r>
              <w:rPr>
                <w:sz w:val="20"/>
              </w:rPr>
              <w:t>Convertible notes payable</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5" w:type="dxa"/>
            <w:tcBorders/>
            <w:shd w:fill="CCEEFF" w:val="clear"/>
            <w:tcMar>
              <w:bottom w:w="0" w:type="dxa"/>
            </w:tcMar>
            <w:vAlign w:val="center"/>
          </w:tcPr>
          <w:p>
            <w:pPr>
              <w:pStyle w:val="TableContents"/>
              <w:bidi w:val="0"/>
              <w:spacing w:before="0" w:after="283"/>
              <w:jc w:val="right"/>
              <w:rPr>
                <w:sz w:val="20"/>
              </w:rPr>
            </w:pPr>
            <w:r>
              <w:rPr>
                <w:sz w:val="20"/>
              </w:rPr>
              <w:t>8,277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5" w:type="dxa"/>
            <w:tcBorders/>
            <w:shd w:fill="CCEEFF" w:val="clear"/>
            <w:tcMar>
              <w:bottom w:w="0" w:type="dxa"/>
            </w:tcMar>
            <w:vAlign w:val="center"/>
          </w:tcPr>
          <w:p>
            <w:pPr>
              <w:pStyle w:val="TableContents"/>
              <w:bidi w:val="0"/>
              <w:spacing w:before="0" w:after="283"/>
              <w:jc w:val="right"/>
              <w:rPr>
                <w:sz w:val="20"/>
              </w:rPr>
            </w:pPr>
            <w:r>
              <w:rPr>
                <w:sz w:val="20"/>
              </w:rPr>
              <w:t>308,287</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180" w:type="dxa"/>
            <w:tcBorders/>
            <w:tcMar>
              <w:bottom w:w="0" w:type="dxa"/>
            </w:tcMar>
            <w:vAlign w:val="center"/>
          </w:tcPr>
          <w:p>
            <w:pPr>
              <w:pStyle w:val="TableContents"/>
              <w:bidi w:val="0"/>
              <w:spacing w:before="0" w:after="283"/>
              <w:jc w:val="left"/>
              <w:rPr>
                <w:sz w:val="20"/>
              </w:rPr>
            </w:pPr>
            <w:r>
              <w:rPr>
                <w:sz w:val="20"/>
              </w:rPr>
              <w:t>Warrants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45" w:type="dxa"/>
            <w:tcBorders/>
            <w:tcMar>
              <w:bottom w:w="0" w:type="dxa"/>
            </w:tcMar>
            <w:vAlign w:val="center"/>
          </w:tcPr>
          <w:p>
            <w:pPr>
              <w:pStyle w:val="TableContents"/>
              <w:bidi w:val="0"/>
              <w:spacing w:before="0" w:after="283"/>
              <w:jc w:val="right"/>
              <w:rPr>
                <w:sz w:val="20"/>
              </w:rPr>
            </w:pPr>
            <w:r>
              <w:rPr>
                <w:sz w:val="20"/>
              </w:rPr>
              <w:t>598,267</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45" w:type="dxa"/>
            <w:tcBorders/>
            <w:tcMar>
              <w:bottom w:w="0" w:type="dxa"/>
            </w:tcMar>
            <w:vAlign w:val="center"/>
          </w:tcPr>
          <w:p>
            <w:pPr>
              <w:pStyle w:val="TableContents"/>
              <w:bidi w:val="0"/>
              <w:spacing w:before="0" w:after="283"/>
              <w:jc w:val="right"/>
              <w:rPr>
                <w:sz w:val="20"/>
              </w:rPr>
            </w:pPr>
            <w:r>
              <w:rPr>
                <w:sz w:val="20"/>
              </w:rPr>
              <w:t>153,653</w:t>
            </w:r>
          </w:p>
        </w:tc>
        <w:tc>
          <w:tcPr>
            <w:tcW w:w="75" w:type="dxa"/>
            <w:tcBorders/>
            <w:tcMar>
              <w:bottom w:w="0" w:type="dxa"/>
            </w:tcMar>
            <w:vAlign w:val="center"/>
          </w:tcPr>
          <w:p>
            <w:pPr>
              <w:pStyle w:val="TableContents"/>
              <w:bidi w:val="0"/>
              <w:spacing w:before="0" w:after="283"/>
              <w:jc w:val="left"/>
              <w:rPr/>
            </w:pPr>
            <w:r>
              <w:rPr/>
              <w:t> </w:t>
            </w:r>
          </w:p>
        </w:tc>
      </w:tr>
      <w:tr>
        <w:trPr/>
        <w:tc>
          <w:tcPr>
            <w:tcW w:w="2180" w:type="dxa"/>
            <w:tcBorders/>
            <w:shd w:fill="CCEEFF" w:val="clear"/>
            <w:tcMar>
              <w:bottom w:w="0" w:type="dxa"/>
            </w:tcMar>
            <w:vAlign w:val="center"/>
          </w:tcPr>
          <w:p>
            <w:pPr>
              <w:pStyle w:val="TableContents"/>
              <w:bidi w:val="0"/>
              <w:spacing w:before="0" w:after="283"/>
              <w:jc w:val="left"/>
              <w:rPr>
                <w:sz w:val="20"/>
              </w:rPr>
            </w:pPr>
            <w:r>
              <w:rPr>
                <w:sz w:val="20"/>
              </w:rPr>
              <w:t>Stock options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845" w:type="dxa"/>
            <w:tcBorders>
              <w:bottom w:val="single" w:sz="12" w:space="0" w:color="000000"/>
            </w:tcBorders>
            <w:shd w:fill="CCEEFF" w:val="clear"/>
            <w:vAlign w:val="center"/>
          </w:tcPr>
          <w:p>
            <w:pPr>
              <w:pStyle w:val="TableContents"/>
              <w:bidi w:val="0"/>
              <w:spacing w:before="0" w:after="283"/>
              <w:jc w:val="right"/>
              <w:rPr>
                <w:sz w:val="20"/>
              </w:rPr>
            </w:pPr>
            <w:r>
              <w:rPr>
                <w:sz w:val="20"/>
              </w:rPr>
              <w:t>1,880,971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845" w:type="dxa"/>
            <w:tcBorders>
              <w:bottom w:val="single" w:sz="12" w:space="0" w:color="000000"/>
            </w:tcBorders>
            <w:shd w:fill="CCEEFF" w:val="clear"/>
            <w:vAlign w:val="center"/>
          </w:tcPr>
          <w:p>
            <w:pPr>
              <w:pStyle w:val="TableContents"/>
              <w:bidi w:val="0"/>
              <w:spacing w:before="0" w:after="283"/>
              <w:jc w:val="right"/>
              <w:rPr>
                <w:sz w:val="20"/>
              </w:rPr>
            </w:pPr>
            <w:r>
              <w:rPr>
                <w:sz w:val="20"/>
              </w:rPr>
              <w:t>993,208</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1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bottom w:val="double" w:sz="10" w:space="0" w:color="000000"/>
            </w:tcBorders>
            <w:vAlign w:val="center"/>
          </w:tcPr>
          <w:p>
            <w:pPr>
              <w:pStyle w:val="TableContents"/>
              <w:bidi w:val="0"/>
              <w:spacing w:before="0" w:after="283"/>
              <w:jc w:val="left"/>
              <w:rPr/>
            </w:pPr>
            <w:r>
              <w:rPr/>
              <w:t> </w:t>
            </w:r>
          </w:p>
        </w:tc>
        <w:tc>
          <w:tcPr>
            <w:tcW w:w="845" w:type="dxa"/>
            <w:tcBorders>
              <w:bottom w:val="double" w:sz="10" w:space="0" w:color="000000"/>
            </w:tcBorders>
            <w:vAlign w:val="center"/>
          </w:tcPr>
          <w:p>
            <w:pPr>
              <w:pStyle w:val="TableContents"/>
              <w:bidi w:val="0"/>
              <w:spacing w:before="0" w:after="283"/>
              <w:jc w:val="right"/>
              <w:rPr>
                <w:sz w:val="20"/>
              </w:rPr>
            </w:pPr>
            <w:r>
              <w:rPr>
                <w:sz w:val="20"/>
              </w:rPr>
              <w:t>2,487,515</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bottom w:val="double" w:sz="10" w:space="0" w:color="000000"/>
            </w:tcBorders>
            <w:vAlign w:val="center"/>
          </w:tcPr>
          <w:p>
            <w:pPr>
              <w:pStyle w:val="TableContents"/>
              <w:bidi w:val="0"/>
              <w:spacing w:before="0" w:after="283"/>
              <w:jc w:val="left"/>
              <w:rPr/>
            </w:pPr>
            <w:r>
              <w:rPr/>
              <w:t> </w:t>
            </w:r>
          </w:p>
        </w:tc>
        <w:tc>
          <w:tcPr>
            <w:tcW w:w="845" w:type="dxa"/>
            <w:tcBorders>
              <w:bottom w:val="double" w:sz="10" w:space="0" w:color="000000"/>
            </w:tcBorders>
            <w:vAlign w:val="center"/>
          </w:tcPr>
          <w:p>
            <w:pPr>
              <w:pStyle w:val="TableContents"/>
              <w:bidi w:val="0"/>
              <w:spacing w:before="0" w:after="283"/>
              <w:jc w:val="right"/>
              <w:rPr>
                <w:sz w:val="20"/>
              </w:rPr>
            </w:pPr>
            <w:r>
              <w:rPr>
                <w:sz w:val="20"/>
              </w:rPr>
              <w:t>1,455,148</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Revenue Recognition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Verified Software License </w:t>
      </w:r>
      <w:r>
        <w:rPr>
          <w:rFonts w:ascii="Times New Roman;Times;Serif" w:hAnsi="Times New Roman;Times;Serif"/>
          <w:b w:val="false"/>
          <w:i w:val="false"/>
          <w:caps w:val="false"/>
          <w:smallCaps w:val="false"/>
          <w:sz w:val="20"/>
        </w:rPr>
        <w:t>– The Company recognizes revenue based on the identified performance obligations over the performance period for fixed consideration and / or variable fees generated. Variable fees are typically earned over time based on monthly users, transaction volumes or a monthly flat fee rate. We allocate the selling price in a contract which has multiple performance obligations based on the contract selling price that we believe represents a fair market price for the service rendered based on estimated standalone selling price. Transaction fees are billed monthly and are constrained to transactions incurred within the month.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contracts with minimum annual fees, the Company generally recognizes the amount of revenue ratably over the contract year and records contract assets for the amount in excess of monthly contract billings relating to variable contract consideration. For certain contracts, the Company enters into an agreement which stipulates a minimum annual fee which is generally due at the end of the contract year, in excess of the amount of monthly billings. The Company may also require milestone payments of the minimum annual fee. The amount of any billed fees in excess of revenue recognized is recorded as deferred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usage-based fees in excess of the minimum contract amount are charged to the customer and allocated to the annual period in which they are earned under the contract. At the beginning of each annual period in the contract, the Company estimates the variable amounts for the annual period subject to the constrained variable consideration (usage-based fees) and recognizes that amount on a time-elapsed basis over the annual period. At each reporting date within an annual period, the Company reassesses its estimate of the excess variable amounts for the annual period and updates the amount recognized on a time-elapsed basis over the remainder of the annual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had deferred revenue contract liabilities of approximately $308,000 and $132,000 as of March 31, 2024 and December 31, 2023, respectively, for certain revenue that will be earned in future periods. All deferred revenue contract liabilities as of March 31, 2024 are expected to be earned over the next twelve months.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Remaining Performance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2024, the Company’s Remaining Performance Obligation (RPO) was $4.03 million, of which $0.31 million is held as deferred revenue and $3.73 million is related to other non-cancellable contracted amounts. The Company expects approximately 40% of the RPO to be recognized as revenue over the next twelve months ending March 31, 2025 based on contractual commitments and expected usage patterns. However, the amount and timing of revenue recognition are generally dependent upon customers’ future consumption, which is inherently variable at customers’ discretion. Furthermore, the Company does not have historical information to estimate the recognition of revenue due to its current operations and has approximated such amount based on discussions with the contracted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Deferred Contract Costs</w:t>
      </w:r>
      <w:r>
        <w:rPr>
          <w:rFonts w:ascii="Times New Roman;Times;Serif" w:hAnsi="Times New Roman;Times;Serif"/>
          <w:b w:val="false"/>
          <w:i w:val="false"/>
          <w:caps w:val="false"/>
          <w:smallCaps w:val="false"/>
          <w:sz w:val="20"/>
        </w:rPr>
        <w:t xml:space="preserve"> – We defer the portion of sales commission that is considered a cost of obtaining a new contract with a customer and amortize these deferred costs over the period of benefit. We expense the remaining sales commissions as incurred. The following table summarizes deferred contract cost activity for the three months ended March 31, 2024:</w:t>
      </w:r>
    </w:p>
    <w:p>
      <w:pPr>
        <w:pStyle w:val="TextBody"/>
        <w:bidi w:val="0"/>
        <w:spacing w:before="0" w:after="0"/>
        <w:ind w:left="0" w:right="0" w:hanging="0"/>
        <w:jc w:val="both"/>
        <w:rPr>
          <w:caps w:val="false"/>
          <w:smallCaps w:val="false"/>
        </w:rPr>
      </w:pPr>
      <w:r>
        <w:rPr>
          <w:caps w:val="false"/>
          <w:smallCaps w:val="false"/>
        </w:rPr>
        <w:t> </w:t>
      </w:r>
    </w:p>
    <w:tbl>
      <w:tblPr>
        <w:tblW w:w="4514" w:type="dxa"/>
        <w:jc w:val="left"/>
        <w:tblInd w:w="0" w:type="dxa"/>
        <w:tblLayout w:type="fixed"/>
        <w:tblCellMar>
          <w:top w:w="0" w:type="dxa"/>
          <w:left w:w="0" w:type="dxa"/>
          <w:bottom w:w="0" w:type="dxa"/>
          <w:right w:w="0" w:type="dxa"/>
        </w:tblCellMar>
      </w:tblPr>
      <w:tblGrid>
        <w:gridCol w:w="3095"/>
        <w:gridCol w:w="60"/>
        <w:gridCol w:w="192"/>
        <w:gridCol w:w="1072"/>
        <w:gridCol w:w="95"/>
      </w:tblGrid>
      <w:tr>
        <w:trPr/>
        <w:tc>
          <w:tcPr>
            <w:tcW w:w="30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64" w:type="dxa"/>
            <w:gridSpan w:val="2"/>
            <w:tcBorders/>
            <w:vAlign w:val="center"/>
          </w:tcPr>
          <w:p>
            <w:pPr>
              <w:pStyle w:val="TableContents"/>
              <w:bidi w:val="0"/>
              <w:spacing w:before="0" w:after="283"/>
              <w:jc w:val="center"/>
              <w:rPr>
                <w:b/>
                <w:sz w:val="20"/>
              </w:rPr>
            </w:pPr>
            <w:r>
              <w:rPr>
                <w:b/>
                <w:sz w:val="20"/>
              </w:rPr>
              <w:t>Deferred</w:t>
            </w:r>
          </w:p>
        </w:tc>
        <w:tc>
          <w:tcPr>
            <w:tcW w:w="95" w:type="dxa"/>
            <w:tcBorders/>
            <w:vAlign w:val="center"/>
          </w:tcPr>
          <w:p>
            <w:pPr>
              <w:pStyle w:val="TableContents"/>
              <w:bidi w:val="0"/>
              <w:spacing w:before="0" w:after="283"/>
              <w:jc w:val="left"/>
              <w:rPr/>
            </w:pPr>
            <w:r>
              <w:rPr/>
              <w:t> </w:t>
            </w:r>
          </w:p>
        </w:tc>
      </w:tr>
      <w:tr>
        <w:trPr/>
        <w:tc>
          <w:tcPr>
            <w:tcW w:w="30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64"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Contract Costs</w:t>
            </w:r>
          </w:p>
        </w:tc>
        <w:tc>
          <w:tcPr>
            <w:tcW w:w="95" w:type="dxa"/>
            <w:tcBorders/>
            <w:vAlign w:val="center"/>
          </w:tcPr>
          <w:p>
            <w:pPr>
              <w:pStyle w:val="TableContents"/>
              <w:bidi w:val="0"/>
              <w:spacing w:before="0" w:after="283"/>
              <w:jc w:val="left"/>
              <w:rPr/>
            </w:pPr>
            <w:r>
              <w:rPr/>
              <w:t> </w:t>
            </w:r>
          </w:p>
        </w:tc>
      </w:tr>
      <w:tr>
        <w:trPr/>
        <w:tc>
          <w:tcPr>
            <w:tcW w:w="30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4"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r>
      <w:tr>
        <w:trPr/>
        <w:tc>
          <w:tcPr>
            <w:tcW w:w="3095" w:type="dxa"/>
            <w:tcBorders/>
            <w:shd w:fill="CCEEFF" w:val="clear"/>
            <w:vAlign w:val="center"/>
          </w:tcPr>
          <w:p>
            <w:pPr>
              <w:pStyle w:val="TableContents"/>
              <w:bidi w:val="0"/>
              <w:spacing w:before="0" w:after="283"/>
              <w:jc w:val="left"/>
              <w:rPr>
                <w:sz w:val="20"/>
              </w:rPr>
            </w:pPr>
            <w:r>
              <w:rPr>
                <w:sz w:val="20"/>
              </w:rPr>
              <w:t>Carrying Value at December 31, 2023</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sz w:val="20"/>
              </w:rPr>
            </w:pPr>
            <w:r>
              <w:rPr>
                <w:sz w:val="20"/>
              </w:rPr>
              <w:t>$</w:t>
            </w:r>
          </w:p>
        </w:tc>
        <w:tc>
          <w:tcPr>
            <w:tcW w:w="1072" w:type="dxa"/>
            <w:tcBorders/>
            <w:shd w:fill="CCEEFF" w:val="clear"/>
            <w:vAlign w:val="center"/>
          </w:tcPr>
          <w:p>
            <w:pPr>
              <w:pStyle w:val="TableContents"/>
              <w:bidi w:val="0"/>
              <w:spacing w:before="0" w:after="283"/>
              <w:jc w:val="right"/>
              <w:rPr>
                <w:sz w:val="20"/>
              </w:rPr>
            </w:pPr>
            <w:r>
              <w:rPr>
                <w:sz w:val="20"/>
              </w:rPr>
              <w:t>157,300</w:t>
            </w:r>
          </w:p>
        </w:tc>
        <w:tc>
          <w:tcPr>
            <w:tcW w:w="95" w:type="dxa"/>
            <w:tcBorders/>
            <w:shd w:fill="CCEEFF" w:val="clear"/>
            <w:vAlign w:val="center"/>
          </w:tcPr>
          <w:p>
            <w:pPr>
              <w:pStyle w:val="TableContents"/>
              <w:bidi w:val="0"/>
              <w:spacing w:before="0" w:after="283"/>
              <w:jc w:val="left"/>
              <w:rPr/>
            </w:pPr>
            <w:r>
              <w:rPr/>
              <w:t> </w:t>
            </w:r>
          </w:p>
        </w:tc>
      </w:tr>
      <w:tr>
        <w:trPr/>
        <w:tc>
          <w:tcPr>
            <w:tcW w:w="3095" w:type="dxa"/>
            <w:tcBorders/>
            <w:vAlign w:val="center"/>
          </w:tcPr>
          <w:p>
            <w:pPr>
              <w:pStyle w:val="TableContents"/>
              <w:bidi w:val="0"/>
              <w:spacing w:before="0" w:after="283"/>
              <w:jc w:val="left"/>
              <w:rPr>
                <w:sz w:val="20"/>
              </w:rPr>
            </w:pPr>
            <w:r>
              <w:rPr>
                <w:sz w:val="20"/>
              </w:rPr>
              <w:t>Additions</w:t>
            </w:r>
          </w:p>
        </w:tc>
        <w:tc>
          <w:tcPr>
            <w:tcW w:w="6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1072" w:type="dxa"/>
            <w:tcBorders/>
            <w:vAlign w:val="center"/>
          </w:tcPr>
          <w:p>
            <w:pPr>
              <w:pStyle w:val="TableContents"/>
              <w:bidi w:val="0"/>
              <w:spacing w:before="0" w:after="283"/>
              <w:jc w:val="right"/>
              <w:rPr>
                <w:sz w:val="20"/>
              </w:rPr>
            </w:pPr>
            <w:r>
              <w:rPr>
                <w:sz w:val="20"/>
              </w:rPr>
              <w:t>5,850</w:t>
            </w:r>
          </w:p>
        </w:tc>
        <w:tc>
          <w:tcPr>
            <w:tcW w:w="95" w:type="dxa"/>
            <w:tcBorders/>
            <w:vAlign w:val="center"/>
          </w:tcPr>
          <w:p>
            <w:pPr>
              <w:pStyle w:val="TableContents"/>
              <w:bidi w:val="0"/>
              <w:spacing w:before="0" w:after="283"/>
              <w:jc w:val="left"/>
              <w:rPr/>
            </w:pPr>
            <w:r>
              <w:rPr/>
              <w:t> </w:t>
            </w:r>
          </w:p>
        </w:tc>
      </w:tr>
      <w:tr>
        <w:trPr/>
        <w:tc>
          <w:tcPr>
            <w:tcW w:w="3095" w:type="dxa"/>
            <w:tcBorders/>
            <w:shd w:fill="CCEEFF" w:val="clear"/>
            <w:vAlign w:val="center"/>
          </w:tcPr>
          <w:p>
            <w:pPr>
              <w:pStyle w:val="TableContents"/>
              <w:bidi w:val="0"/>
              <w:spacing w:before="0" w:after="283"/>
              <w:jc w:val="left"/>
              <w:rPr>
                <w:sz w:val="20"/>
              </w:rPr>
            </w:pPr>
            <w:r>
              <w:rPr>
                <w:sz w:val="20"/>
              </w:rPr>
              <w:t>Amortization</w:t>
            </w:r>
          </w:p>
        </w:tc>
        <w:tc>
          <w:tcPr>
            <w:tcW w:w="60" w:type="dxa"/>
            <w:tcBorders/>
            <w:shd w:fill="CCEEFF" w:val="clear"/>
            <w:vAlign w:val="center"/>
          </w:tcPr>
          <w:p>
            <w:pPr>
              <w:pStyle w:val="TableContents"/>
              <w:bidi w:val="0"/>
              <w:spacing w:before="0" w:after="283"/>
              <w:jc w:val="left"/>
              <w:rPr/>
            </w:pPr>
            <w:r>
              <w:rPr/>
              <w:t> </w:t>
            </w:r>
          </w:p>
        </w:tc>
        <w:tc>
          <w:tcPr>
            <w:tcW w:w="19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72" w:type="dxa"/>
            <w:tcBorders>
              <w:bottom w:val="single" w:sz="12" w:space="0" w:color="000000"/>
            </w:tcBorders>
            <w:shd w:fill="CCEEFF" w:val="clear"/>
            <w:tcMar>
              <w:bottom w:w="28" w:type="dxa"/>
            </w:tcMar>
            <w:vAlign w:val="center"/>
          </w:tcPr>
          <w:p>
            <w:pPr>
              <w:pStyle w:val="TableContents"/>
              <w:bidi w:val="0"/>
              <w:spacing w:before="0" w:after="283"/>
              <w:jc w:val="right"/>
              <w:rPr>
                <w:sz w:val="20"/>
              </w:rPr>
            </w:pPr>
            <w:r>
              <w:rPr>
                <w:sz w:val="20"/>
              </w:rPr>
              <w:t>(2,432</w:t>
            </w:r>
          </w:p>
        </w:tc>
        <w:tc>
          <w:tcPr>
            <w:tcW w:w="95" w:type="dxa"/>
            <w:tcBorders/>
            <w:shd w:fill="CCEEFF" w:val="clear"/>
            <w:vAlign w:val="center"/>
          </w:tcPr>
          <w:p>
            <w:pPr>
              <w:pStyle w:val="TableContents"/>
              <w:bidi w:val="0"/>
              <w:spacing w:before="0" w:after="283"/>
              <w:jc w:val="left"/>
              <w:rPr>
                <w:sz w:val="20"/>
              </w:rPr>
            </w:pPr>
            <w:r>
              <w:rPr>
                <w:sz w:val="20"/>
              </w:rPr>
              <w:t>)</w:t>
            </w:r>
          </w:p>
        </w:tc>
      </w:tr>
      <w:tr>
        <w:trPr/>
        <w:tc>
          <w:tcPr>
            <w:tcW w:w="3095" w:type="dxa"/>
            <w:tcBorders/>
            <w:vAlign w:val="center"/>
          </w:tcPr>
          <w:p>
            <w:pPr>
              <w:pStyle w:val="TableContents"/>
              <w:bidi w:val="0"/>
              <w:spacing w:before="0" w:after="283"/>
              <w:jc w:val="left"/>
              <w:rPr>
                <w:sz w:val="20"/>
              </w:rPr>
            </w:pPr>
            <w:r>
              <w:rPr>
                <w:sz w:val="20"/>
              </w:rPr>
              <w:t>Carrying Value at March 31, 2024</w:t>
            </w:r>
          </w:p>
        </w:tc>
        <w:tc>
          <w:tcPr>
            <w:tcW w:w="60" w:type="dxa"/>
            <w:tcBorders/>
            <w:vAlign w:val="center"/>
          </w:tcPr>
          <w:p>
            <w:pPr>
              <w:pStyle w:val="TableContents"/>
              <w:bidi w:val="0"/>
              <w:spacing w:before="0" w:after="283"/>
              <w:jc w:val="left"/>
              <w:rPr/>
            </w:pPr>
            <w:r>
              <w:rPr/>
              <w:t> </w:t>
            </w:r>
          </w:p>
        </w:tc>
        <w:tc>
          <w:tcPr>
            <w:tcW w:w="192" w:type="dxa"/>
            <w:tcBorders>
              <w:bottom w:val="double" w:sz="10" w:space="0" w:color="000000"/>
            </w:tcBorders>
            <w:tcMar>
              <w:bottom w:w="28" w:type="dxa"/>
            </w:tcMar>
            <w:vAlign w:val="center"/>
          </w:tcPr>
          <w:p>
            <w:pPr>
              <w:pStyle w:val="TableContents"/>
              <w:bidi w:val="0"/>
              <w:spacing w:before="0" w:after="283"/>
              <w:jc w:val="left"/>
              <w:rPr>
                <w:sz w:val="20"/>
              </w:rPr>
            </w:pPr>
            <w:r>
              <w:rPr>
                <w:sz w:val="20"/>
              </w:rPr>
              <w:t>$</w:t>
            </w:r>
          </w:p>
        </w:tc>
        <w:tc>
          <w:tcPr>
            <w:tcW w:w="1072" w:type="dxa"/>
            <w:tcBorders>
              <w:bottom w:val="double" w:sz="10" w:space="0" w:color="000000"/>
            </w:tcBorders>
            <w:tcMar>
              <w:bottom w:w="28" w:type="dxa"/>
            </w:tcMar>
            <w:vAlign w:val="center"/>
          </w:tcPr>
          <w:p>
            <w:pPr>
              <w:pStyle w:val="TableContents"/>
              <w:bidi w:val="0"/>
              <w:spacing w:before="0" w:after="283"/>
              <w:jc w:val="right"/>
              <w:rPr>
                <w:sz w:val="20"/>
              </w:rPr>
            </w:pPr>
            <w:r>
              <w:rPr>
                <w:sz w:val="20"/>
              </w:rPr>
              <w:t>160,718</w:t>
            </w:r>
          </w:p>
        </w:tc>
        <w:tc>
          <w:tcPr>
            <w:tcW w:w="9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 OTHER CURRENT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current assets consisted of the following at March 31, 2024 (unaudited) and December 31, 2023:</w:t>
      </w:r>
    </w:p>
    <w:p>
      <w:pPr>
        <w:pStyle w:val="TextBody"/>
        <w:bidi w:val="0"/>
        <w:spacing w:before="0" w:after="0"/>
        <w:ind w:left="0" w:right="0" w:hanging="0"/>
        <w:jc w:val="both"/>
        <w:rPr>
          <w:caps w:val="false"/>
          <w:smallCaps w:val="false"/>
        </w:rPr>
      </w:pPr>
      <w:r>
        <w:rPr>
          <w:caps w:val="false"/>
          <w:smallCaps w:val="false"/>
        </w:rPr>
        <w:t> </w:t>
      </w:r>
    </w:p>
    <w:tbl>
      <w:tblPr>
        <w:tblW w:w="4558" w:type="dxa"/>
        <w:jc w:val="left"/>
        <w:tblInd w:w="0" w:type="dxa"/>
        <w:tblLayout w:type="fixed"/>
        <w:tblCellMar>
          <w:top w:w="0" w:type="dxa"/>
          <w:left w:w="0" w:type="dxa"/>
          <w:bottom w:w="0" w:type="dxa"/>
          <w:right w:w="0" w:type="dxa"/>
        </w:tblCellMar>
      </w:tblPr>
      <w:tblGrid>
        <w:gridCol w:w="2240"/>
        <w:gridCol w:w="60"/>
        <w:gridCol w:w="134"/>
        <w:gridCol w:w="755"/>
        <w:gridCol w:w="60"/>
        <w:gridCol w:w="60"/>
        <w:gridCol w:w="178"/>
        <w:gridCol w:w="996"/>
        <w:gridCol w:w="75"/>
      </w:tblGrid>
      <w:tr>
        <w:trPr/>
        <w:tc>
          <w:tcPr>
            <w:tcW w:w="22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9" w:type="dxa"/>
            <w:gridSpan w:val="2"/>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center"/>
              <w:rPr>
                <w:b/>
                <w:sz w:val="20"/>
              </w:rPr>
            </w:pPr>
            <w:r>
              <w:rPr>
                <w:b/>
                <w:sz w:val="20"/>
              </w:rPr>
              <w:t>December 31,</w:t>
            </w:r>
          </w:p>
        </w:tc>
        <w:tc>
          <w:tcPr>
            <w:tcW w:w="75" w:type="dxa"/>
            <w:tcBorders/>
            <w:vAlign w:val="center"/>
          </w:tcPr>
          <w:p>
            <w:pPr>
              <w:pStyle w:val="TableContents"/>
              <w:bidi w:val="0"/>
              <w:spacing w:before="0" w:after="283"/>
              <w:jc w:val="left"/>
              <w:rPr/>
            </w:pPr>
            <w:r>
              <w:rPr/>
              <w:t> </w:t>
            </w:r>
          </w:p>
        </w:tc>
      </w:tr>
      <w:tr>
        <w:trPr/>
        <w:tc>
          <w:tcPr>
            <w:tcW w:w="22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89"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2023</w:t>
            </w:r>
          </w:p>
        </w:tc>
        <w:tc>
          <w:tcPr>
            <w:tcW w:w="75" w:type="dxa"/>
            <w:tcBorders/>
            <w:vAlign w:val="center"/>
          </w:tcPr>
          <w:p>
            <w:pPr>
              <w:pStyle w:val="TableContents"/>
              <w:bidi w:val="0"/>
              <w:spacing w:before="0" w:after="283"/>
              <w:jc w:val="left"/>
              <w:rPr/>
            </w:pPr>
            <w:r>
              <w:rPr/>
              <w:t> </w:t>
            </w:r>
          </w:p>
        </w:tc>
      </w:tr>
      <w:tr>
        <w:trPr/>
        <w:tc>
          <w:tcPr>
            <w:tcW w:w="22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9"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240" w:type="dxa"/>
            <w:tcBorders/>
            <w:shd w:fill="CCEEFF" w:val="clear"/>
            <w:vAlign w:val="center"/>
          </w:tcPr>
          <w:p>
            <w:pPr>
              <w:pStyle w:val="TableContents"/>
              <w:bidi w:val="0"/>
              <w:spacing w:before="0" w:after="283"/>
              <w:jc w:val="left"/>
              <w:rPr>
                <w:sz w:val="20"/>
              </w:rPr>
            </w:pPr>
            <w:r>
              <w:rPr>
                <w:sz w:val="20"/>
              </w:rPr>
              <w:t>Prepaid insurance</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sz w:val="20"/>
              </w:rPr>
            </w:pPr>
            <w:r>
              <w:rPr>
                <w:sz w:val="20"/>
              </w:rPr>
              <w:t>$</w:t>
            </w:r>
          </w:p>
        </w:tc>
        <w:tc>
          <w:tcPr>
            <w:tcW w:w="755" w:type="dxa"/>
            <w:tcBorders/>
            <w:shd w:fill="CCEEFF" w:val="clear"/>
            <w:vAlign w:val="center"/>
          </w:tcPr>
          <w:p>
            <w:pPr>
              <w:pStyle w:val="TableContents"/>
              <w:bidi w:val="0"/>
              <w:spacing w:before="0" w:after="283"/>
              <w:jc w:val="right"/>
              <w:rPr>
                <w:sz w:val="20"/>
              </w:rPr>
            </w:pPr>
            <w:r>
              <w:rPr>
                <w:sz w:val="20"/>
              </w:rPr>
              <w:t>73,797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sz w:val="20"/>
              </w:rPr>
            </w:pPr>
            <w:r>
              <w:rPr>
                <w:sz w:val="20"/>
              </w:rPr>
              <w:t>$</w:t>
            </w:r>
          </w:p>
        </w:tc>
        <w:tc>
          <w:tcPr>
            <w:tcW w:w="996" w:type="dxa"/>
            <w:tcBorders/>
            <w:shd w:fill="CCEEFF" w:val="clear"/>
            <w:vAlign w:val="center"/>
          </w:tcPr>
          <w:p>
            <w:pPr>
              <w:pStyle w:val="TableContents"/>
              <w:bidi w:val="0"/>
              <w:spacing w:before="0" w:after="283"/>
              <w:jc w:val="right"/>
              <w:rPr>
                <w:sz w:val="20"/>
              </w:rPr>
            </w:pPr>
            <w:r>
              <w:rPr>
                <w:sz w:val="20"/>
              </w:rPr>
              <w:t>184,492</w:t>
            </w:r>
          </w:p>
        </w:tc>
        <w:tc>
          <w:tcPr>
            <w:tcW w:w="75" w:type="dxa"/>
            <w:tcBorders/>
            <w:shd w:fill="CCEEFF" w:val="clear"/>
            <w:vAlign w:val="center"/>
          </w:tcPr>
          <w:p>
            <w:pPr>
              <w:pStyle w:val="TableContents"/>
              <w:bidi w:val="0"/>
              <w:spacing w:before="0" w:after="283"/>
              <w:jc w:val="left"/>
              <w:rPr/>
            </w:pPr>
            <w:r>
              <w:rPr/>
              <w:t> </w:t>
            </w:r>
          </w:p>
        </w:tc>
      </w:tr>
      <w:tr>
        <w:trPr/>
        <w:tc>
          <w:tcPr>
            <w:tcW w:w="2240" w:type="dxa"/>
            <w:tcBorders/>
            <w:vAlign w:val="center"/>
          </w:tcPr>
          <w:p>
            <w:pPr>
              <w:pStyle w:val="TableContents"/>
              <w:bidi w:val="0"/>
              <w:spacing w:before="0" w:after="283"/>
              <w:jc w:val="left"/>
              <w:rPr>
                <w:sz w:val="20"/>
              </w:rPr>
            </w:pPr>
            <w:r>
              <w:rPr>
                <w:sz w:val="20"/>
              </w:rPr>
              <w:t>Prepaid third party services</w:t>
            </w:r>
          </w:p>
        </w:tc>
        <w:tc>
          <w:tcPr>
            <w:tcW w:w="60" w:type="dxa"/>
            <w:tcBorders/>
            <w:vAlign w:val="center"/>
          </w:tcPr>
          <w:p>
            <w:pPr>
              <w:pStyle w:val="TableContents"/>
              <w:bidi w:val="0"/>
              <w:spacing w:before="0" w:after="283"/>
              <w:jc w:val="left"/>
              <w:rPr/>
            </w:pPr>
            <w:r>
              <w:rPr/>
              <w:t> </w:t>
            </w:r>
          </w:p>
        </w:tc>
        <w:tc>
          <w:tcPr>
            <w:tcW w:w="134" w:type="dxa"/>
            <w:tcBorders>
              <w:bottom w:val="single" w:sz="12" w:space="0" w:color="000000"/>
            </w:tcBorders>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tcMar>
              <w:bottom w:w="28" w:type="dxa"/>
            </w:tcMar>
            <w:vAlign w:val="center"/>
          </w:tcPr>
          <w:p>
            <w:pPr>
              <w:pStyle w:val="TableContents"/>
              <w:bidi w:val="0"/>
              <w:spacing w:before="0" w:after="283"/>
              <w:jc w:val="right"/>
              <w:rPr>
                <w:sz w:val="20"/>
              </w:rPr>
            </w:pPr>
            <w:r>
              <w:rPr>
                <w:sz w:val="20"/>
              </w:rPr>
              <w:t>411,801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8" w:type="dxa"/>
            <w:tcBorders>
              <w:bottom w:val="single" w:sz="12" w:space="0" w:color="000000"/>
            </w:tcBorders>
            <w:tcMar>
              <w:bottom w:w="28" w:type="dxa"/>
            </w:tcMar>
            <w:vAlign w:val="center"/>
          </w:tcPr>
          <w:p>
            <w:pPr>
              <w:pStyle w:val="TableContents"/>
              <w:bidi w:val="0"/>
              <w:spacing w:before="0" w:after="283"/>
              <w:jc w:val="left"/>
              <w:rPr/>
            </w:pPr>
            <w:r>
              <w:rPr/>
              <w:t> </w:t>
            </w:r>
          </w:p>
        </w:tc>
        <w:tc>
          <w:tcPr>
            <w:tcW w:w="996" w:type="dxa"/>
            <w:tcBorders>
              <w:bottom w:val="single" w:sz="12" w:space="0" w:color="000000"/>
            </w:tcBorders>
            <w:tcMar>
              <w:bottom w:w="28" w:type="dxa"/>
            </w:tcMar>
            <w:vAlign w:val="center"/>
          </w:tcPr>
          <w:p>
            <w:pPr>
              <w:pStyle w:val="TableContents"/>
              <w:bidi w:val="0"/>
              <w:spacing w:before="0" w:after="283"/>
              <w:jc w:val="right"/>
              <w:rPr>
                <w:sz w:val="20"/>
              </w:rPr>
            </w:pPr>
            <w:r>
              <w:rPr>
                <w:sz w:val="20"/>
              </w:rPr>
              <w:t>291,512</w:t>
            </w:r>
          </w:p>
        </w:tc>
        <w:tc>
          <w:tcPr>
            <w:tcW w:w="75" w:type="dxa"/>
            <w:tcBorders/>
            <w:vAlign w:val="center"/>
          </w:tcPr>
          <w:p>
            <w:pPr>
              <w:pStyle w:val="TableContents"/>
              <w:bidi w:val="0"/>
              <w:spacing w:before="0" w:after="283"/>
              <w:jc w:val="left"/>
              <w:rPr/>
            </w:pPr>
            <w:r>
              <w:rPr/>
              <w:t> </w:t>
            </w:r>
          </w:p>
        </w:tc>
      </w:tr>
      <w:tr>
        <w:trPr/>
        <w:tc>
          <w:tcPr>
            <w:tcW w:w="22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bottom w:val="double" w:sz="10"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755" w:type="dxa"/>
            <w:tcBorders>
              <w:bottom w:val="double" w:sz="10" w:space="0" w:color="000000"/>
            </w:tcBorders>
            <w:shd w:fill="CCEEFF" w:val="clear"/>
            <w:tcMar>
              <w:bottom w:w="28" w:type="dxa"/>
            </w:tcMar>
            <w:vAlign w:val="center"/>
          </w:tcPr>
          <w:p>
            <w:pPr>
              <w:pStyle w:val="TableContents"/>
              <w:bidi w:val="0"/>
              <w:spacing w:before="0" w:after="283"/>
              <w:jc w:val="right"/>
              <w:rPr>
                <w:sz w:val="20"/>
              </w:rPr>
            </w:pPr>
            <w:r>
              <w:rPr>
                <w:sz w:val="20"/>
              </w:rPr>
              <w:t>485,598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bottom w:val="double" w:sz="10"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996" w:type="dxa"/>
            <w:tcBorders>
              <w:bottom w:val="double" w:sz="10" w:space="0" w:color="000000"/>
            </w:tcBorders>
            <w:shd w:fill="CCEEFF" w:val="clear"/>
            <w:tcMar>
              <w:bottom w:w="28" w:type="dxa"/>
            </w:tcMar>
            <w:vAlign w:val="center"/>
          </w:tcPr>
          <w:p>
            <w:pPr>
              <w:pStyle w:val="TableContents"/>
              <w:bidi w:val="0"/>
              <w:spacing w:before="0" w:after="283"/>
              <w:jc w:val="right"/>
              <w:rPr>
                <w:sz w:val="20"/>
              </w:rPr>
            </w:pPr>
            <w:r>
              <w:rPr>
                <w:sz w:val="20"/>
              </w:rPr>
              <w:t>476,004</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3 – INTANGIBLE ASSETS, NET (OTHER THAN GOODWILL)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intangible assets primarily consist of acquired and developed software that is being amortized over their estimated useful lives as indicated below. The following is a summary of activity related to intangible assets for the three months ended March 31, 2024 (unaudited):</w:t>
      </w:r>
    </w:p>
    <w:p>
      <w:pPr>
        <w:pStyle w:val="TextBody"/>
        <w:bidi w:val="0"/>
        <w:spacing w:before="0" w:after="0"/>
        <w:ind w:left="0" w:right="0" w:hanging="0"/>
        <w:jc w:val="both"/>
        <w:rPr>
          <w:caps w:val="false"/>
          <w:smallCaps w:val="false"/>
        </w:rPr>
      </w:pPr>
      <w:r>
        <w:rPr>
          <w:caps w:val="false"/>
          <w:smallCaps w:val="false"/>
        </w:rPr>
        <w:t> </w:t>
      </w:r>
    </w:p>
    <w:tbl>
      <w:tblPr>
        <w:tblW w:w="6329" w:type="dxa"/>
        <w:jc w:val="left"/>
        <w:tblInd w:w="0" w:type="dxa"/>
        <w:tblLayout w:type="fixed"/>
        <w:tblCellMar>
          <w:top w:w="0" w:type="dxa"/>
          <w:left w:w="0" w:type="dxa"/>
          <w:bottom w:w="0" w:type="dxa"/>
          <w:right w:w="0" w:type="dxa"/>
        </w:tblCellMar>
      </w:tblPr>
      <w:tblGrid>
        <w:gridCol w:w="3095"/>
        <w:gridCol w:w="60"/>
        <w:gridCol w:w="176"/>
        <w:gridCol w:w="983"/>
        <w:gridCol w:w="80"/>
        <w:gridCol w:w="60"/>
        <w:gridCol w:w="125"/>
        <w:gridCol w:w="695"/>
        <w:gridCol w:w="80"/>
        <w:gridCol w:w="60"/>
        <w:gridCol w:w="125"/>
        <w:gridCol w:w="695"/>
        <w:gridCol w:w="95"/>
      </w:tblGrid>
      <w:tr>
        <w:trPr/>
        <w:tc>
          <w:tcPr>
            <w:tcW w:w="30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59" w:type="dxa"/>
            <w:gridSpan w:val="2"/>
            <w:tcBorders/>
            <w:vAlign w:val="center"/>
          </w:tcPr>
          <w:p>
            <w:pPr>
              <w:pStyle w:val="TableContents"/>
              <w:bidi w:val="0"/>
              <w:spacing w:before="0" w:after="283"/>
              <w:jc w:val="center"/>
              <w:rPr>
                <w:b/>
                <w:sz w:val="20"/>
              </w:rPr>
            </w:pPr>
            <w:r>
              <w:rPr>
                <w:b/>
                <w:sz w:val="20"/>
              </w:rPr>
              <w:t>Acquired and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r>
      <w:tr>
        <w:trPr/>
        <w:tc>
          <w:tcPr>
            <w:tcW w:w="30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59" w:type="dxa"/>
            <w:gridSpan w:val="2"/>
            <w:tcBorders/>
            <w:vAlign w:val="center"/>
          </w:tcPr>
          <w:p>
            <w:pPr>
              <w:pStyle w:val="TableContents"/>
              <w:bidi w:val="0"/>
              <w:spacing w:before="0" w:after="283"/>
              <w:jc w:val="center"/>
              <w:rPr>
                <w:b/>
                <w:sz w:val="20"/>
              </w:rPr>
            </w:pPr>
            <w:r>
              <w:rPr>
                <w:b/>
                <w:sz w:val="20"/>
              </w:rPr>
              <w:t>Developed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r>
      <w:tr>
        <w:trPr/>
        <w:tc>
          <w:tcPr>
            <w:tcW w:w="30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59"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Software</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Patents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Total</w:t>
            </w:r>
          </w:p>
        </w:tc>
        <w:tc>
          <w:tcPr>
            <w:tcW w:w="95" w:type="dxa"/>
            <w:tcBorders/>
            <w:vAlign w:val="center"/>
          </w:tcPr>
          <w:p>
            <w:pPr>
              <w:pStyle w:val="TableContents"/>
              <w:bidi w:val="0"/>
              <w:spacing w:before="0" w:after="283"/>
              <w:jc w:val="left"/>
              <w:rPr/>
            </w:pPr>
            <w:r>
              <w:rPr/>
              <w:t> </w:t>
            </w:r>
          </w:p>
        </w:tc>
      </w:tr>
      <w:tr>
        <w:trPr/>
        <w:tc>
          <w:tcPr>
            <w:tcW w:w="30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9"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r>
      <w:tr>
        <w:trPr/>
        <w:tc>
          <w:tcPr>
            <w:tcW w:w="3095" w:type="dxa"/>
            <w:tcBorders/>
            <w:shd w:fill="CCEEFF" w:val="clear"/>
            <w:vAlign w:val="center"/>
          </w:tcPr>
          <w:p>
            <w:pPr>
              <w:pStyle w:val="TableContents"/>
              <w:bidi w:val="0"/>
              <w:spacing w:before="0" w:after="283"/>
              <w:jc w:val="left"/>
              <w:rPr>
                <w:sz w:val="20"/>
              </w:rPr>
            </w:pPr>
            <w:r>
              <w:rPr>
                <w:sz w:val="20"/>
              </w:rPr>
              <w:t>Useful Lives</w:t>
            </w:r>
          </w:p>
        </w:tc>
        <w:tc>
          <w:tcPr>
            <w:tcW w:w="60" w:type="dxa"/>
            <w:tcBorders/>
            <w:shd w:fill="CCEEFF" w:val="clear"/>
            <w:vAlign w:val="center"/>
          </w:tcPr>
          <w:p>
            <w:pPr>
              <w:pStyle w:val="TableContents"/>
              <w:bidi w:val="0"/>
              <w:spacing w:before="0" w:after="283"/>
              <w:jc w:val="left"/>
              <w:rPr/>
            </w:pPr>
            <w:r>
              <w:rPr/>
              <w:t> </w:t>
            </w:r>
          </w:p>
        </w:tc>
        <w:tc>
          <w:tcPr>
            <w:tcW w:w="1159" w:type="dxa"/>
            <w:gridSpan w:val="2"/>
            <w:tcBorders/>
            <w:shd w:fill="CCEEFF" w:val="clear"/>
            <w:vAlign w:val="center"/>
          </w:tcPr>
          <w:p>
            <w:pPr>
              <w:pStyle w:val="TableContents"/>
              <w:bidi w:val="0"/>
              <w:spacing w:before="0" w:after="283"/>
              <w:jc w:val="center"/>
              <w:rPr>
                <w:sz w:val="20"/>
              </w:rPr>
            </w:pPr>
            <w:r>
              <w:rPr>
                <w:sz w:val="20"/>
              </w:rPr>
              <w:t>5 Years</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20" w:type="dxa"/>
            <w:gridSpan w:val="2"/>
            <w:tcBorders/>
            <w:shd w:fill="CCEEFF" w:val="clear"/>
            <w:vAlign w:val="center"/>
          </w:tcPr>
          <w:p>
            <w:pPr>
              <w:pStyle w:val="TableContents"/>
              <w:bidi w:val="0"/>
              <w:spacing w:before="0" w:after="283"/>
              <w:jc w:val="center"/>
              <w:rPr>
                <w:sz w:val="20"/>
              </w:rPr>
            </w:pPr>
            <w:r>
              <w:rPr>
                <w:sz w:val="20"/>
              </w:rPr>
              <w:t>10 Years</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0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983"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r>
      <w:tr>
        <w:trPr/>
        <w:tc>
          <w:tcPr>
            <w:tcW w:w="3095" w:type="dxa"/>
            <w:tcBorders/>
            <w:shd w:fill="CCEEFF" w:val="clear"/>
            <w:vAlign w:val="center"/>
          </w:tcPr>
          <w:p>
            <w:pPr>
              <w:pStyle w:val="TableContents"/>
              <w:bidi w:val="0"/>
              <w:spacing w:before="0" w:after="283"/>
              <w:jc w:val="left"/>
              <w:rPr>
                <w:sz w:val="20"/>
              </w:rPr>
            </w:pPr>
            <w:r>
              <w:rPr>
                <w:sz w:val="20"/>
              </w:rPr>
              <w:t>Carrying Value at December 31, 2023</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sz w:val="20"/>
              </w:rPr>
            </w:pPr>
            <w:r>
              <w:rPr>
                <w:sz w:val="20"/>
              </w:rPr>
              <w:t>$</w:t>
            </w:r>
          </w:p>
        </w:tc>
        <w:tc>
          <w:tcPr>
            <w:tcW w:w="983" w:type="dxa"/>
            <w:tcBorders/>
            <w:shd w:fill="CCEEFF" w:val="clear"/>
            <w:vAlign w:val="center"/>
          </w:tcPr>
          <w:p>
            <w:pPr>
              <w:pStyle w:val="TableContents"/>
              <w:bidi w:val="0"/>
              <w:spacing w:before="0" w:after="283"/>
              <w:jc w:val="right"/>
              <w:rPr>
                <w:sz w:val="20"/>
              </w:rPr>
            </w:pPr>
            <w:r>
              <w:rPr>
                <w:sz w:val="20"/>
              </w:rPr>
              <w:t>212,798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695" w:type="dxa"/>
            <w:tcBorders/>
            <w:shd w:fill="CCEEFF" w:val="clear"/>
            <w:vAlign w:val="center"/>
          </w:tcPr>
          <w:p>
            <w:pPr>
              <w:pStyle w:val="TableContents"/>
              <w:bidi w:val="0"/>
              <w:spacing w:before="0" w:after="283"/>
              <w:jc w:val="right"/>
              <w:rPr>
                <w:sz w:val="20"/>
              </w:rPr>
            </w:pPr>
            <w:r>
              <w:rPr>
                <w:sz w:val="20"/>
              </w:rPr>
              <w:t>114,203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695" w:type="dxa"/>
            <w:tcBorders/>
            <w:shd w:fill="CCEEFF" w:val="clear"/>
            <w:vAlign w:val="center"/>
          </w:tcPr>
          <w:p>
            <w:pPr>
              <w:pStyle w:val="TableContents"/>
              <w:bidi w:val="0"/>
              <w:spacing w:before="0" w:after="283"/>
              <w:jc w:val="right"/>
              <w:rPr>
                <w:sz w:val="20"/>
              </w:rPr>
            </w:pPr>
            <w:r>
              <w:rPr>
                <w:sz w:val="20"/>
              </w:rPr>
              <w:t>327,001</w:t>
            </w:r>
          </w:p>
        </w:tc>
        <w:tc>
          <w:tcPr>
            <w:tcW w:w="95" w:type="dxa"/>
            <w:tcBorders/>
            <w:shd w:fill="CCEEFF" w:val="clear"/>
            <w:vAlign w:val="center"/>
          </w:tcPr>
          <w:p>
            <w:pPr>
              <w:pStyle w:val="TableContents"/>
              <w:bidi w:val="0"/>
              <w:spacing w:before="0" w:after="283"/>
              <w:jc w:val="left"/>
              <w:rPr/>
            </w:pPr>
            <w:r>
              <w:rPr/>
              <w:t> </w:t>
            </w:r>
          </w:p>
        </w:tc>
      </w:tr>
      <w:tr>
        <w:trPr/>
        <w:tc>
          <w:tcPr>
            <w:tcW w:w="3095" w:type="dxa"/>
            <w:tcBorders/>
            <w:vAlign w:val="center"/>
          </w:tcPr>
          <w:p>
            <w:pPr>
              <w:pStyle w:val="TableContents"/>
              <w:bidi w:val="0"/>
              <w:spacing w:before="0" w:after="283"/>
              <w:jc w:val="left"/>
              <w:rPr>
                <w:sz w:val="20"/>
              </w:rPr>
            </w:pPr>
            <w:r>
              <w:rPr>
                <w:sz w:val="20"/>
              </w:rPr>
              <w:t>Amortization</w:t>
            </w:r>
          </w:p>
        </w:tc>
        <w:tc>
          <w:tcPr>
            <w:tcW w:w="60" w:type="dxa"/>
            <w:tcBorders/>
            <w:vAlign w:val="center"/>
          </w:tcPr>
          <w:p>
            <w:pPr>
              <w:pStyle w:val="TableContents"/>
              <w:bidi w:val="0"/>
              <w:spacing w:before="0" w:after="283"/>
              <w:jc w:val="left"/>
              <w:rPr/>
            </w:pPr>
            <w:r>
              <w:rPr/>
              <w:t> </w:t>
            </w:r>
          </w:p>
        </w:tc>
        <w:tc>
          <w:tcPr>
            <w:tcW w:w="176" w:type="dxa"/>
            <w:tcBorders>
              <w:bottom w:val="single" w:sz="12" w:space="0" w:color="000000"/>
            </w:tcBorders>
            <w:tcMar>
              <w:bottom w:w="28" w:type="dxa"/>
            </w:tcMar>
            <w:vAlign w:val="center"/>
          </w:tcPr>
          <w:p>
            <w:pPr>
              <w:pStyle w:val="TableContents"/>
              <w:bidi w:val="0"/>
              <w:spacing w:before="0" w:after="283"/>
              <w:jc w:val="left"/>
              <w:rPr/>
            </w:pPr>
            <w:r>
              <w:rPr/>
              <w:t> </w:t>
            </w:r>
          </w:p>
        </w:tc>
        <w:tc>
          <w:tcPr>
            <w:tcW w:w="983" w:type="dxa"/>
            <w:tcBorders>
              <w:bottom w:val="single" w:sz="12" w:space="0" w:color="000000"/>
            </w:tcBorders>
            <w:tcMar>
              <w:bottom w:w="28" w:type="dxa"/>
            </w:tcMar>
            <w:vAlign w:val="center"/>
          </w:tcPr>
          <w:p>
            <w:pPr>
              <w:pStyle w:val="TableContents"/>
              <w:bidi w:val="0"/>
              <w:spacing w:before="0" w:after="283"/>
              <w:jc w:val="right"/>
              <w:rPr>
                <w:sz w:val="20"/>
              </w:rPr>
            </w:pPr>
            <w:r>
              <w:rPr>
                <w:sz w:val="20"/>
              </w:rPr>
              <w:t>(39,293</w:t>
            </w:r>
          </w:p>
        </w:tc>
        <w:tc>
          <w:tcPr>
            <w:tcW w:w="80" w:type="dxa"/>
            <w:tcBorders/>
            <w:vAlign w:val="center"/>
          </w:tcPr>
          <w:p>
            <w:pPr>
              <w:pStyle w:val="TableContents"/>
              <w:bidi w:val="0"/>
              <w:spacing w:before="0" w:after="283"/>
              <w:jc w:val="left"/>
              <w:rPr>
                <w:sz w:val="20"/>
              </w:rPr>
            </w:pPr>
            <w:r>
              <w:rPr>
                <w:sz w:val="20"/>
              </w:rPr>
              <w:t>)</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695" w:type="dxa"/>
            <w:tcBorders>
              <w:bottom w:val="single" w:sz="12" w:space="0" w:color="000000"/>
            </w:tcBorders>
            <w:tcMar>
              <w:bottom w:w="28" w:type="dxa"/>
            </w:tcMar>
            <w:vAlign w:val="center"/>
          </w:tcPr>
          <w:p>
            <w:pPr>
              <w:pStyle w:val="TableContents"/>
              <w:bidi w:val="0"/>
              <w:spacing w:before="0" w:after="283"/>
              <w:jc w:val="right"/>
              <w:rPr>
                <w:sz w:val="20"/>
              </w:rPr>
            </w:pPr>
            <w:r>
              <w:rPr>
                <w:sz w:val="20"/>
              </w:rPr>
              <w:t>(4,115</w:t>
            </w:r>
          </w:p>
        </w:tc>
        <w:tc>
          <w:tcPr>
            <w:tcW w:w="80" w:type="dxa"/>
            <w:tcBorders/>
            <w:vAlign w:val="center"/>
          </w:tcPr>
          <w:p>
            <w:pPr>
              <w:pStyle w:val="TableContents"/>
              <w:bidi w:val="0"/>
              <w:spacing w:before="0" w:after="283"/>
              <w:jc w:val="left"/>
              <w:rPr>
                <w:sz w:val="20"/>
              </w:rPr>
            </w:pPr>
            <w:r>
              <w:rPr>
                <w:sz w:val="20"/>
              </w:rPr>
              <w:t>)</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695" w:type="dxa"/>
            <w:tcBorders>
              <w:bottom w:val="single" w:sz="12" w:space="0" w:color="000000"/>
            </w:tcBorders>
            <w:tcMar>
              <w:bottom w:w="28" w:type="dxa"/>
            </w:tcMar>
            <w:vAlign w:val="center"/>
          </w:tcPr>
          <w:p>
            <w:pPr>
              <w:pStyle w:val="TableContents"/>
              <w:bidi w:val="0"/>
              <w:spacing w:before="0" w:after="283"/>
              <w:jc w:val="right"/>
              <w:rPr>
                <w:sz w:val="20"/>
              </w:rPr>
            </w:pPr>
            <w:r>
              <w:rPr>
                <w:sz w:val="20"/>
              </w:rPr>
              <w:t>(43,408</w:t>
            </w:r>
          </w:p>
        </w:tc>
        <w:tc>
          <w:tcPr>
            <w:tcW w:w="95" w:type="dxa"/>
            <w:tcBorders/>
            <w:vAlign w:val="center"/>
          </w:tcPr>
          <w:p>
            <w:pPr>
              <w:pStyle w:val="TableContents"/>
              <w:bidi w:val="0"/>
              <w:spacing w:before="0" w:after="283"/>
              <w:jc w:val="left"/>
              <w:rPr>
                <w:sz w:val="20"/>
              </w:rPr>
            </w:pPr>
            <w:r>
              <w:rPr>
                <w:sz w:val="20"/>
              </w:rPr>
              <w:t>)</w:t>
            </w:r>
          </w:p>
        </w:tc>
      </w:tr>
      <w:tr>
        <w:trPr/>
        <w:tc>
          <w:tcPr>
            <w:tcW w:w="3095" w:type="dxa"/>
            <w:tcBorders/>
            <w:shd w:fill="CCEEFF" w:val="clear"/>
            <w:vAlign w:val="center"/>
          </w:tcPr>
          <w:p>
            <w:pPr>
              <w:pStyle w:val="TableContents"/>
              <w:bidi w:val="0"/>
              <w:spacing w:before="0" w:after="283"/>
              <w:jc w:val="left"/>
              <w:rPr>
                <w:sz w:val="20"/>
              </w:rPr>
            </w:pPr>
            <w:r>
              <w:rPr>
                <w:sz w:val="20"/>
              </w:rPr>
              <w:t>Carrying Value at March 31, 2024</w:t>
            </w:r>
          </w:p>
        </w:tc>
        <w:tc>
          <w:tcPr>
            <w:tcW w:w="60" w:type="dxa"/>
            <w:tcBorders/>
            <w:shd w:fill="CCEEFF" w:val="clear"/>
            <w:vAlign w:val="center"/>
          </w:tcPr>
          <w:p>
            <w:pPr>
              <w:pStyle w:val="TableContents"/>
              <w:bidi w:val="0"/>
              <w:spacing w:before="0" w:after="283"/>
              <w:jc w:val="left"/>
              <w:rPr/>
            </w:pPr>
            <w:r>
              <w:rPr/>
              <w:t> </w:t>
            </w:r>
          </w:p>
        </w:tc>
        <w:tc>
          <w:tcPr>
            <w:tcW w:w="176" w:type="dxa"/>
            <w:tcBorders>
              <w:bottom w:val="double" w:sz="10"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983" w:type="dxa"/>
            <w:tcBorders>
              <w:bottom w:val="double" w:sz="10" w:space="0" w:color="000000"/>
            </w:tcBorders>
            <w:shd w:fill="CCEEFF" w:val="clear"/>
            <w:tcMar>
              <w:bottom w:w="28" w:type="dxa"/>
            </w:tcMar>
            <w:vAlign w:val="center"/>
          </w:tcPr>
          <w:p>
            <w:pPr>
              <w:pStyle w:val="TableContents"/>
              <w:bidi w:val="0"/>
              <w:spacing w:before="0" w:after="283"/>
              <w:jc w:val="right"/>
              <w:rPr>
                <w:sz w:val="20"/>
              </w:rPr>
            </w:pPr>
            <w:r>
              <w:rPr>
                <w:sz w:val="20"/>
              </w:rPr>
              <w:t>173,505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10"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695" w:type="dxa"/>
            <w:tcBorders>
              <w:bottom w:val="double" w:sz="10" w:space="0" w:color="000000"/>
            </w:tcBorders>
            <w:shd w:fill="CCEEFF" w:val="clear"/>
            <w:tcMar>
              <w:bottom w:w="28" w:type="dxa"/>
            </w:tcMar>
            <w:vAlign w:val="center"/>
          </w:tcPr>
          <w:p>
            <w:pPr>
              <w:pStyle w:val="TableContents"/>
              <w:bidi w:val="0"/>
              <w:spacing w:before="0" w:after="283"/>
              <w:jc w:val="right"/>
              <w:rPr>
                <w:sz w:val="20"/>
              </w:rPr>
            </w:pPr>
            <w:r>
              <w:rPr>
                <w:sz w:val="20"/>
              </w:rPr>
              <w:t>110,088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10"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695" w:type="dxa"/>
            <w:tcBorders>
              <w:bottom w:val="double" w:sz="10" w:space="0" w:color="000000"/>
            </w:tcBorders>
            <w:shd w:fill="CCEEFF" w:val="clear"/>
            <w:tcMar>
              <w:bottom w:w="28" w:type="dxa"/>
            </w:tcMar>
            <w:vAlign w:val="center"/>
          </w:tcPr>
          <w:p>
            <w:pPr>
              <w:pStyle w:val="TableContents"/>
              <w:bidi w:val="0"/>
              <w:spacing w:before="0" w:after="283"/>
              <w:jc w:val="right"/>
              <w:rPr>
                <w:sz w:val="20"/>
              </w:rPr>
            </w:pPr>
            <w:r>
              <w:rPr>
                <w:sz w:val="20"/>
              </w:rPr>
              <w:t>283,593</w:t>
            </w:r>
          </w:p>
        </w:tc>
        <w:tc>
          <w:tcPr>
            <w:tcW w:w="9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intangible assets as of March 31, 2024 (unaudited):</w:t>
      </w:r>
    </w:p>
    <w:p>
      <w:pPr>
        <w:pStyle w:val="TextBody"/>
        <w:bidi w:val="0"/>
        <w:spacing w:before="0" w:after="0"/>
        <w:ind w:left="0" w:right="0" w:hanging="0"/>
        <w:jc w:val="left"/>
        <w:rPr>
          <w:caps w:val="false"/>
          <w:smallCaps w:val="false"/>
        </w:rPr>
      </w:pPr>
      <w:r>
        <w:rPr>
          <w:caps w:val="false"/>
          <w:smallCaps w:val="false"/>
        </w:rPr>
        <w:t> </w:t>
      </w:r>
    </w:p>
    <w:tbl>
      <w:tblPr>
        <w:tblW w:w="6254" w:type="dxa"/>
        <w:jc w:val="left"/>
        <w:tblInd w:w="0" w:type="dxa"/>
        <w:tblLayout w:type="fixed"/>
        <w:tblCellMar>
          <w:top w:w="0" w:type="dxa"/>
          <w:left w:w="0" w:type="dxa"/>
          <w:bottom w:w="0" w:type="dxa"/>
          <w:right w:w="0" w:type="dxa"/>
        </w:tblCellMar>
      </w:tblPr>
      <w:tblGrid>
        <w:gridCol w:w="2810"/>
        <w:gridCol w:w="60"/>
        <w:gridCol w:w="140"/>
        <w:gridCol w:w="1019"/>
        <w:gridCol w:w="80"/>
        <w:gridCol w:w="60"/>
        <w:gridCol w:w="125"/>
        <w:gridCol w:w="695"/>
        <w:gridCol w:w="80"/>
        <w:gridCol w:w="60"/>
        <w:gridCol w:w="125"/>
        <w:gridCol w:w="905"/>
        <w:gridCol w:w="95"/>
      </w:tblGrid>
      <w:tr>
        <w:trPr/>
        <w:tc>
          <w:tcPr>
            <w:tcW w:w="28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59" w:type="dxa"/>
            <w:gridSpan w:val="2"/>
            <w:tcBorders/>
            <w:vAlign w:val="center"/>
          </w:tcPr>
          <w:p>
            <w:pPr>
              <w:pStyle w:val="TableContents"/>
              <w:bidi w:val="0"/>
              <w:spacing w:before="0" w:after="283"/>
              <w:jc w:val="center"/>
              <w:rPr>
                <w:b/>
                <w:sz w:val="20"/>
              </w:rPr>
            </w:pPr>
            <w:r>
              <w:rPr>
                <w:b/>
                <w:sz w:val="20"/>
              </w:rPr>
              <w:t>Acquired and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r>
      <w:tr>
        <w:trPr/>
        <w:tc>
          <w:tcPr>
            <w:tcW w:w="28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59" w:type="dxa"/>
            <w:gridSpan w:val="2"/>
            <w:tcBorders/>
            <w:vAlign w:val="center"/>
          </w:tcPr>
          <w:p>
            <w:pPr>
              <w:pStyle w:val="TableContents"/>
              <w:bidi w:val="0"/>
              <w:spacing w:before="0" w:after="283"/>
              <w:jc w:val="center"/>
              <w:rPr>
                <w:b/>
                <w:sz w:val="20"/>
              </w:rPr>
            </w:pPr>
            <w:r>
              <w:rPr>
                <w:b/>
                <w:sz w:val="20"/>
              </w:rPr>
              <w:t>Developed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r>
      <w:tr>
        <w:trPr/>
        <w:tc>
          <w:tcPr>
            <w:tcW w:w="28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59"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Software</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Patents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0"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Total</w:t>
            </w:r>
          </w:p>
        </w:tc>
        <w:tc>
          <w:tcPr>
            <w:tcW w:w="95" w:type="dxa"/>
            <w:tcBorders/>
            <w:vAlign w:val="center"/>
          </w:tcPr>
          <w:p>
            <w:pPr>
              <w:pStyle w:val="TableContents"/>
              <w:bidi w:val="0"/>
              <w:spacing w:before="0" w:after="283"/>
              <w:jc w:val="left"/>
              <w:rPr/>
            </w:pPr>
            <w:r>
              <w:rPr/>
              <w:t> </w:t>
            </w:r>
          </w:p>
        </w:tc>
      </w:tr>
      <w:tr>
        <w:trPr/>
        <w:tc>
          <w:tcPr>
            <w:tcW w:w="2810" w:type="dxa"/>
            <w:tcBorders/>
            <w:shd w:fill="CCEEFF" w:val="clear"/>
            <w:vAlign w:val="center"/>
          </w:tcPr>
          <w:p>
            <w:pPr>
              <w:pStyle w:val="TableContents"/>
              <w:bidi w:val="0"/>
              <w:spacing w:before="0" w:after="283"/>
              <w:jc w:val="left"/>
              <w:rPr>
                <w:sz w:val="20"/>
              </w:rPr>
            </w:pPr>
            <w:r>
              <w:rPr>
                <w:sz w:val="20"/>
              </w:rPr>
              <w:t>Cost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20"/>
              </w:rPr>
            </w:pPr>
            <w:r>
              <w:rPr>
                <w:sz w:val="20"/>
              </w:rPr>
              <w:t>$</w:t>
            </w:r>
          </w:p>
        </w:tc>
        <w:tc>
          <w:tcPr>
            <w:tcW w:w="1019" w:type="dxa"/>
            <w:tcBorders/>
            <w:shd w:fill="CCEEFF" w:val="clear"/>
            <w:vAlign w:val="center"/>
          </w:tcPr>
          <w:p>
            <w:pPr>
              <w:pStyle w:val="TableContents"/>
              <w:bidi w:val="0"/>
              <w:spacing w:before="0" w:after="283"/>
              <w:jc w:val="right"/>
              <w:rPr>
                <w:sz w:val="20"/>
              </w:rPr>
            </w:pPr>
            <w:r>
              <w:rPr>
                <w:sz w:val="20"/>
              </w:rPr>
              <w:t>1,734,662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695" w:type="dxa"/>
            <w:tcBorders/>
            <w:shd w:fill="CCEEFF" w:val="clear"/>
            <w:vAlign w:val="center"/>
          </w:tcPr>
          <w:p>
            <w:pPr>
              <w:pStyle w:val="TableContents"/>
              <w:bidi w:val="0"/>
              <w:spacing w:before="0" w:after="283"/>
              <w:jc w:val="right"/>
              <w:rPr>
                <w:sz w:val="20"/>
              </w:rPr>
            </w:pPr>
            <w:r>
              <w:rPr>
                <w:sz w:val="20"/>
              </w:rPr>
              <w:t>164,614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905" w:type="dxa"/>
            <w:tcBorders/>
            <w:shd w:fill="CCEEFF" w:val="clear"/>
            <w:vAlign w:val="center"/>
          </w:tcPr>
          <w:p>
            <w:pPr>
              <w:pStyle w:val="TableContents"/>
              <w:bidi w:val="0"/>
              <w:spacing w:before="0" w:after="283"/>
              <w:jc w:val="right"/>
              <w:rPr>
                <w:sz w:val="20"/>
              </w:rPr>
            </w:pPr>
            <w:r>
              <w:rPr>
                <w:sz w:val="20"/>
              </w:rPr>
              <w:t>1,899,276</w:t>
            </w:r>
          </w:p>
        </w:tc>
        <w:tc>
          <w:tcPr>
            <w:tcW w:w="95" w:type="dxa"/>
            <w:tcBorders/>
            <w:shd w:fill="CCEEFF" w:val="clear"/>
            <w:vAlign w:val="center"/>
          </w:tcPr>
          <w:p>
            <w:pPr>
              <w:pStyle w:val="TableContents"/>
              <w:bidi w:val="0"/>
              <w:spacing w:before="0" w:after="283"/>
              <w:jc w:val="left"/>
              <w:rPr/>
            </w:pPr>
            <w:r>
              <w:rPr/>
              <w:t> </w:t>
            </w:r>
          </w:p>
        </w:tc>
      </w:tr>
      <w:tr>
        <w:trPr/>
        <w:tc>
          <w:tcPr>
            <w:tcW w:w="2810" w:type="dxa"/>
            <w:tcBorders/>
            <w:vAlign w:val="center"/>
          </w:tcPr>
          <w:p>
            <w:pPr>
              <w:pStyle w:val="TableContents"/>
              <w:bidi w:val="0"/>
              <w:spacing w:before="0" w:after="283"/>
              <w:jc w:val="left"/>
              <w:rPr>
                <w:sz w:val="20"/>
              </w:rPr>
            </w:pPr>
            <w:r>
              <w:rPr>
                <w:sz w:val="20"/>
              </w:rPr>
              <w:t>Accumulated amortization</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19" w:type="dxa"/>
            <w:tcBorders>
              <w:bottom w:val="single" w:sz="12" w:space="0" w:color="000000"/>
            </w:tcBorders>
            <w:tcMar>
              <w:bottom w:w="28" w:type="dxa"/>
            </w:tcMar>
            <w:vAlign w:val="center"/>
          </w:tcPr>
          <w:p>
            <w:pPr>
              <w:pStyle w:val="TableContents"/>
              <w:bidi w:val="0"/>
              <w:spacing w:before="0" w:after="283"/>
              <w:jc w:val="right"/>
              <w:rPr>
                <w:sz w:val="20"/>
              </w:rPr>
            </w:pPr>
            <w:r>
              <w:rPr>
                <w:sz w:val="20"/>
              </w:rPr>
              <w:t>(1,561,157</w:t>
            </w:r>
          </w:p>
        </w:tc>
        <w:tc>
          <w:tcPr>
            <w:tcW w:w="80" w:type="dxa"/>
            <w:tcBorders/>
            <w:vAlign w:val="center"/>
          </w:tcPr>
          <w:p>
            <w:pPr>
              <w:pStyle w:val="TableContents"/>
              <w:bidi w:val="0"/>
              <w:spacing w:before="0" w:after="283"/>
              <w:jc w:val="left"/>
              <w:rPr>
                <w:sz w:val="20"/>
              </w:rPr>
            </w:pPr>
            <w:r>
              <w:rPr>
                <w:sz w:val="20"/>
              </w:rPr>
              <w:t>)</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695" w:type="dxa"/>
            <w:tcBorders>
              <w:bottom w:val="single" w:sz="12" w:space="0" w:color="000000"/>
            </w:tcBorders>
            <w:tcMar>
              <w:bottom w:w="28" w:type="dxa"/>
            </w:tcMar>
            <w:vAlign w:val="center"/>
          </w:tcPr>
          <w:p>
            <w:pPr>
              <w:pStyle w:val="TableContents"/>
              <w:bidi w:val="0"/>
              <w:spacing w:before="0" w:after="283"/>
              <w:jc w:val="right"/>
              <w:rPr>
                <w:sz w:val="20"/>
              </w:rPr>
            </w:pPr>
            <w:r>
              <w:rPr>
                <w:sz w:val="20"/>
              </w:rPr>
              <w:t>(54,526</w:t>
            </w:r>
          </w:p>
        </w:tc>
        <w:tc>
          <w:tcPr>
            <w:tcW w:w="80" w:type="dxa"/>
            <w:tcBorders/>
            <w:vAlign w:val="center"/>
          </w:tcPr>
          <w:p>
            <w:pPr>
              <w:pStyle w:val="TableContents"/>
              <w:bidi w:val="0"/>
              <w:spacing w:before="0" w:after="283"/>
              <w:jc w:val="left"/>
              <w:rPr>
                <w:sz w:val="20"/>
              </w:rPr>
            </w:pPr>
            <w:r>
              <w:rPr>
                <w:sz w:val="20"/>
              </w:rPr>
              <w:t>)</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right"/>
              <w:rPr>
                <w:sz w:val="20"/>
              </w:rPr>
            </w:pPr>
            <w:r>
              <w:rPr>
                <w:sz w:val="20"/>
              </w:rPr>
              <w:t>(1,615,683</w:t>
            </w:r>
          </w:p>
        </w:tc>
        <w:tc>
          <w:tcPr>
            <w:tcW w:w="95" w:type="dxa"/>
            <w:tcBorders/>
            <w:vAlign w:val="center"/>
          </w:tcPr>
          <w:p>
            <w:pPr>
              <w:pStyle w:val="TableContents"/>
              <w:bidi w:val="0"/>
              <w:spacing w:before="0" w:after="283"/>
              <w:jc w:val="left"/>
              <w:rPr>
                <w:sz w:val="20"/>
              </w:rPr>
            </w:pPr>
            <w:r>
              <w:rPr>
                <w:sz w:val="20"/>
              </w:rPr>
              <w:t>)</w:t>
            </w:r>
          </w:p>
        </w:tc>
      </w:tr>
      <w:tr>
        <w:trPr/>
        <w:tc>
          <w:tcPr>
            <w:tcW w:w="2810" w:type="dxa"/>
            <w:tcBorders/>
            <w:shd w:fill="CCEEFF" w:val="clear"/>
            <w:vAlign w:val="center"/>
          </w:tcPr>
          <w:p>
            <w:pPr>
              <w:pStyle w:val="TableContents"/>
              <w:bidi w:val="0"/>
              <w:spacing w:before="0" w:after="283"/>
              <w:jc w:val="left"/>
              <w:rPr>
                <w:sz w:val="20"/>
              </w:rPr>
            </w:pPr>
            <w:r>
              <w:rPr>
                <w:sz w:val="20"/>
              </w:rPr>
              <w:t>Carrying Value at March 31, 2024</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1019" w:type="dxa"/>
            <w:tcBorders>
              <w:bottom w:val="double" w:sz="10" w:space="0" w:color="000000"/>
            </w:tcBorders>
            <w:shd w:fill="CCEEFF" w:val="clear"/>
            <w:tcMar>
              <w:bottom w:w="28" w:type="dxa"/>
            </w:tcMar>
            <w:vAlign w:val="center"/>
          </w:tcPr>
          <w:p>
            <w:pPr>
              <w:pStyle w:val="TableContents"/>
              <w:bidi w:val="0"/>
              <w:spacing w:before="0" w:after="283"/>
              <w:jc w:val="right"/>
              <w:rPr>
                <w:sz w:val="20"/>
              </w:rPr>
            </w:pPr>
            <w:r>
              <w:rPr>
                <w:sz w:val="20"/>
              </w:rPr>
              <w:t>173,505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10"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695" w:type="dxa"/>
            <w:tcBorders>
              <w:bottom w:val="double" w:sz="10" w:space="0" w:color="000000"/>
            </w:tcBorders>
            <w:shd w:fill="CCEEFF" w:val="clear"/>
            <w:tcMar>
              <w:bottom w:w="28" w:type="dxa"/>
            </w:tcMar>
            <w:vAlign w:val="center"/>
          </w:tcPr>
          <w:p>
            <w:pPr>
              <w:pStyle w:val="TableContents"/>
              <w:bidi w:val="0"/>
              <w:spacing w:before="0" w:after="283"/>
              <w:jc w:val="right"/>
              <w:rPr>
                <w:sz w:val="20"/>
              </w:rPr>
            </w:pPr>
            <w:r>
              <w:rPr>
                <w:sz w:val="20"/>
              </w:rPr>
              <w:t>110,088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10"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905" w:type="dxa"/>
            <w:tcBorders>
              <w:bottom w:val="double" w:sz="10" w:space="0" w:color="000000"/>
            </w:tcBorders>
            <w:shd w:fill="CCEEFF" w:val="clear"/>
            <w:tcMar>
              <w:bottom w:w="28" w:type="dxa"/>
            </w:tcMar>
            <w:vAlign w:val="center"/>
          </w:tcPr>
          <w:p>
            <w:pPr>
              <w:pStyle w:val="TableContents"/>
              <w:bidi w:val="0"/>
              <w:spacing w:before="0" w:after="283"/>
              <w:jc w:val="right"/>
              <w:rPr>
                <w:sz w:val="20"/>
              </w:rPr>
            </w:pPr>
            <w:r>
              <w:rPr>
                <w:sz w:val="20"/>
              </w:rPr>
              <w:t>283,593</w:t>
            </w:r>
          </w:p>
        </w:tc>
        <w:tc>
          <w:tcPr>
            <w:tcW w:w="9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expense totaled approximately $43,000 and $76,000 for the three months ended March 31, 2024, and 2023,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expected amortization of intangible assets is as follows:</w:t>
      </w:r>
    </w:p>
    <w:p>
      <w:pPr>
        <w:pStyle w:val="TextBody"/>
        <w:bidi w:val="0"/>
        <w:spacing w:before="0" w:after="0"/>
        <w:ind w:left="0" w:right="0" w:hanging="0"/>
        <w:jc w:val="left"/>
        <w:rPr>
          <w:caps w:val="false"/>
          <w:smallCaps w:val="false"/>
        </w:rPr>
      </w:pPr>
      <w:r>
        <w:rPr>
          <w:caps w:val="false"/>
          <w:smallCaps w:val="false"/>
        </w:rPr>
        <w:t> </w:t>
      </w:r>
    </w:p>
    <w:tbl>
      <w:tblPr>
        <w:tblW w:w="3390" w:type="dxa"/>
        <w:jc w:val="left"/>
        <w:tblInd w:w="0" w:type="dxa"/>
        <w:tblLayout w:type="fixed"/>
        <w:tblCellMar>
          <w:top w:w="0" w:type="dxa"/>
          <w:left w:w="0" w:type="dxa"/>
          <w:bottom w:w="0" w:type="dxa"/>
          <w:right w:w="0" w:type="dxa"/>
        </w:tblCellMar>
      </w:tblPr>
      <w:tblGrid>
        <w:gridCol w:w="2435"/>
        <w:gridCol w:w="60"/>
        <w:gridCol w:w="125"/>
        <w:gridCol w:w="695"/>
        <w:gridCol w:w="75"/>
      </w:tblGrid>
      <w:tr>
        <w:trPr/>
        <w:tc>
          <w:tcPr>
            <w:tcW w:w="2435" w:type="dxa"/>
            <w:tcBorders/>
            <w:shd w:fill="CCEEFF" w:val="clear"/>
            <w:vAlign w:val="center"/>
          </w:tcPr>
          <w:p>
            <w:pPr>
              <w:pStyle w:val="TableContents"/>
              <w:bidi w:val="0"/>
              <w:spacing w:before="0" w:after="283"/>
              <w:jc w:val="left"/>
              <w:rPr>
                <w:sz w:val="20"/>
              </w:rPr>
            </w:pPr>
            <w:r>
              <w:rPr>
                <w:sz w:val="20"/>
              </w:rPr>
              <w:t>2024 (Remainder of the Year)</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695" w:type="dxa"/>
            <w:tcBorders/>
            <w:shd w:fill="CCEEFF" w:val="clear"/>
            <w:vAlign w:val="center"/>
          </w:tcPr>
          <w:p>
            <w:pPr>
              <w:pStyle w:val="TableContents"/>
              <w:bidi w:val="0"/>
              <w:spacing w:before="0" w:after="283"/>
              <w:jc w:val="right"/>
              <w:rPr>
                <w:sz w:val="20"/>
              </w:rPr>
            </w:pPr>
            <w:r>
              <w:rPr>
                <w:sz w:val="20"/>
              </w:rPr>
              <w:t>130,224</w:t>
            </w:r>
          </w:p>
        </w:tc>
        <w:tc>
          <w:tcPr>
            <w:tcW w:w="75" w:type="dxa"/>
            <w:tcBorders/>
            <w:shd w:fill="CCEEFF" w:val="clear"/>
            <w:vAlign w:val="center"/>
          </w:tcPr>
          <w:p>
            <w:pPr>
              <w:pStyle w:val="TableContents"/>
              <w:bidi w:val="0"/>
              <w:spacing w:before="0" w:after="283"/>
              <w:jc w:val="left"/>
              <w:rPr/>
            </w:pPr>
            <w:r>
              <w:rPr/>
              <w:t> </w:t>
            </w:r>
          </w:p>
        </w:tc>
      </w:tr>
      <w:tr>
        <w:trPr/>
        <w:tc>
          <w:tcPr>
            <w:tcW w:w="2435" w:type="dxa"/>
            <w:tcBorders/>
            <w:vAlign w:val="center"/>
          </w:tcPr>
          <w:p>
            <w:pPr>
              <w:pStyle w:val="TableContents"/>
              <w:bidi w:val="0"/>
              <w:spacing w:before="0" w:after="283"/>
              <w:jc w:val="left"/>
              <w:rPr>
                <w:sz w:val="20"/>
              </w:rPr>
            </w:pPr>
            <w:r>
              <w:rPr>
                <w:sz w:val="20"/>
              </w:rPr>
              <w:t>2025</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right"/>
              <w:rPr>
                <w:sz w:val="20"/>
              </w:rPr>
            </w:pPr>
            <w:r>
              <w:rPr>
                <w:sz w:val="20"/>
              </w:rPr>
              <w:t>69,328</w:t>
            </w:r>
          </w:p>
        </w:tc>
        <w:tc>
          <w:tcPr>
            <w:tcW w:w="75" w:type="dxa"/>
            <w:tcBorders/>
            <w:vAlign w:val="center"/>
          </w:tcPr>
          <w:p>
            <w:pPr>
              <w:pStyle w:val="TableContents"/>
              <w:bidi w:val="0"/>
              <w:spacing w:before="0" w:after="283"/>
              <w:jc w:val="left"/>
              <w:rPr/>
            </w:pPr>
            <w:r>
              <w:rPr/>
              <w:t> </w:t>
            </w:r>
          </w:p>
        </w:tc>
      </w:tr>
      <w:tr>
        <w:trPr/>
        <w:tc>
          <w:tcPr>
            <w:tcW w:w="2435" w:type="dxa"/>
            <w:tcBorders/>
            <w:shd w:fill="CCEEFF" w:val="clear"/>
            <w:vAlign w:val="center"/>
          </w:tcPr>
          <w:p>
            <w:pPr>
              <w:pStyle w:val="TableContents"/>
              <w:bidi w:val="0"/>
              <w:spacing w:before="0" w:after="283"/>
              <w:jc w:val="left"/>
              <w:rPr>
                <w:sz w:val="20"/>
              </w:rPr>
            </w:pPr>
            <w:r>
              <w:rPr>
                <w:sz w:val="20"/>
              </w:rPr>
              <w:t>2026</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19,230</w:t>
            </w:r>
          </w:p>
        </w:tc>
        <w:tc>
          <w:tcPr>
            <w:tcW w:w="75" w:type="dxa"/>
            <w:tcBorders/>
            <w:shd w:fill="CCEEFF" w:val="clear"/>
            <w:vAlign w:val="center"/>
          </w:tcPr>
          <w:p>
            <w:pPr>
              <w:pStyle w:val="TableContents"/>
              <w:bidi w:val="0"/>
              <w:spacing w:before="0" w:after="283"/>
              <w:jc w:val="left"/>
              <w:rPr/>
            </w:pPr>
            <w:r>
              <w:rPr/>
              <w:t> </w:t>
            </w:r>
          </w:p>
        </w:tc>
      </w:tr>
      <w:tr>
        <w:trPr/>
        <w:tc>
          <w:tcPr>
            <w:tcW w:w="2435" w:type="dxa"/>
            <w:tcBorders/>
            <w:vAlign w:val="center"/>
          </w:tcPr>
          <w:p>
            <w:pPr>
              <w:pStyle w:val="TableContents"/>
              <w:bidi w:val="0"/>
              <w:spacing w:before="0" w:after="283"/>
              <w:jc w:val="left"/>
              <w:rPr>
                <w:sz w:val="20"/>
              </w:rPr>
            </w:pPr>
            <w:r>
              <w:rPr>
                <w:sz w:val="20"/>
              </w:rPr>
              <w:t>2027</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right"/>
              <w:rPr>
                <w:sz w:val="20"/>
              </w:rPr>
            </w:pPr>
            <w:r>
              <w:rPr>
                <w:sz w:val="20"/>
              </w:rPr>
              <w:t>16,461</w:t>
            </w:r>
          </w:p>
        </w:tc>
        <w:tc>
          <w:tcPr>
            <w:tcW w:w="75" w:type="dxa"/>
            <w:tcBorders/>
            <w:vAlign w:val="center"/>
          </w:tcPr>
          <w:p>
            <w:pPr>
              <w:pStyle w:val="TableContents"/>
              <w:bidi w:val="0"/>
              <w:spacing w:before="0" w:after="283"/>
              <w:jc w:val="left"/>
              <w:rPr/>
            </w:pPr>
            <w:r>
              <w:rPr/>
              <w:t> </w:t>
            </w:r>
          </w:p>
        </w:tc>
      </w:tr>
      <w:tr>
        <w:trPr/>
        <w:tc>
          <w:tcPr>
            <w:tcW w:w="2435" w:type="dxa"/>
            <w:tcBorders/>
            <w:shd w:fill="CCEEFF" w:val="clear"/>
            <w:vAlign w:val="center"/>
          </w:tcPr>
          <w:p>
            <w:pPr>
              <w:pStyle w:val="TableContents"/>
              <w:bidi w:val="0"/>
              <w:spacing w:before="0" w:after="283"/>
              <w:jc w:val="left"/>
              <w:rPr>
                <w:sz w:val="20"/>
              </w:rPr>
            </w:pPr>
            <w:r>
              <w:rPr>
                <w:sz w:val="20"/>
              </w:rPr>
              <w:t>2028</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16,461</w:t>
            </w:r>
          </w:p>
        </w:tc>
        <w:tc>
          <w:tcPr>
            <w:tcW w:w="75" w:type="dxa"/>
            <w:tcBorders/>
            <w:shd w:fill="CCEEFF" w:val="clear"/>
            <w:vAlign w:val="center"/>
          </w:tcPr>
          <w:p>
            <w:pPr>
              <w:pStyle w:val="TableContents"/>
              <w:bidi w:val="0"/>
              <w:spacing w:before="0" w:after="283"/>
              <w:jc w:val="left"/>
              <w:rPr/>
            </w:pPr>
            <w:r>
              <w:rPr/>
              <w:t> </w:t>
            </w:r>
          </w:p>
        </w:tc>
      </w:tr>
      <w:tr>
        <w:trPr/>
        <w:tc>
          <w:tcPr>
            <w:tcW w:w="2435" w:type="dxa"/>
            <w:tcBorders/>
            <w:vAlign w:val="center"/>
          </w:tcPr>
          <w:p>
            <w:pPr>
              <w:pStyle w:val="TableContents"/>
              <w:bidi w:val="0"/>
              <w:spacing w:before="0" w:after="283"/>
              <w:jc w:val="left"/>
              <w:rPr>
                <w:sz w:val="20"/>
              </w:rPr>
            </w:pPr>
            <w:r>
              <w:rPr>
                <w:sz w:val="20"/>
              </w:rPr>
              <w:t>Thereafter</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695" w:type="dxa"/>
            <w:tcBorders>
              <w:bottom w:val="single" w:sz="12" w:space="0" w:color="000000"/>
            </w:tcBorders>
            <w:tcMar>
              <w:bottom w:w="28" w:type="dxa"/>
            </w:tcMar>
            <w:vAlign w:val="center"/>
          </w:tcPr>
          <w:p>
            <w:pPr>
              <w:pStyle w:val="TableContents"/>
              <w:bidi w:val="0"/>
              <w:spacing w:before="0" w:after="283"/>
              <w:jc w:val="right"/>
              <w:rPr>
                <w:sz w:val="20"/>
              </w:rPr>
            </w:pPr>
            <w:r>
              <w:rPr>
                <w:sz w:val="20"/>
              </w:rPr>
              <w:t>31,889</w:t>
            </w:r>
          </w:p>
        </w:tc>
        <w:tc>
          <w:tcPr>
            <w:tcW w:w="75" w:type="dxa"/>
            <w:tcBorders/>
            <w:vAlign w:val="center"/>
          </w:tcPr>
          <w:p>
            <w:pPr>
              <w:pStyle w:val="TableContents"/>
              <w:bidi w:val="0"/>
              <w:spacing w:before="0" w:after="283"/>
              <w:jc w:val="left"/>
              <w:rPr/>
            </w:pPr>
            <w:r>
              <w:rPr/>
              <w:t> </w:t>
            </w:r>
          </w:p>
        </w:tc>
      </w:tr>
      <w:tr>
        <w:trPr/>
        <w:tc>
          <w:tcPr>
            <w:tcW w:w="24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10"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695" w:type="dxa"/>
            <w:tcBorders>
              <w:bottom w:val="double" w:sz="10" w:space="0" w:color="000000"/>
            </w:tcBorders>
            <w:shd w:fill="CCEEFF" w:val="clear"/>
            <w:tcMar>
              <w:bottom w:w="28" w:type="dxa"/>
            </w:tcMar>
            <w:vAlign w:val="center"/>
          </w:tcPr>
          <w:p>
            <w:pPr>
              <w:pStyle w:val="TableContents"/>
              <w:bidi w:val="0"/>
              <w:spacing w:before="0" w:after="283"/>
              <w:jc w:val="right"/>
              <w:rPr>
                <w:sz w:val="20"/>
              </w:rPr>
            </w:pPr>
            <w:r>
              <w:rPr>
                <w:sz w:val="20"/>
              </w:rPr>
              <w:t>283,593</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was no impairment indicator identified for impairment of the Company’s intangible assets and goodwill as of March 31,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4 – ACCOUNTS PAYABLE AND ACCRUED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 and accrued expenses consisted of the following as of March 31, 2024 (unaudited) and December 31, 2023:</w:t>
      </w:r>
    </w:p>
    <w:p>
      <w:pPr>
        <w:pStyle w:val="TextBody"/>
        <w:bidi w:val="0"/>
        <w:spacing w:before="0" w:after="0"/>
        <w:ind w:left="0" w:right="0" w:hanging="0"/>
        <w:jc w:val="both"/>
        <w:rPr>
          <w:caps w:val="false"/>
          <w:smallCaps w:val="false"/>
        </w:rPr>
      </w:pPr>
      <w:r>
        <w:rPr>
          <w:caps w:val="false"/>
          <w:smallCaps w:val="false"/>
        </w:rPr>
        <w:t> </w:t>
      </w:r>
    </w:p>
    <w:tbl>
      <w:tblPr>
        <w:tblW w:w="5578" w:type="dxa"/>
        <w:jc w:val="left"/>
        <w:tblInd w:w="0" w:type="dxa"/>
        <w:tblLayout w:type="fixed"/>
        <w:tblCellMar>
          <w:top w:w="0" w:type="dxa"/>
          <w:left w:w="0" w:type="dxa"/>
          <w:bottom w:w="0" w:type="dxa"/>
          <w:right w:w="0" w:type="dxa"/>
        </w:tblCellMar>
      </w:tblPr>
      <w:tblGrid>
        <w:gridCol w:w="3260"/>
        <w:gridCol w:w="60"/>
        <w:gridCol w:w="134"/>
        <w:gridCol w:w="755"/>
        <w:gridCol w:w="60"/>
        <w:gridCol w:w="60"/>
        <w:gridCol w:w="151"/>
        <w:gridCol w:w="1023"/>
        <w:gridCol w:w="75"/>
      </w:tblGrid>
      <w:tr>
        <w:trPr/>
        <w:tc>
          <w:tcPr>
            <w:tcW w:w="32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9" w:type="dxa"/>
            <w:gridSpan w:val="2"/>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center"/>
              <w:rPr>
                <w:b/>
                <w:sz w:val="20"/>
              </w:rPr>
            </w:pPr>
            <w:r>
              <w:rPr>
                <w:b/>
                <w:sz w:val="20"/>
              </w:rPr>
              <w:t>December 31,</w:t>
            </w:r>
          </w:p>
        </w:tc>
        <w:tc>
          <w:tcPr>
            <w:tcW w:w="75" w:type="dxa"/>
            <w:tcBorders/>
            <w:vAlign w:val="center"/>
          </w:tcPr>
          <w:p>
            <w:pPr>
              <w:pStyle w:val="TableContents"/>
              <w:bidi w:val="0"/>
              <w:spacing w:before="0" w:after="283"/>
              <w:jc w:val="left"/>
              <w:rPr/>
            </w:pPr>
            <w:r>
              <w:rPr/>
              <w:t> </w:t>
            </w:r>
          </w:p>
        </w:tc>
      </w:tr>
      <w:tr>
        <w:trPr/>
        <w:tc>
          <w:tcPr>
            <w:tcW w:w="32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89"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2023</w:t>
            </w:r>
          </w:p>
        </w:tc>
        <w:tc>
          <w:tcPr>
            <w:tcW w:w="75" w:type="dxa"/>
            <w:tcBorders/>
            <w:vAlign w:val="center"/>
          </w:tcPr>
          <w:p>
            <w:pPr>
              <w:pStyle w:val="TableContents"/>
              <w:bidi w:val="0"/>
              <w:spacing w:before="0" w:after="283"/>
              <w:jc w:val="left"/>
              <w:rPr/>
            </w:pPr>
            <w:r>
              <w:rPr/>
              <w:t> </w:t>
            </w:r>
          </w:p>
        </w:tc>
      </w:tr>
      <w:tr>
        <w:trPr/>
        <w:tc>
          <w:tcPr>
            <w:tcW w:w="3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9"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260" w:type="dxa"/>
            <w:tcBorders/>
            <w:shd w:fill="CCEEFF" w:val="clear"/>
            <w:vAlign w:val="center"/>
          </w:tcPr>
          <w:p>
            <w:pPr>
              <w:pStyle w:val="TableContents"/>
              <w:bidi w:val="0"/>
              <w:spacing w:before="0" w:after="283"/>
              <w:jc w:val="left"/>
              <w:rPr>
                <w:sz w:val="20"/>
              </w:rPr>
            </w:pPr>
            <w:r>
              <w:rPr>
                <w:sz w:val="20"/>
              </w:rPr>
              <w:t>Trade payables</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sz w:val="20"/>
              </w:rPr>
            </w:pPr>
            <w:r>
              <w:rPr>
                <w:sz w:val="20"/>
              </w:rPr>
              <w:t>$</w:t>
            </w:r>
          </w:p>
        </w:tc>
        <w:tc>
          <w:tcPr>
            <w:tcW w:w="755" w:type="dxa"/>
            <w:tcBorders/>
            <w:shd w:fill="CCEEFF" w:val="clear"/>
            <w:vAlign w:val="center"/>
          </w:tcPr>
          <w:p>
            <w:pPr>
              <w:pStyle w:val="TableContents"/>
              <w:bidi w:val="0"/>
              <w:spacing w:before="0" w:after="283"/>
              <w:jc w:val="right"/>
              <w:rPr>
                <w:sz w:val="20"/>
              </w:rPr>
            </w:pPr>
            <w:r>
              <w:rPr>
                <w:sz w:val="20"/>
              </w:rPr>
              <w:t>239,376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sz w:val="20"/>
              </w:rPr>
            </w:pPr>
            <w:r>
              <w:rPr>
                <w:sz w:val="20"/>
              </w:rPr>
              <w:t>$</w:t>
            </w:r>
          </w:p>
        </w:tc>
        <w:tc>
          <w:tcPr>
            <w:tcW w:w="1023" w:type="dxa"/>
            <w:tcBorders/>
            <w:shd w:fill="CCEEFF" w:val="clear"/>
            <w:vAlign w:val="center"/>
          </w:tcPr>
          <w:p>
            <w:pPr>
              <w:pStyle w:val="TableContents"/>
              <w:bidi w:val="0"/>
              <w:spacing w:before="0" w:after="283"/>
              <w:jc w:val="right"/>
              <w:rPr>
                <w:sz w:val="20"/>
              </w:rPr>
            </w:pPr>
            <w:r>
              <w:rPr>
                <w:sz w:val="20"/>
              </w:rPr>
              <w:t>339,832</w:t>
            </w:r>
          </w:p>
        </w:tc>
        <w:tc>
          <w:tcPr>
            <w:tcW w:w="75" w:type="dxa"/>
            <w:tcBorders/>
            <w:shd w:fill="CCEEFF" w:val="clear"/>
            <w:vAlign w:val="center"/>
          </w:tcPr>
          <w:p>
            <w:pPr>
              <w:pStyle w:val="TableContents"/>
              <w:bidi w:val="0"/>
              <w:spacing w:before="0" w:after="283"/>
              <w:jc w:val="left"/>
              <w:rPr/>
            </w:pPr>
            <w:r>
              <w:rPr/>
              <w:t> </w:t>
            </w:r>
          </w:p>
        </w:tc>
      </w:tr>
      <w:tr>
        <w:trPr/>
        <w:tc>
          <w:tcPr>
            <w:tcW w:w="3260" w:type="dxa"/>
            <w:tcBorders/>
            <w:vAlign w:val="center"/>
          </w:tcPr>
          <w:p>
            <w:pPr>
              <w:pStyle w:val="TableContents"/>
              <w:bidi w:val="0"/>
              <w:spacing w:before="0" w:after="283"/>
              <w:jc w:val="left"/>
              <w:rPr>
                <w:sz w:val="20"/>
              </w:rPr>
            </w:pPr>
            <w:r>
              <w:rPr>
                <w:sz w:val="20"/>
              </w:rPr>
              <w:t>Accrued payroll and related obligations</w:t>
            </w:r>
          </w:p>
        </w:tc>
        <w:tc>
          <w:tcPr>
            <w:tcW w:w="60"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sz w:val="20"/>
              </w:rPr>
            </w:pPr>
            <w:r>
              <w:rPr>
                <w:sz w:val="20"/>
              </w:rPr>
              <w:t>412,965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1023" w:type="dxa"/>
            <w:tcBorders/>
            <w:vAlign w:val="center"/>
          </w:tcPr>
          <w:p>
            <w:pPr>
              <w:pStyle w:val="TableContents"/>
              <w:bidi w:val="0"/>
              <w:spacing w:before="0" w:after="283"/>
              <w:jc w:val="right"/>
              <w:rPr>
                <w:sz w:val="20"/>
              </w:rPr>
            </w:pPr>
            <w:r>
              <w:rPr>
                <w:sz w:val="20"/>
              </w:rPr>
              <w:t>707,317</w:t>
            </w:r>
          </w:p>
        </w:tc>
        <w:tc>
          <w:tcPr>
            <w:tcW w:w="75" w:type="dxa"/>
            <w:tcBorders/>
            <w:vAlign w:val="center"/>
          </w:tcPr>
          <w:p>
            <w:pPr>
              <w:pStyle w:val="TableContents"/>
              <w:bidi w:val="0"/>
              <w:spacing w:before="0" w:after="283"/>
              <w:jc w:val="left"/>
              <w:rPr/>
            </w:pPr>
            <w:r>
              <w:rPr/>
              <w:t> </w:t>
            </w:r>
          </w:p>
        </w:tc>
      </w:tr>
      <w:tr>
        <w:trPr/>
        <w:tc>
          <w:tcPr>
            <w:tcW w:w="3260" w:type="dxa"/>
            <w:tcBorders/>
            <w:shd w:fill="CCEEFF" w:val="clear"/>
            <w:vAlign w:val="center"/>
          </w:tcPr>
          <w:p>
            <w:pPr>
              <w:pStyle w:val="TableContents"/>
              <w:bidi w:val="0"/>
              <w:spacing w:before="0" w:after="283"/>
              <w:jc w:val="left"/>
              <w:rPr>
                <w:sz w:val="20"/>
              </w:rPr>
            </w:pPr>
            <w:r>
              <w:rPr>
                <w:sz w:val="20"/>
              </w:rPr>
              <w:t>Other accrued expenses</w:t>
            </w:r>
          </w:p>
        </w:tc>
        <w:tc>
          <w:tcPr>
            <w:tcW w:w="60" w:type="dxa"/>
            <w:tcBorders/>
            <w:shd w:fill="CCEEFF" w:val="clear"/>
            <w:vAlign w:val="center"/>
          </w:tcPr>
          <w:p>
            <w:pPr>
              <w:pStyle w:val="TableContents"/>
              <w:bidi w:val="0"/>
              <w:spacing w:before="0" w:after="283"/>
              <w:jc w:val="left"/>
              <w:rPr/>
            </w:pPr>
            <w:r>
              <w:rPr/>
              <w:t> </w:t>
            </w:r>
          </w:p>
        </w:tc>
        <w:tc>
          <w:tcPr>
            <w:tcW w:w="13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sz w:val="20"/>
              </w:rPr>
            </w:pPr>
            <w:r>
              <w:rPr>
                <w:sz w:val="20"/>
              </w:rPr>
              <w:t>253,903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23" w:type="dxa"/>
            <w:tcBorders>
              <w:bottom w:val="single" w:sz="12" w:space="0" w:color="000000"/>
            </w:tcBorders>
            <w:shd w:fill="CCEEFF" w:val="clear"/>
            <w:tcMar>
              <w:bottom w:w="28" w:type="dxa"/>
            </w:tcMar>
            <w:vAlign w:val="center"/>
          </w:tcPr>
          <w:p>
            <w:pPr>
              <w:pStyle w:val="TableContents"/>
              <w:bidi w:val="0"/>
              <w:spacing w:before="0" w:after="283"/>
              <w:jc w:val="right"/>
              <w:rPr>
                <w:sz w:val="20"/>
              </w:rPr>
            </w:pPr>
            <w:r>
              <w:rPr>
                <w:sz w:val="20"/>
              </w:rPr>
              <w:t>361,816</w:t>
            </w:r>
          </w:p>
        </w:tc>
        <w:tc>
          <w:tcPr>
            <w:tcW w:w="75" w:type="dxa"/>
            <w:tcBorders/>
            <w:shd w:fill="CCEEFF" w:val="clear"/>
            <w:vAlign w:val="center"/>
          </w:tcPr>
          <w:p>
            <w:pPr>
              <w:pStyle w:val="TableContents"/>
              <w:bidi w:val="0"/>
              <w:spacing w:before="0" w:after="283"/>
              <w:jc w:val="left"/>
              <w:rPr/>
            </w:pPr>
            <w:r>
              <w:rPr/>
              <w:t> </w:t>
            </w:r>
          </w:p>
        </w:tc>
      </w:tr>
      <w:tr>
        <w:trPr/>
        <w:tc>
          <w:tcPr>
            <w:tcW w:w="3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 w:type="dxa"/>
            <w:tcBorders>
              <w:bottom w:val="double" w:sz="10" w:space="0" w:color="000000"/>
            </w:tcBorders>
            <w:tcMar>
              <w:bottom w:w="28" w:type="dxa"/>
            </w:tcMar>
            <w:vAlign w:val="center"/>
          </w:tcPr>
          <w:p>
            <w:pPr>
              <w:pStyle w:val="TableContents"/>
              <w:bidi w:val="0"/>
              <w:spacing w:before="0" w:after="283"/>
              <w:jc w:val="left"/>
              <w:rPr>
                <w:sz w:val="20"/>
              </w:rPr>
            </w:pPr>
            <w:r>
              <w:rPr>
                <w:sz w:val="20"/>
              </w:rPr>
              <w:t>$</w:t>
            </w:r>
          </w:p>
        </w:tc>
        <w:tc>
          <w:tcPr>
            <w:tcW w:w="755" w:type="dxa"/>
            <w:tcBorders>
              <w:bottom w:val="double" w:sz="10" w:space="0" w:color="000000"/>
            </w:tcBorders>
            <w:tcMar>
              <w:bottom w:w="28" w:type="dxa"/>
            </w:tcMar>
            <w:vAlign w:val="center"/>
          </w:tcPr>
          <w:p>
            <w:pPr>
              <w:pStyle w:val="TableContents"/>
              <w:bidi w:val="0"/>
              <w:spacing w:before="0" w:after="283"/>
              <w:jc w:val="right"/>
              <w:rPr>
                <w:sz w:val="20"/>
              </w:rPr>
            </w:pPr>
            <w:r>
              <w:rPr>
                <w:sz w:val="20"/>
              </w:rPr>
              <w:t>906,244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1" w:type="dxa"/>
            <w:tcBorders>
              <w:bottom w:val="double" w:sz="10" w:space="0" w:color="000000"/>
            </w:tcBorders>
            <w:tcMar>
              <w:bottom w:w="28" w:type="dxa"/>
            </w:tcMar>
            <w:vAlign w:val="center"/>
          </w:tcPr>
          <w:p>
            <w:pPr>
              <w:pStyle w:val="TableContents"/>
              <w:bidi w:val="0"/>
              <w:spacing w:before="0" w:after="283"/>
              <w:jc w:val="left"/>
              <w:rPr>
                <w:sz w:val="20"/>
              </w:rPr>
            </w:pPr>
            <w:r>
              <w:rPr>
                <w:sz w:val="20"/>
              </w:rPr>
              <w:t>$</w:t>
            </w:r>
          </w:p>
        </w:tc>
        <w:tc>
          <w:tcPr>
            <w:tcW w:w="1023" w:type="dxa"/>
            <w:tcBorders>
              <w:bottom w:val="double" w:sz="10" w:space="0" w:color="000000"/>
            </w:tcBorders>
            <w:tcMar>
              <w:bottom w:w="28" w:type="dxa"/>
            </w:tcMar>
            <w:vAlign w:val="center"/>
          </w:tcPr>
          <w:p>
            <w:pPr>
              <w:pStyle w:val="TableContents"/>
              <w:bidi w:val="0"/>
              <w:spacing w:before="0" w:after="283"/>
              <w:jc w:val="right"/>
              <w:rPr>
                <w:sz w:val="20"/>
              </w:rPr>
            </w:pPr>
            <w:r>
              <w:rPr>
                <w:sz w:val="20"/>
              </w:rPr>
              <w:t>1,408,965</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5 – RELATED PARTY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15, 2024, Mr. Joe Trelin tendered his resignation as Chairman and a Director of the Company, effective immediately. On February 20, 2024, the board of directors of the Company (the “Board”) accepted his resignation and agreed to vest the unvested portion of an option granted to Mr. Trelin on June 28, 2023, amounting to 6,511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Commercial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6, 2023, the Company entered into a services agreement with The Pipeline Group, Inc. (“TPG”). Ken Jisser, a director of the Company, is the founder and CEO of TPG, a technology-enabled services company that aims to deliver business results for companies looking to build a predictable and profitable pipeline. As of March 31, 2024, the Company held a balance of approximately $163,000 in prepaid expenses related to this service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NOTE 6</w:t>
      </w:r>
      <w:r>
        <w:rPr>
          <w:rFonts w:ascii="Times New Roman;Times;Serif" w:hAnsi="Times New Roman;Times;Serif"/>
          <w:b w:val="false"/>
          <w:i w:val="false"/>
          <w:caps w:val="false"/>
          <w:smallCaps w:val="false"/>
          <w:sz w:val="20"/>
        </w:rPr>
        <w:t xml:space="preserve"> – </w:t>
      </w:r>
      <w:r>
        <w:rPr>
          <w:rFonts w:ascii="Times New Roman;Times;Serif" w:hAnsi="Times New Roman;Times;Serif"/>
          <w:b/>
          <w:i w:val="false"/>
          <w:caps w:val="false"/>
          <w:smallCaps w:val="false"/>
          <w:sz w:val="20"/>
        </w:rPr>
        <w:t>STOCKHOLDERS’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26, 2023, the Company filed a Certificate of Amendment to its Amended and Restated Certificate of Incorporation to effect a one-for-eight (1-for-8) reverse split (the “Reverse Split”) of the shares of the Company’s common stock. The Reverse Split became effective on July 7, 2023. As a result of the Reverse Split, every eight shares of the Company’s issued and outstanding common stock automatically converted into one share of common stock, without any change in the par value per share, and began trading on a post-split basis under the Company’s existing trading symbol, “AUID”, when the market opened on July 10, 2023. The Reverse Split affected all holders of common stock uniformly and did not affect any common stockholder’s percentage ownership interest in the Company, except for de minimis changes as a result of the elimination of fractional shares. A total of 62,816,330 shares of common stock were issued and outstanding immediately prior to the Reverse Split, and 7,874,962 shares of common stock were issued and outstanding immediately after the Reverse Split. No fractional shares were outstanding following the Reverse Split. Any holder who would have received a fractional share of common stock received an additional fraction of a share of common stock to round up their holding to the next whole share. In addition, effective as of the Reverse Split, proportionate adjustments were made to all then-outstanding options and warrants with respect to the number of shares of common stock subject to such options or warrants and the exercise prices thereof, as well as to the conversion price under the remaining Convertible Notes. The impact of this change in capital structure has been retroactively applied to all periods presented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was no common stock issued during the three months ended March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quarter ended March 31, 2023, the Company issued 68,186 shares of common stock for approximately $222,000 of interest accrued under the Convertible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was no warrant activity for the three months ended March 31, 2024 and 2023. As of March 31, 2024, there are warrants to acquire 598,267 shares for a weighted average exercise price of $11.89 per share with weighted average remaining life of 3.7 years.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Stock Options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March 31, 2024, the Company granted a total of 100,000 options to certain new employees at exercise prices ranging from $9.05 to $9.61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March 31, 2024 the Company agreed to accelerate the vesting of 6,511 options for Mr. Joe Trelin under the terms of his resignation with an exercise price of $5.48 per share. These accelerated options would not otherwise have vested prior to termination of service according to their Service conditions. Therefore, the Company recalculated the fair value of these options as of his termination date of February 20, 2024 using the Black Scholes method.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determined the grant date fair value of options granted for the three months ended March 31, 2024, using the Black Scholes Method, as applicable, with the following assumptions:</w:t>
      </w:r>
    </w:p>
    <w:p>
      <w:pPr>
        <w:pStyle w:val="TextBody"/>
        <w:bidi w:val="0"/>
        <w:spacing w:before="0" w:after="0"/>
        <w:ind w:left="0" w:right="0" w:hanging="0"/>
        <w:jc w:val="both"/>
        <w:rPr>
          <w:caps w:val="false"/>
          <w:smallCaps w:val="false"/>
        </w:rPr>
      </w:pPr>
      <w:r>
        <w:rPr>
          <w:caps w:val="false"/>
          <w:smallCaps w:val="false"/>
        </w:rPr>
        <w:t> </w:t>
      </w:r>
    </w:p>
    <w:tbl>
      <w:tblPr>
        <w:tblW w:w="2950" w:type="dxa"/>
        <w:jc w:val="left"/>
        <w:tblInd w:w="0" w:type="dxa"/>
        <w:tblLayout w:type="fixed"/>
        <w:tblCellMar>
          <w:top w:w="0" w:type="dxa"/>
          <w:left w:w="0" w:type="dxa"/>
          <w:bottom w:w="0" w:type="dxa"/>
          <w:right w:w="0" w:type="dxa"/>
        </w:tblCellMar>
      </w:tblPr>
      <w:tblGrid>
        <w:gridCol w:w="1610"/>
        <w:gridCol w:w="60"/>
        <w:gridCol w:w="1280"/>
      </w:tblGrid>
      <w:tr>
        <w:trPr/>
        <w:tc>
          <w:tcPr>
            <w:tcW w:w="1610" w:type="dxa"/>
            <w:tcBorders/>
            <w:shd w:fill="CCEEFF" w:val="clear"/>
            <w:vAlign w:val="center"/>
          </w:tcPr>
          <w:p>
            <w:pPr>
              <w:pStyle w:val="TableContents"/>
              <w:bidi w:val="0"/>
              <w:spacing w:before="0" w:after="283"/>
              <w:jc w:val="left"/>
              <w:rPr>
                <w:sz w:val="20"/>
              </w:rPr>
            </w:pPr>
            <w:r>
              <w:rPr>
                <w:sz w:val="20"/>
              </w:rPr>
              <w:t>Expected volatility</w:t>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center"/>
              <w:rPr>
                <w:sz w:val="20"/>
              </w:rPr>
            </w:pPr>
            <w:r>
              <w:rPr>
                <w:sz w:val="20"/>
              </w:rPr>
              <w:t>123%</w:t>
            </w:r>
          </w:p>
        </w:tc>
      </w:tr>
      <w:tr>
        <w:trPr/>
        <w:tc>
          <w:tcPr>
            <w:tcW w:w="1610" w:type="dxa"/>
            <w:tcBorders/>
            <w:vAlign w:val="center"/>
          </w:tcPr>
          <w:p>
            <w:pPr>
              <w:pStyle w:val="TableContents"/>
              <w:bidi w:val="0"/>
              <w:spacing w:before="0" w:after="283"/>
              <w:jc w:val="left"/>
              <w:rPr>
                <w:sz w:val="20"/>
              </w:rPr>
            </w:pPr>
            <w:r>
              <w:rPr>
                <w:sz w:val="20"/>
              </w:rPr>
              <w:t>Expected term</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center"/>
              <w:rPr>
                <w:sz w:val="20"/>
              </w:rPr>
            </w:pPr>
            <w:r>
              <w:rPr>
                <w:sz w:val="20"/>
              </w:rPr>
              <w:t>5 years</w:t>
            </w:r>
          </w:p>
        </w:tc>
      </w:tr>
      <w:tr>
        <w:trPr/>
        <w:tc>
          <w:tcPr>
            <w:tcW w:w="1610" w:type="dxa"/>
            <w:tcBorders/>
            <w:shd w:fill="CCEEFF" w:val="clear"/>
            <w:vAlign w:val="center"/>
          </w:tcPr>
          <w:p>
            <w:pPr>
              <w:pStyle w:val="TableContents"/>
              <w:bidi w:val="0"/>
              <w:spacing w:before="0" w:after="283"/>
              <w:jc w:val="left"/>
              <w:rPr>
                <w:sz w:val="20"/>
              </w:rPr>
            </w:pPr>
            <w:r>
              <w:rPr>
                <w:sz w:val="20"/>
              </w:rPr>
              <w:t>Risk free rate</w:t>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center"/>
              <w:rPr>
                <w:sz w:val="20"/>
              </w:rPr>
            </w:pPr>
            <w:r>
              <w:rPr>
                <w:sz w:val="20"/>
              </w:rPr>
              <w:t>3.80% – 4.03%</w:t>
            </w:r>
          </w:p>
        </w:tc>
      </w:tr>
      <w:tr>
        <w:trPr/>
        <w:tc>
          <w:tcPr>
            <w:tcW w:w="1610" w:type="dxa"/>
            <w:tcBorders/>
            <w:vAlign w:val="center"/>
          </w:tcPr>
          <w:p>
            <w:pPr>
              <w:pStyle w:val="TableContents"/>
              <w:bidi w:val="0"/>
              <w:spacing w:before="0" w:after="283"/>
              <w:jc w:val="left"/>
              <w:rPr>
                <w:sz w:val="20"/>
              </w:rPr>
            </w:pPr>
            <w:r>
              <w:rPr>
                <w:sz w:val="20"/>
              </w:rPr>
              <w:t>Dividend rate</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center"/>
              <w:rPr>
                <w:sz w:val="20"/>
              </w:rPr>
            </w:pPr>
            <w:r>
              <w:rPr>
                <w:sz w:val="20"/>
              </w:rPr>
              <w:t>0.00%</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Activity related to stock options for the three months ended March 31, 2024 (unaudited), is summarized as follows:</w:t>
      </w:r>
    </w:p>
    <w:p>
      <w:pPr>
        <w:pStyle w:val="TextBody"/>
        <w:bidi w:val="0"/>
        <w:spacing w:before="0" w:after="0"/>
        <w:ind w:left="0" w:right="0" w:hanging="0"/>
        <w:jc w:val="both"/>
        <w:rPr>
          <w:caps w:val="false"/>
          <w:smallCaps w:val="false"/>
        </w:rPr>
      </w:pPr>
      <w:r>
        <w:rPr>
          <w:caps w:val="false"/>
          <w:smallCaps w:val="false"/>
        </w:rPr>
        <w:t> </w:t>
      </w:r>
    </w:p>
    <w:tbl>
      <w:tblPr>
        <w:tblW w:w="8374" w:type="dxa"/>
        <w:jc w:val="left"/>
        <w:tblInd w:w="0" w:type="dxa"/>
        <w:tblLayout w:type="fixed"/>
        <w:tblCellMar>
          <w:top w:w="0" w:type="dxa"/>
          <w:left w:w="0" w:type="dxa"/>
          <w:bottom w:w="0" w:type="dxa"/>
          <w:right w:w="0" w:type="dxa"/>
        </w:tblCellMar>
      </w:tblPr>
      <w:tblGrid>
        <w:gridCol w:w="3350"/>
        <w:gridCol w:w="60"/>
        <w:gridCol w:w="65"/>
        <w:gridCol w:w="1064"/>
        <w:gridCol w:w="95"/>
        <w:gridCol w:w="60"/>
        <w:gridCol w:w="199"/>
        <w:gridCol w:w="796"/>
        <w:gridCol w:w="60"/>
        <w:gridCol w:w="60"/>
        <w:gridCol w:w="149"/>
        <w:gridCol w:w="1101"/>
        <w:gridCol w:w="60"/>
        <w:gridCol w:w="60"/>
        <w:gridCol w:w="140"/>
        <w:gridCol w:w="980"/>
        <w:gridCol w:w="75"/>
      </w:tblGrid>
      <w:tr>
        <w:trPr/>
        <w:tc>
          <w:tcPr>
            <w:tcW w:w="33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29"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center"/>
              <w:rPr>
                <w:b/>
              </w:rPr>
            </w:pPr>
            <w:r>
              <w:rPr>
                <w:b/>
              </w:rPr>
              <w:t>Weighted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vAlign w:val="center"/>
          </w:tcPr>
          <w:p>
            <w:pPr>
              <w:pStyle w:val="TableContents"/>
              <w:bidi w:val="0"/>
              <w:spacing w:before="0" w:after="283"/>
              <w:jc w:val="center"/>
              <w:rPr>
                <w:b/>
              </w:rPr>
            </w:pPr>
            <w:r>
              <w:rPr>
                <w:b/>
              </w:rPr>
              <w:t>Weighted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33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29"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center"/>
              <w:rPr>
                <w:b/>
              </w:rPr>
            </w:pPr>
            <w:r>
              <w:rPr>
                <w:b/>
              </w:rPr>
              <w:t>Average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vAlign w:val="center"/>
          </w:tcPr>
          <w:p>
            <w:pPr>
              <w:pStyle w:val="TableContents"/>
              <w:bidi w:val="0"/>
              <w:spacing w:before="0" w:after="283"/>
              <w:jc w:val="center"/>
              <w:rPr>
                <w:b/>
              </w:rPr>
            </w:pPr>
            <w:r>
              <w:rPr>
                <w:b/>
              </w:rPr>
              <w:t>Average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center"/>
              <w:rPr>
                <w:b/>
              </w:rPr>
            </w:pPr>
            <w:r>
              <w:rPr>
                <w:b/>
              </w:rPr>
              <w:t>Aggregate</w:t>
            </w:r>
          </w:p>
        </w:tc>
        <w:tc>
          <w:tcPr>
            <w:tcW w:w="75" w:type="dxa"/>
            <w:tcBorders/>
            <w:vAlign w:val="center"/>
          </w:tcPr>
          <w:p>
            <w:pPr>
              <w:pStyle w:val="TableContents"/>
              <w:bidi w:val="0"/>
              <w:spacing w:before="0" w:after="283"/>
              <w:jc w:val="left"/>
              <w:rPr/>
            </w:pPr>
            <w:r>
              <w:rPr/>
              <w:t> </w:t>
            </w:r>
          </w:p>
        </w:tc>
      </w:tr>
      <w:tr>
        <w:trPr/>
        <w:tc>
          <w:tcPr>
            <w:tcW w:w="33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29" w:type="dxa"/>
            <w:gridSpan w:val="2"/>
            <w:tcBorders/>
            <w:vAlign w:val="center"/>
          </w:tcPr>
          <w:p>
            <w:pPr>
              <w:pStyle w:val="TableContents"/>
              <w:bidi w:val="0"/>
              <w:spacing w:before="0" w:after="283"/>
              <w:jc w:val="center"/>
              <w:rPr>
                <w:b/>
              </w:rPr>
            </w:pPr>
            <w:r>
              <w:rPr>
                <w:b/>
              </w:rPr>
              <w:t>Number of</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center"/>
              <w:rPr>
                <w:b/>
              </w:rPr>
            </w:pPr>
            <w:r>
              <w:rPr>
                <w:b/>
              </w:rPr>
              <w:t>Exercise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vAlign w:val="center"/>
          </w:tcPr>
          <w:p>
            <w:pPr>
              <w:pStyle w:val="TableContents"/>
              <w:bidi w:val="0"/>
              <w:spacing w:before="0" w:after="283"/>
              <w:jc w:val="center"/>
              <w:rPr>
                <w:b/>
              </w:rPr>
            </w:pPr>
            <w:r>
              <w:rPr>
                <w:b/>
              </w:rPr>
              <w:t>Contractual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center"/>
              <w:rPr>
                <w:b/>
              </w:rPr>
            </w:pPr>
            <w:r>
              <w:rPr>
                <w:b/>
              </w:rPr>
              <w:t>Intrinsic</w:t>
            </w:r>
          </w:p>
        </w:tc>
        <w:tc>
          <w:tcPr>
            <w:tcW w:w="75" w:type="dxa"/>
            <w:tcBorders/>
            <w:vAlign w:val="center"/>
          </w:tcPr>
          <w:p>
            <w:pPr>
              <w:pStyle w:val="TableContents"/>
              <w:bidi w:val="0"/>
              <w:spacing w:before="0" w:after="283"/>
              <w:jc w:val="left"/>
              <w:rPr/>
            </w:pPr>
            <w:r>
              <w:rPr/>
              <w:t> </w:t>
            </w:r>
          </w:p>
        </w:tc>
      </w:tr>
      <w:tr>
        <w:trPr/>
        <w:tc>
          <w:tcPr>
            <w:tcW w:w="33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2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Term (Yrs.)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Value</w:t>
            </w:r>
          </w:p>
        </w:tc>
        <w:tc>
          <w:tcPr>
            <w:tcW w:w="75" w:type="dxa"/>
            <w:tcBorders/>
            <w:vAlign w:val="center"/>
          </w:tcPr>
          <w:p>
            <w:pPr>
              <w:pStyle w:val="TableContents"/>
              <w:bidi w:val="0"/>
              <w:spacing w:before="0" w:after="283"/>
              <w:jc w:val="left"/>
              <w:rPr/>
            </w:pPr>
            <w:r>
              <w:rPr/>
              <w:t> </w:t>
            </w:r>
          </w:p>
        </w:tc>
      </w:tr>
      <w:tr>
        <w:trPr/>
        <w:tc>
          <w:tcPr>
            <w:tcW w:w="33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29"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283"/>
              <w:jc w:val="left"/>
              <w:rPr/>
            </w:pPr>
            <w:r>
              <w:rPr/>
              <w:t>Outstanding at December 31, 2023</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right"/>
              <w:rPr/>
            </w:pPr>
            <w:r>
              <w:rPr/>
              <w:t>1,796,743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w:t>
            </w:r>
          </w:p>
        </w:tc>
        <w:tc>
          <w:tcPr>
            <w:tcW w:w="796" w:type="dxa"/>
            <w:tcBorders/>
            <w:shd w:fill="CCEEFF" w:val="clear"/>
            <w:vAlign w:val="center"/>
          </w:tcPr>
          <w:p>
            <w:pPr>
              <w:pStyle w:val="TableContents"/>
              <w:bidi w:val="0"/>
              <w:spacing w:before="0" w:after="283"/>
              <w:jc w:val="right"/>
              <w:rPr/>
            </w:pPr>
            <w:r>
              <w:rPr/>
              <w:t>25.20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101" w:type="dxa"/>
            <w:tcBorders/>
            <w:shd w:fill="CCEEFF" w:val="clear"/>
            <w:vAlign w:val="center"/>
          </w:tcPr>
          <w:p>
            <w:pPr>
              <w:pStyle w:val="TableContents"/>
              <w:bidi w:val="0"/>
              <w:spacing w:before="0" w:after="283"/>
              <w:jc w:val="right"/>
              <w:rPr/>
            </w:pPr>
            <w:r>
              <w:rPr/>
              <w:t>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3,630,733</w:t>
            </w:r>
          </w:p>
        </w:tc>
        <w:tc>
          <w:tcPr>
            <w:tcW w:w="75" w:type="dxa"/>
            <w:tcBorders/>
            <w:shd w:fill="CCEEFF" w:val="clear"/>
            <w:vAlign w:val="center"/>
          </w:tcPr>
          <w:p>
            <w:pPr>
              <w:pStyle w:val="TableContents"/>
              <w:bidi w:val="0"/>
              <w:spacing w:before="0" w:after="283"/>
              <w:jc w:val="left"/>
              <w:rPr/>
            </w:pPr>
            <w:r>
              <w:rPr/>
              <w:t> </w:t>
            </w:r>
          </w:p>
        </w:tc>
      </w:tr>
      <w:tr>
        <w:trPr/>
        <w:tc>
          <w:tcPr>
            <w:tcW w:w="3350" w:type="dxa"/>
            <w:tcBorders/>
            <w:vAlign w:val="center"/>
          </w:tcPr>
          <w:p>
            <w:pPr>
              <w:pStyle w:val="TableContents"/>
              <w:bidi w:val="0"/>
              <w:spacing w:before="0" w:after="283"/>
              <w:jc w:val="left"/>
              <w:rPr/>
            </w:pPr>
            <w:r>
              <w:rPr/>
              <w:t>Granted</w:t>
            </w:r>
          </w:p>
        </w:tc>
        <w:tc>
          <w:tcPr>
            <w:tcW w:w="6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064" w:type="dxa"/>
            <w:tcBorders/>
            <w:vAlign w:val="center"/>
          </w:tcPr>
          <w:p>
            <w:pPr>
              <w:pStyle w:val="TableContents"/>
              <w:bidi w:val="0"/>
              <w:spacing w:before="0" w:after="283"/>
              <w:jc w:val="right"/>
              <w:rPr/>
            </w:pPr>
            <w:r>
              <w:rPr/>
              <w:t>100,000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w:t>
            </w:r>
          </w:p>
        </w:tc>
        <w:tc>
          <w:tcPr>
            <w:tcW w:w="796" w:type="dxa"/>
            <w:tcBorders/>
            <w:vAlign w:val="center"/>
          </w:tcPr>
          <w:p>
            <w:pPr>
              <w:pStyle w:val="TableContents"/>
              <w:bidi w:val="0"/>
              <w:spacing w:before="0" w:after="283"/>
              <w:jc w:val="right"/>
              <w:rPr/>
            </w:pPr>
            <w:r>
              <w:rPr/>
              <w:t>9.38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1101" w:type="dxa"/>
            <w:tcBorders/>
            <w:vAlign w:val="center"/>
          </w:tcPr>
          <w:p>
            <w:pPr>
              <w:pStyle w:val="TableContents"/>
              <w:bidi w:val="0"/>
              <w:spacing w:before="0" w:after="283"/>
              <w:jc w:val="right"/>
              <w:rPr/>
            </w:pPr>
            <w:r>
              <w:rPr/>
              <w:t>10.0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0"/>
              <w:jc w:val="right"/>
              <w:rPr/>
            </w:pPr>
            <w:r>
              <w:rPr/>
              <w:t>-</w:t>
            </w:r>
          </w:p>
        </w:tc>
        <w:tc>
          <w:tcPr>
            <w:tcW w:w="75" w:type="dxa"/>
            <w:tcBorders/>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283"/>
              <w:jc w:val="left"/>
              <w:rPr/>
            </w:pPr>
            <w:r>
              <w:rPr/>
              <w:t>Exercised</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w:t>
            </w:r>
          </w:p>
        </w:tc>
        <w:tc>
          <w:tcPr>
            <w:tcW w:w="796"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101"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0"/>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350" w:type="dxa"/>
            <w:tcBorders/>
            <w:vAlign w:val="center"/>
          </w:tcPr>
          <w:p>
            <w:pPr>
              <w:pStyle w:val="TableContents"/>
              <w:bidi w:val="0"/>
              <w:spacing w:before="0" w:after="283"/>
              <w:jc w:val="left"/>
              <w:rPr/>
            </w:pPr>
            <w:r>
              <w:rPr/>
              <w:t>Forfeited/cancelled</w:t>
            </w:r>
          </w:p>
        </w:tc>
        <w:tc>
          <w:tcPr>
            <w:tcW w:w="60" w:type="dxa"/>
            <w:tcBorders/>
            <w:vAlign w:val="center"/>
          </w:tcPr>
          <w:p>
            <w:pPr>
              <w:pStyle w:val="TableContents"/>
              <w:bidi w:val="0"/>
              <w:spacing w:before="0" w:after="283"/>
              <w:jc w:val="left"/>
              <w:rPr/>
            </w:pPr>
            <w:r>
              <w:rPr/>
              <w:t> </w:t>
            </w:r>
          </w:p>
        </w:tc>
        <w:tc>
          <w:tcPr>
            <w:tcW w:w="65" w:type="dxa"/>
            <w:tcBorders>
              <w:bottom w:val="single" w:sz="12" w:space="0" w:color="000000"/>
            </w:tcBorders>
            <w:tcMar>
              <w:bottom w:w="28" w:type="dxa"/>
            </w:tcMar>
            <w:vAlign w:val="center"/>
          </w:tcPr>
          <w:p>
            <w:pPr>
              <w:pStyle w:val="TableContents"/>
              <w:bidi w:val="0"/>
              <w:spacing w:before="0" w:after="283"/>
              <w:jc w:val="left"/>
              <w:rPr/>
            </w:pPr>
            <w:r>
              <w:rPr/>
              <w:t> </w:t>
            </w:r>
          </w:p>
        </w:tc>
        <w:tc>
          <w:tcPr>
            <w:tcW w:w="1064" w:type="dxa"/>
            <w:tcBorders>
              <w:bottom w:val="single" w:sz="12" w:space="0" w:color="000000"/>
            </w:tcBorders>
            <w:tcMar>
              <w:bottom w:w="28" w:type="dxa"/>
            </w:tcMar>
            <w:vAlign w:val="center"/>
          </w:tcPr>
          <w:p>
            <w:pPr>
              <w:pStyle w:val="TableContents"/>
              <w:bidi w:val="0"/>
              <w:spacing w:before="0" w:after="283"/>
              <w:jc w:val="right"/>
              <w:rPr/>
            </w:pPr>
            <w:r>
              <w:rPr/>
              <w:t>(15,772</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w:t>
            </w:r>
          </w:p>
        </w:tc>
        <w:tc>
          <w:tcPr>
            <w:tcW w:w="796" w:type="dxa"/>
            <w:tcBorders/>
            <w:vAlign w:val="center"/>
          </w:tcPr>
          <w:p>
            <w:pPr>
              <w:pStyle w:val="TableContents"/>
              <w:bidi w:val="0"/>
              <w:spacing w:before="0" w:after="283"/>
              <w:jc w:val="right"/>
              <w:rPr/>
            </w:pPr>
            <w:r>
              <w:rPr/>
              <w:t>13.35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1101" w:type="dxa"/>
            <w:tcBorders/>
            <w:vAlign w:val="center"/>
          </w:tcPr>
          <w:p>
            <w:pPr>
              <w:pStyle w:val="TableContents"/>
              <w:bidi w:val="0"/>
              <w:spacing w:before="0" w:after="283"/>
              <w:jc w:val="right"/>
              <w:rPr/>
            </w:pPr>
            <w:r>
              <w:rPr/>
              <w:t>4.3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0"/>
              <w:jc w:val="right"/>
              <w:rPr/>
            </w:pPr>
            <w:r>
              <w:rPr/>
              <w:t>-</w:t>
            </w:r>
          </w:p>
        </w:tc>
        <w:tc>
          <w:tcPr>
            <w:tcW w:w="75" w:type="dxa"/>
            <w:tcBorders/>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283"/>
              <w:jc w:val="left"/>
              <w:rPr/>
            </w:pPr>
            <w:r>
              <w:rPr/>
              <w:t>Outstanding as of March 31, 2024</w:t>
            </w:r>
          </w:p>
        </w:tc>
        <w:tc>
          <w:tcPr>
            <w:tcW w:w="60" w:type="dxa"/>
            <w:tcBorders/>
            <w:shd w:fill="CCEEFF" w:val="clear"/>
            <w:vAlign w:val="center"/>
          </w:tcPr>
          <w:p>
            <w:pPr>
              <w:pStyle w:val="TableContents"/>
              <w:bidi w:val="0"/>
              <w:spacing w:before="0" w:after="283"/>
              <w:jc w:val="left"/>
              <w:rPr/>
            </w:pPr>
            <w:r>
              <w:rPr/>
              <w:t> </w:t>
            </w:r>
          </w:p>
        </w:tc>
        <w:tc>
          <w:tcPr>
            <w:tcW w:w="65"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64" w:type="dxa"/>
            <w:tcBorders>
              <w:bottom w:val="double" w:sz="10" w:space="0" w:color="000000"/>
            </w:tcBorders>
            <w:shd w:fill="CCEEFF" w:val="clear"/>
            <w:tcMar>
              <w:bottom w:w="28" w:type="dxa"/>
            </w:tcMar>
            <w:vAlign w:val="center"/>
          </w:tcPr>
          <w:p>
            <w:pPr>
              <w:pStyle w:val="TableContents"/>
              <w:bidi w:val="0"/>
              <w:spacing w:before="0" w:after="283"/>
              <w:jc w:val="right"/>
              <w:rPr/>
            </w:pPr>
            <w:r>
              <w:rPr/>
              <w:t>1,880,971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w:t>
            </w:r>
          </w:p>
        </w:tc>
        <w:tc>
          <w:tcPr>
            <w:tcW w:w="796" w:type="dxa"/>
            <w:tcBorders/>
            <w:shd w:fill="CCEEFF" w:val="clear"/>
            <w:vAlign w:val="center"/>
          </w:tcPr>
          <w:p>
            <w:pPr>
              <w:pStyle w:val="TableContents"/>
              <w:bidi w:val="0"/>
              <w:spacing w:before="0" w:after="283"/>
              <w:jc w:val="right"/>
              <w:rPr/>
            </w:pPr>
            <w:r>
              <w:rPr/>
              <w:t>24.23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101" w:type="dxa"/>
            <w:tcBorders/>
            <w:shd w:fill="CCEEFF" w:val="clear"/>
            <w:vAlign w:val="center"/>
          </w:tcPr>
          <w:p>
            <w:pPr>
              <w:pStyle w:val="TableContents"/>
              <w:bidi w:val="0"/>
              <w:spacing w:before="0" w:after="283"/>
              <w:jc w:val="right"/>
              <w:rPr/>
            </w:pPr>
            <w:r>
              <w:rPr/>
              <w:t>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2,163,663</w:t>
            </w:r>
          </w:p>
        </w:tc>
        <w:tc>
          <w:tcPr>
            <w:tcW w:w="75" w:type="dxa"/>
            <w:tcBorders/>
            <w:shd w:fill="CCEEFF" w:val="clear"/>
            <w:vAlign w:val="center"/>
          </w:tcPr>
          <w:p>
            <w:pPr>
              <w:pStyle w:val="TableContents"/>
              <w:bidi w:val="0"/>
              <w:spacing w:before="0" w:after="283"/>
              <w:jc w:val="left"/>
              <w:rPr/>
            </w:pPr>
            <w:r>
              <w:rPr/>
              <w:t> </w:t>
            </w:r>
          </w:p>
        </w:tc>
      </w:tr>
      <w:tr>
        <w:trPr/>
        <w:tc>
          <w:tcPr>
            <w:tcW w:w="3350" w:type="dxa"/>
            <w:tcBorders/>
            <w:vAlign w:val="center"/>
          </w:tcPr>
          <w:p>
            <w:pPr>
              <w:pStyle w:val="TableContents"/>
              <w:bidi w:val="0"/>
              <w:spacing w:before="0" w:after="283"/>
              <w:jc w:val="left"/>
              <w:rPr/>
            </w:pPr>
            <w:r>
              <w:rPr/>
              <w:t>Exercisable as of March 31, 2024</w:t>
            </w:r>
          </w:p>
        </w:tc>
        <w:tc>
          <w:tcPr>
            <w:tcW w:w="60" w:type="dxa"/>
            <w:tcBorders/>
            <w:vAlign w:val="center"/>
          </w:tcPr>
          <w:p>
            <w:pPr>
              <w:pStyle w:val="TableContents"/>
              <w:bidi w:val="0"/>
              <w:spacing w:before="0" w:after="283"/>
              <w:jc w:val="left"/>
              <w:rPr/>
            </w:pPr>
            <w:r>
              <w:rPr/>
              <w:t> </w:t>
            </w:r>
          </w:p>
        </w:tc>
        <w:tc>
          <w:tcPr>
            <w:tcW w:w="65" w:type="dxa"/>
            <w:tcBorders>
              <w:bottom w:val="double" w:sz="10" w:space="0" w:color="000000"/>
            </w:tcBorders>
            <w:tcMar>
              <w:bottom w:w="28" w:type="dxa"/>
            </w:tcMar>
            <w:vAlign w:val="center"/>
          </w:tcPr>
          <w:p>
            <w:pPr>
              <w:pStyle w:val="TableContents"/>
              <w:bidi w:val="0"/>
              <w:spacing w:before="0" w:after="283"/>
              <w:jc w:val="left"/>
              <w:rPr/>
            </w:pPr>
            <w:r>
              <w:rPr/>
              <w:t> </w:t>
            </w:r>
          </w:p>
        </w:tc>
        <w:tc>
          <w:tcPr>
            <w:tcW w:w="1064" w:type="dxa"/>
            <w:tcBorders>
              <w:bottom w:val="double" w:sz="10" w:space="0" w:color="000000"/>
            </w:tcBorders>
            <w:tcMar>
              <w:bottom w:w="28" w:type="dxa"/>
            </w:tcMar>
            <w:vAlign w:val="center"/>
          </w:tcPr>
          <w:p>
            <w:pPr>
              <w:pStyle w:val="TableContents"/>
              <w:bidi w:val="0"/>
              <w:spacing w:before="0" w:after="283"/>
              <w:jc w:val="right"/>
              <w:rPr/>
            </w:pPr>
            <w:r>
              <w:rPr/>
              <w:t>1,158,568</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w:t>
            </w:r>
          </w:p>
        </w:tc>
        <w:tc>
          <w:tcPr>
            <w:tcW w:w="796" w:type="dxa"/>
            <w:tcBorders/>
            <w:vAlign w:val="center"/>
          </w:tcPr>
          <w:p>
            <w:pPr>
              <w:pStyle w:val="TableContents"/>
              <w:bidi w:val="0"/>
              <w:spacing w:before="0" w:after="283"/>
              <w:jc w:val="right"/>
              <w:rPr/>
            </w:pPr>
            <w:r>
              <w:rPr/>
              <w:t>30.57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1101" w:type="dxa"/>
            <w:tcBorders/>
            <w:vAlign w:val="center"/>
          </w:tcPr>
          <w:p>
            <w:pPr>
              <w:pStyle w:val="TableContents"/>
              <w:bidi w:val="0"/>
              <w:spacing w:before="0" w:after="283"/>
              <w:jc w:val="right"/>
              <w:rPr/>
            </w:pPr>
            <w:r>
              <w:rPr/>
              <w:t>5.0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1,085,676</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stock option information as of March 31, 2024 (unaudited):  </w:t>
      </w:r>
    </w:p>
    <w:p>
      <w:pPr>
        <w:pStyle w:val="TextBody"/>
        <w:bidi w:val="0"/>
        <w:spacing w:before="0" w:after="0"/>
        <w:ind w:left="0" w:right="0" w:hanging="0"/>
        <w:jc w:val="both"/>
        <w:rPr>
          <w:caps w:val="false"/>
          <w:smallCaps w:val="false"/>
        </w:rPr>
      </w:pPr>
      <w:r>
        <w:rPr>
          <w:caps w:val="false"/>
          <w:smallCaps w:val="false"/>
        </w:rPr>
        <w:t> </w:t>
      </w:r>
    </w:p>
    <w:tbl>
      <w:tblPr>
        <w:tblW w:w="5810" w:type="dxa"/>
        <w:jc w:val="left"/>
        <w:tblInd w:w="0" w:type="dxa"/>
        <w:tblLayout w:type="fixed"/>
        <w:tblCellMar>
          <w:top w:w="0" w:type="dxa"/>
          <w:left w:w="0" w:type="dxa"/>
          <w:bottom w:w="0" w:type="dxa"/>
          <w:right w:w="0" w:type="dxa"/>
        </w:tblCellMar>
      </w:tblPr>
      <w:tblGrid>
        <w:gridCol w:w="1715"/>
        <w:gridCol w:w="60"/>
        <w:gridCol w:w="73"/>
        <w:gridCol w:w="1207"/>
        <w:gridCol w:w="60"/>
        <w:gridCol w:w="60"/>
        <w:gridCol w:w="197"/>
        <w:gridCol w:w="1053"/>
        <w:gridCol w:w="60"/>
        <w:gridCol w:w="60"/>
        <w:gridCol w:w="68"/>
        <w:gridCol w:w="1122"/>
        <w:gridCol w:w="75"/>
      </w:tblGrid>
      <w:tr>
        <w:trPr/>
        <w:tc>
          <w:tcPr>
            <w:tcW w:w="17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vAlign w:val="center"/>
          </w:tcPr>
          <w:p>
            <w:pPr>
              <w:pStyle w:val="TableContents"/>
              <w:bidi w:val="0"/>
              <w:spacing w:before="0" w:after="283"/>
              <w:jc w:val="center"/>
              <w:rPr>
                <w:b/>
              </w:rPr>
            </w:pPr>
            <w:r>
              <w:rPr>
                <w:b/>
              </w:rPr>
              <w:t>Weighted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17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vAlign w:val="center"/>
          </w:tcPr>
          <w:p>
            <w:pPr>
              <w:pStyle w:val="TableContents"/>
              <w:bidi w:val="0"/>
              <w:spacing w:before="0" w:after="283"/>
              <w:jc w:val="center"/>
              <w:rPr>
                <w:b/>
              </w:rPr>
            </w:pPr>
            <w:r>
              <w:rPr>
                <w:b/>
              </w:rPr>
              <w:t>Average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17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vAlign w:val="center"/>
          </w:tcPr>
          <w:p>
            <w:pPr>
              <w:pStyle w:val="TableContents"/>
              <w:bidi w:val="0"/>
              <w:spacing w:before="0" w:after="283"/>
              <w:jc w:val="center"/>
              <w:rPr>
                <w:b/>
              </w:rPr>
            </w:pPr>
            <w:r>
              <w:rPr>
                <w:b/>
              </w:rPr>
              <w:t>Contractual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1715" w:type="dxa"/>
            <w:tcBorders>
              <w:bottom w:val="single" w:sz="12" w:space="0" w:color="000000"/>
            </w:tcBorders>
            <w:tcMar>
              <w:bottom w:w="28" w:type="dxa"/>
            </w:tcMar>
            <w:vAlign w:val="center"/>
          </w:tcPr>
          <w:p>
            <w:pPr>
              <w:pStyle w:val="TableContents"/>
              <w:bidi w:val="0"/>
              <w:spacing w:before="0" w:after="283"/>
              <w:jc w:val="left"/>
              <w:rPr>
                <w:b/>
              </w:rPr>
            </w:pPr>
            <w:r>
              <w:rPr>
                <w:b/>
              </w:rPr>
              <w:t>Exercise Price</w:t>
            </w:r>
          </w:p>
        </w:tc>
        <w:tc>
          <w:tcPr>
            <w:tcW w:w="60" w:type="dxa"/>
            <w:tcBorders/>
            <w:vAlign w:val="center"/>
          </w:tcPr>
          <w:p>
            <w:pPr>
              <w:pStyle w:val="TableContents"/>
              <w:bidi w:val="0"/>
              <w:spacing w:before="0" w:after="283"/>
              <w:jc w:val="left"/>
              <w:rPr/>
            </w:pPr>
            <w:r>
              <w:rPr/>
              <w:t> </w:t>
            </w:r>
          </w:p>
        </w:tc>
        <w:tc>
          <w:tcPr>
            <w:tcW w:w="12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Outstanding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Term (Yrs.)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Exercisable</w:t>
            </w:r>
          </w:p>
        </w:tc>
        <w:tc>
          <w:tcPr>
            <w:tcW w:w="75" w:type="dxa"/>
            <w:tcBorders/>
            <w:vAlign w:val="center"/>
          </w:tcPr>
          <w:p>
            <w:pPr>
              <w:pStyle w:val="TableContents"/>
              <w:bidi w:val="0"/>
              <w:spacing w:before="0" w:after="283"/>
              <w:jc w:val="left"/>
              <w:rPr/>
            </w:pPr>
            <w:r>
              <w:rPr/>
              <w:t> </w:t>
            </w:r>
          </w:p>
        </w:tc>
      </w:tr>
      <w:tr>
        <w:trPr/>
        <w:tc>
          <w:tcPr>
            <w:tcW w:w="17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715" w:type="dxa"/>
            <w:tcBorders/>
            <w:shd w:fill="CCEEFF" w:val="clear"/>
            <w:vAlign w:val="center"/>
          </w:tcPr>
          <w:p>
            <w:pPr>
              <w:pStyle w:val="TableContents"/>
              <w:bidi w:val="0"/>
              <w:spacing w:before="0" w:after="283"/>
              <w:jc w:val="left"/>
              <w:rPr/>
            </w:pPr>
            <w:r>
              <w:rPr/>
              <w:t>$2.64 – $5.00</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207" w:type="dxa"/>
            <w:tcBorders/>
            <w:shd w:fill="CCEEFF" w:val="clear"/>
            <w:vAlign w:val="center"/>
          </w:tcPr>
          <w:p>
            <w:pPr>
              <w:pStyle w:val="TableContents"/>
              <w:bidi w:val="0"/>
              <w:spacing w:before="0" w:after="283"/>
              <w:jc w:val="right"/>
              <w:rPr/>
            </w:pPr>
            <w:r>
              <w:rPr/>
              <w:t>354,379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053" w:type="dxa"/>
            <w:tcBorders/>
            <w:shd w:fill="CCEEFF" w:val="clear"/>
            <w:vAlign w:val="center"/>
          </w:tcPr>
          <w:p>
            <w:pPr>
              <w:pStyle w:val="TableContents"/>
              <w:bidi w:val="0"/>
              <w:spacing w:before="0" w:after="283"/>
              <w:jc w:val="right"/>
              <w:rPr/>
            </w:pPr>
            <w:r>
              <w:rPr/>
              <w:t>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171,103</w:t>
            </w:r>
          </w:p>
        </w:tc>
        <w:tc>
          <w:tcPr>
            <w:tcW w:w="75" w:type="dxa"/>
            <w:tcBorders/>
            <w:shd w:fill="CCEEFF" w:val="clear"/>
            <w:vAlign w:val="center"/>
          </w:tcPr>
          <w:p>
            <w:pPr>
              <w:pStyle w:val="TableContents"/>
              <w:bidi w:val="0"/>
              <w:spacing w:before="0" w:after="283"/>
              <w:jc w:val="left"/>
              <w:rPr/>
            </w:pPr>
            <w:r>
              <w:rPr/>
              <w:t> </w:t>
            </w:r>
          </w:p>
        </w:tc>
      </w:tr>
      <w:tr>
        <w:trPr/>
        <w:tc>
          <w:tcPr>
            <w:tcW w:w="1715" w:type="dxa"/>
            <w:tcBorders/>
            <w:vAlign w:val="center"/>
          </w:tcPr>
          <w:p>
            <w:pPr>
              <w:pStyle w:val="TableContents"/>
              <w:bidi w:val="0"/>
              <w:spacing w:before="0" w:after="283"/>
              <w:jc w:val="left"/>
              <w:rPr/>
            </w:pPr>
            <w:r>
              <w:rPr/>
              <w:t>$5.01 – $10.00</w:t>
            </w:r>
          </w:p>
        </w:tc>
        <w:tc>
          <w:tcPr>
            <w:tcW w:w="6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207" w:type="dxa"/>
            <w:tcBorders/>
            <w:vAlign w:val="center"/>
          </w:tcPr>
          <w:p>
            <w:pPr>
              <w:pStyle w:val="TableContents"/>
              <w:bidi w:val="0"/>
              <w:spacing w:before="0" w:after="283"/>
              <w:jc w:val="right"/>
              <w:rPr/>
            </w:pPr>
            <w:r>
              <w:rPr/>
              <w:t>661,189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1053" w:type="dxa"/>
            <w:tcBorders/>
            <w:vAlign w:val="center"/>
          </w:tcPr>
          <w:p>
            <w:pPr>
              <w:pStyle w:val="TableContents"/>
              <w:bidi w:val="0"/>
              <w:spacing w:before="0" w:after="283"/>
              <w:jc w:val="right"/>
              <w:rPr/>
            </w:pPr>
            <w:r>
              <w:rPr/>
              <w:t>9.1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122" w:type="dxa"/>
            <w:tcBorders/>
            <w:vAlign w:val="center"/>
          </w:tcPr>
          <w:p>
            <w:pPr>
              <w:pStyle w:val="TableContents"/>
              <w:bidi w:val="0"/>
              <w:spacing w:before="0" w:after="283"/>
              <w:jc w:val="right"/>
              <w:rPr/>
            </w:pPr>
            <w:r>
              <w:rPr/>
              <w:t>224,949</w:t>
            </w:r>
          </w:p>
        </w:tc>
        <w:tc>
          <w:tcPr>
            <w:tcW w:w="75" w:type="dxa"/>
            <w:tcBorders/>
            <w:vAlign w:val="center"/>
          </w:tcPr>
          <w:p>
            <w:pPr>
              <w:pStyle w:val="TableContents"/>
              <w:bidi w:val="0"/>
              <w:spacing w:before="0" w:after="283"/>
              <w:jc w:val="left"/>
              <w:rPr/>
            </w:pPr>
            <w:r>
              <w:rPr/>
              <w:t> </w:t>
            </w:r>
          </w:p>
        </w:tc>
      </w:tr>
      <w:tr>
        <w:trPr/>
        <w:tc>
          <w:tcPr>
            <w:tcW w:w="1715" w:type="dxa"/>
            <w:tcBorders/>
            <w:shd w:fill="CCEEFF" w:val="clear"/>
            <w:vAlign w:val="center"/>
          </w:tcPr>
          <w:p>
            <w:pPr>
              <w:pStyle w:val="TableContents"/>
              <w:bidi w:val="0"/>
              <w:spacing w:before="0" w:after="283"/>
              <w:jc w:val="left"/>
              <w:rPr/>
            </w:pPr>
            <w:r>
              <w:rPr/>
              <w:t>$10.01 – $15.00</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207" w:type="dxa"/>
            <w:tcBorders/>
            <w:shd w:fill="CCEEFF" w:val="clear"/>
            <w:vAlign w:val="center"/>
          </w:tcPr>
          <w:p>
            <w:pPr>
              <w:pStyle w:val="TableContents"/>
              <w:bidi w:val="0"/>
              <w:spacing w:before="0" w:after="283"/>
              <w:jc w:val="right"/>
              <w:rPr/>
            </w:pPr>
            <w:r>
              <w:rPr/>
              <w:t>43,703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053" w:type="dxa"/>
            <w:tcBorders/>
            <w:shd w:fill="CCEEFF" w:val="clear"/>
            <w:vAlign w:val="center"/>
          </w:tcPr>
          <w:p>
            <w:pPr>
              <w:pStyle w:val="TableContents"/>
              <w:bidi w:val="0"/>
              <w:spacing w:before="0" w:after="283"/>
              <w:jc w:val="right"/>
              <w:rPr/>
            </w:pPr>
            <w:r>
              <w:rPr/>
              <w:t>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43,703</w:t>
            </w:r>
          </w:p>
        </w:tc>
        <w:tc>
          <w:tcPr>
            <w:tcW w:w="75" w:type="dxa"/>
            <w:tcBorders/>
            <w:shd w:fill="CCEEFF" w:val="clear"/>
            <w:vAlign w:val="center"/>
          </w:tcPr>
          <w:p>
            <w:pPr>
              <w:pStyle w:val="TableContents"/>
              <w:bidi w:val="0"/>
              <w:spacing w:before="0" w:after="283"/>
              <w:jc w:val="left"/>
              <w:rPr/>
            </w:pPr>
            <w:r>
              <w:rPr/>
              <w:t> </w:t>
            </w:r>
          </w:p>
        </w:tc>
      </w:tr>
      <w:tr>
        <w:trPr/>
        <w:tc>
          <w:tcPr>
            <w:tcW w:w="1715" w:type="dxa"/>
            <w:tcBorders/>
            <w:vAlign w:val="center"/>
          </w:tcPr>
          <w:p>
            <w:pPr>
              <w:pStyle w:val="TableContents"/>
              <w:bidi w:val="0"/>
              <w:spacing w:before="0" w:after="283"/>
              <w:jc w:val="left"/>
              <w:rPr/>
            </w:pPr>
            <w:r>
              <w:rPr/>
              <w:t>$15.01 – $20.00</w:t>
            </w:r>
          </w:p>
        </w:tc>
        <w:tc>
          <w:tcPr>
            <w:tcW w:w="6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207" w:type="dxa"/>
            <w:tcBorders/>
            <w:vAlign w:val="center"/>
          </w:tcPr>
          <w:p>
            <w:pPr>
              <w:pStyle w:val="TableContents"/>
              <w:bidi w:val="0"/>
              <w:spacing w:before="0" w:after="283"/>
              <w:jc w:val="right"/>
              <w:rPr/>
            </w:pPr>
            <w:r>
              <w:rPr/>
              <w:t>252,084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1053" w:type="dxa"/>
            <w:tcBorders/>
            <w:vAlign w:val="center"/>
          </w:tcPr>
          <w:p>
            <w:pPr>
              <w:pStyle w:val="TableContents"/>
              <w:bidi w:val="0"/>
              <w:spacing w:before="0" w:after="283"/>
              <w:jc w:val="right"/>
              <w:rPr/>
            </w:pPr>
            <w:r>
              <w:rPr/>
              <w:t>1.5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122" w:type="dxa"/>
            <w:tcBorders/>
            <w:vAlign w:val="center"/>
          </w:tcPr>
          <w:p>
            <w:pPr>
              <w:pStyle w:val="TableContents"/>
              <w:bidi w:val="0"/>
              <w:spacing w:before="0" w:after="283"/>
              <w:jc w:val="right"/>
              <w:rPr/>
            </w:pPr>
            <w:r>
              <w:rPr/>
              <w:t>252,084</w:t>
            </w:r>
          </w:p>
        </w:tc>
        <w:tc>
          <w:tcPr>
            <w:tcW w:w="75" w:type="dxa"/>
            <w:tcBorders/>
            <w:vAlign w:val="center"/>
          </w:tcPr>
          <w:p>
            <w:pPr>
              <w:pStyle w:val="TableContents"/>
              <w:bidi w:val="0"/>
              <w:spacing w:before="0" w:after="283"/>
              <w:jc w:val="left"/>
              <w:rPr/>
            </w:pPr>
            <w:r>
              <w:rPr/>
              <w:t> </w:t>
            </w:r>
          </w:p>
        </w:tc>
      </w:tr>
      <w:tr>
        <w:trPr/>
        <w:tc>
          <w:tcPr>
            <w:tcW w:w="1715" w:type="dxa"/>
            <w:tcBorders/>
            <w:shd w:fill="CCEEFF" w:val="clear"/>
            <w:vAlign w:val="center"/>
          </w:tcPr>
          <w:p>
            <w:pPr>
              <w:pStyle w:val="TableContents"/>
              <w:bidi w:val="0"/>
              <w:spacing w:before="0" w:after="283"/>
              <w:jc w:val="left"/>
              <w:rPr/>
            </w:pPr>
            <w:r>
              <w:rPr/>
              <w:t>$20.01 – $121.28</w:t>
            </w:r>
          </w:p>
        </w:tc>
        <w:tc>
          <w:tcPr>
            <w:tcW w:w="60" w:type="dxa"/>
            <w:tcBorders/>
            <w:shd w:fill="CCEEFF" w:val="clear"/>
            <w:vAlign w:val="center"/>
          </w:tcPr>
          <w:p>
            <w:pPr>
              <w:pStyle w:val="TableContents"/>
              <w:bidi w:val="0"/>
              <w:spacing w:before="0" w:after="283"/>
              <w:jc w:val="left"/>
              <w:rPr/>
            </w:pPr>
            <w:r>
              <w:rPr/>
              <w:t> </w:t>
            </w:r>
          </w:p>
        </w:tc>
        <w:tc>
          <w:tcPr>
            <w:tcW w:w="7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7" w:type="dxa"/>
            <w:tcBorders>
              <w:bottom w:val="single" w:sz="12" w:space="0" w:color="000000"/>
            </w:tcBorders>
            <w:shd w:fill="CCEEFF" w:val="clear"/>
            <w:tcMar>
              <w:bottom w:w="28" w:type="dxa"/>
            </w:tcMar>
            <w:vAlign w:val="center"/>
          </w:tcPr>
          <w:p>
            <w:pPr>
              <w:pStyle w:val="TableContents"/>
              <w:bidi w:val="0"/>
              <w:spacing w:before="0" w:after="283"/>
              <w:jc w:val="right"/>
              <w:rPr/>
            </w:pPr>
            <w:r>
              <w:rPr/>
              <w:t>569,616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053" w:type="dxa"/>
            <w:tcBorders/>
            <w:shd w:fill="CCEEFF" w:val="clear"/>
            <w:vAlign w:val="center"/>
          </w:tcPr>
          <w:p>
            <w:pPr>
              <w:pStyle w:val="TableContents"/>
              <w:bidi w:val="0"/>
              <w:spacing w:before="0" w:after="283"/>
              <w:jc w:val="right"/>
              <w:rPr/>
            </w:pPr>
            <w:r>
              <w:rPr/>
              <w:t>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22" w:type="dxa"/>
            <w:tcBorders>
              <w:bottom w:val="single" w:sz="12" w:space="0" w:color="000000"/>
            </w:tcBorders>
            <w:shd w:fill="CCEEFF" w:val="clear"/>
            <w:tcMar>
              <w:bottom w:w="28" w:type="dxa"/>
            </w:tcMar>
            <w:vAlign w:val="center"/>
          </w:tcPr>
          <w:p>
            <w:pPr>
              <w:pStyle w:val="TableContents"/>
              <w:bidi w:val="0"/>
              <w:spacing w:before="0" w:after="283"/>
              <w:jc w:val="right"/>
              <w:rPr/>
            </w:pPr>
            <w:r>
              <w:rPr/>
              <w:t>466,729</w:t>
            </w:r>
          </w:p>
        </w:tc>
        <w:tc>
          <w:tcPr>
            <w:tcW w:w="75" w:type="dxa"/>
            <w:tcBorders/>
            <w:shd w:fill="CCEEFF" w:val="clear"/>
            <w:vAlign w:val="center"/>
          </w:tcPr>
          <w:p>
            <w:pPr>
              <w:pStyle w:val="TableContents"/>
              <w:bidi w:val="0"/>
              <w:spacing w:before="0" w:after="283"/>
              <w:jc w:val="left"/>
              <w:rPr/>
            </w:pPr>
            <w:r>
              <w:rPr/>
              <w:t> </w:t>
            </w:r>
          </w:p>
        </w:tc>
      </w:tr>
      <w:tr>
        <w:trPr/>
        <w:tc>
          <w:tcPr>
            <w:tcW w:w="17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 w:type="dxa"/>
            <w:tcBorders>
              <w:bottom w:val="double" w:sz="10" w:space="0" w:color="000000"/>
            </w:tcBorders>
            <w:tcMar>
              <w:bottom w:w="28" w:type="dxa"/>
            </w:tcMar>
            <w:vAlign w:val="center"/>
          </w:tcPr>
          <w:p>
            <w:pPr>
              <w:pStyle w:val="TableContents"/>
              <w:bidi w:val="0"/>
              <w:spacing w:before="0" w:after="283"/>
              <w:jc w:val="left"/>
              <w:rPr/>
            </w:pPr>
            <w:r>
              <w:rPr/>
              <w:t> </w:t>
            </w:r>
          </w:p>
        </w:tc>
        <w:tc>
          <w:tcPr>
            <w:tcW w:w="1207" w:type="dxa"/>
            <w:tcBorders>
              <w:bottom w:val="double" w:sz="10" w:space="0" w:color="000000"/>
            </w:tcBorders>
            <w:tcMar>
              <w:bottom w:w="28" w:type="dxa"/>
            </w:tcMar>
            <w:vAlign w:val="center"/>
          </w:tcPr>
          <w:p>
            <w:pPr>
              <w:pStyle w:val="TableContents"/>
              <w:bidi w:val="0"/>
              <w:spacing w:before="0" w:after="283"/>
              <w:jc w:val="right"/>
              <w:rPr/>
            </w:pPr>
            <w:r>
              <w:rPr/>
              <w:t>1,880,971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1053" w:type="dxa"/>
            <w:tcBorders/>
            <w:vAlign w:val="center"/>
          </w:tcPr>
          <w:p>
            <w:pPr>
              <w:pStyle w:val="TableContents"/>
              <w:bidi w:val="0"/>
              <w:spacing w:before="0" w:after="283"/>
              <w:jc w:val="right"/>
              <w:rPr/>
            </w:pPr>
            <w:r>
              <w:rPr/>
              <w:t>6.1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 w:type="dxa"/>
            <w:tcBorders>
              <w:bottom w:val="double" w:sz="10" w:space="0" w:color="000000"/>
            </w:tcBorders>
            <w:tcMar>
              <w:bottom w:w="28" w:type="dxa"/>
            </w:tcMar>
            <w:vAlign w:val="center"/>
          </w:tcPr>
          <w:p>
            <w:pPr>
              <w:pStyle w:val="TableContents"/>
              <w:bidi w:val="0"/>
              <w:spacing w:before="0" w:after="283"/>
              <w:jc w:val="left"/>
              <w:rPr/>
            </w:pPr>
            <w:r>
              <w:rPr/>
              <w:t> </w:t>
            </w:r>
          </w:p>
        </w:tc>
        <w:tc>
          <w:tcPr>
            <w:tcW w:w="1122" w:type="dxa"/>
            <w:tcBorders>
              <w:bottom w:val="double" w:sz="10" w:space="0" w:color="000000"/>
            </w:tcBorders>
            <w:tcMar>
              <w:bottom w:w="28" w:type="dxa"/>
            </w:tcMar>
            <w:vAlign w:val="center"/>
          </w:tcPr>
          <w:p>
            <w:pPr>
              <w:pStyle w:val="TableContents"/>
              <w:bidi w:val="0"/>
              <w:spacing w:before="0" w:after="283"/>
              <w:jc w:val="right"/>
              <w:rPr/>
            </w:pPr>
            <w:r>
              <w:rPr/>
              <w:t>1,158,568</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March 31, 2024, the Company recognized approximately $0.72 million of stock option-based compensation expense. As of March 31, 2024, there was approximately $2.6 million of unrecognized compensation costs related to stock options outstanding that will be expensed through 2027.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7 – COMMITMENTS AND CONTINGENCIES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Legal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the Company is a party to various legal or administrative proceedings arising in the ordinary course of our business. While any litigation contains an element of uncertainty, we have no reason to believe that the outcome of such proceedings will have a material adverse effect on the financial condition or results of operations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no remaining lease agreements as of July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Rent expense included in general and administrative on the Consolidated Statements of Operations for the three months ended March 31, 2024 was approximately $1,000, compared with $5,000 for the three months ended March 31,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8 – SUBSEQUENT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of the Company has performed a review of all events and transactions occurring after the condensed consolidated balance sheet date and determined there were no events or transactions requiring adjustment to or disclosure in the accompanying condensed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0" w:name="a_009"/>
      <w:bookmarkEnd w:id="10"/>
      <w:r>
        <w:rPr>
          <w:rFonts w:ascii="Times New Roman;Times;Serif" w:hAnsi="Times New Roman;Times;Serif"/>
          <w:b/>
          <w:i w:val="false"/>
          <w:caps w:val="false"/>
          <w:smallCaps w:val="false"/>
          <w:sz w:val="20"/>
        </w:rPr>
        <w:t>ITEM 2. MANAGEMENT’S DISCUSSION AND ANALYSIS OF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discussion and analysis of our financial condition and results of operations are based on our financial statements, which we have prepared in accordance with accounting principles generally accepted in the United States of America (“U.S. GAAP”). The preparation of these financial statements requires us to make estimates and assumptions that affect the reported amounts of assets and liabilities and the disclosure of contingent assets and liabilities at the date of the financial statements, as well as the reported revenues and expenses during the reporting periods. On an ongoing basis, we evaluate estimates and judgments, including those described in greater detail below.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in this “Management’s Discussion and Analysis of Financial Condition and Results of Operation,” except where the context otherwise requires, the term “we,” “us,” “our,” “authID” or “the Company,” refers to the business of authID Inc. and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Overview</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authID ensures cyber-savvy enterprises “Know Who’s Behind the Device”</w:t>
      </w:r>
      <w:r>
        <w:rPr>
          <w:rFonts w:ascii="Times New Roman;Times;Serif" w:hAnsi="Times New Roman;Times;Serif"/>
          <w:b w:val="false"/>
          <w:i w:val="false"/>
          <w:caps w:val="false"/>
          <w:smallCaps w:val="false"/>
          <w:position w:val="7"/>
          <w:sz w:val="16"/>
          <w:sz w:val="20"/>
        </w:rPr>
        <w:t>TM</w:t>
      </w:r>
      <w:r>
        <w:rPr>
          <w:rFonts w:ascii="Times New Roman;Times;Serif" w:hAnsi="Times New Roman;Times;Serif"/>
          <w:b w:val="false"/>
          <w:i w:val="false"/>
          <w:caps w:val="false"/>
          <w:smallCaps w:val="false"/>
          <w:sz w:val="20"/>
        </w:rPr>
        <w:t xml:space="preserve"> for every customer or employee login and transaction. Through its easy-to-integrate, patented, biometric identity platform, authID quickly and accurately verifies a user’s identity, eliminating any assumption of ‘who’ is behind a device and preventing cybercriminals from taking over accounts. authID combines digital onboarding, biometric passwordless authentication and account recovery, with a fast, accurate, user-friendly experience – delivering identity verification in 700ms. Establishing a biometric root of trust for each user that is bound to their accounts, or provisioned devices, authID stops fraud at onboarding, eliminates password risks and costs, and provides the faster, frictionless, and more accurate user identity experience demanded by operators of today’s digital ecosystems.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Platform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Verified</w:t>
      </w:r>
      <w:r>
        <w:rPr>
          <w:rFonts w:ascii="Times New Roman;Times;Serif" w:hAnsi="Times New Roman;Times;Serif"/>
          <w:b w:val="false"/>
          <w:i w:val="false"/>
          <w:caps w:val="false"/>
          <w:smallCaps w:val="false"/>
          <w:position w:val="7"/>
          <w:sz w:val="16"/>
          <w:sz w:val="20"/>
        </w:rPr>
        <w:t>TM</w:t>
      </w:r>
      <w:r>
        <w:rPr>
          <w:rFonts w:ascii="Times New Roman;Times;Serif" w:hAnsi="Times New Roman;Times;Serif"/>
          <w:b w:val="false"/>
          <w:i w:val="false"/>
          <w:caps w:val="false"/>
          <w:smallCaps w:val="false"/>
          <w:sz w:val="20"/>
        </w:rPr>
        <w:t xml:space="preserve"> cloud-based platform was developed with internally developed software as well as acquired and licensed technology and provides the following core services:</w:t>
      </w:r>
    </w:p>
    <w:p>
      <w:pPr>
        <w:pStyle w:val="TextBody"/>
        <w:bidi w:val="0"/>
        <w:spacing w:before="0" w:after="0"/>
        <w:ind w:left="990" w:right="0" w:hanging="360"/>
        <w:jc w:val="both"/>
        <w:rPr>
          <w:caps w:val="false"/>
          <w:smallCaps w:val="false"/>
        </w:rPr>
      </w:pPr>
      <w:r>
        <w:rPr>
          <w:caps w:val="false"/>
          <w:smallCaps w:val="false"/>
        </w:rPr>
        <w:t> </w:t>
      </w:r>
    </w:p>
    <w:tbl>
      <w:tblPr>
        <w:tblW w:w="2763" w:type="dxa"/>
        <w:jc w:val="left"/>
        <w:tblInd w:w="0" w:type="dxa"/>
        <w:tblLayout w:type="fixed"/>
        <w:tblCellMar>
          <w:top w:w="0" w:type="dxa"/>
          <w:left w:w="0" w:type="dxa"/>
          <w:bottom w:w="0" w:type="dxa"/>
          <w:right w:w="0" w:type="dxa"/>
        </w:tblCellMar>
      </w:tblPr>
      <w:tblGrid>
        <w:gridCol w:w="38"/>
        <w:gridCol w:w="170"/>
        <w:gridCol w:w="25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555" w:type="dxa"/>
            <w:tcBorders/>
            <w:vAlign w:val="center"/>
          </w:tcPr>
          <w:p>
            <w:pPr>
              <w:pStyle w:val="TableContents"/>
              <w:bidi w:val="0"/>
              <w:spacing w:before="0" w:after="283"/>
              <w:jc w:val="both"/>
              <w:rPr>
                <w:sz w:val="20"/>
              </w:rPr>
            </w:pPr>
            <w:r>
              <w:rPr>
                <w:sz w:val="20"/>
              </w:rPr>
              <w:t>Biometric Identity Verification</w:t>
            </w:r>
          </w:p>
        </w:tc>
      </w:tr>
    </w:tbl>
    <w:p>
      <w:pPr>
        <w:pStyle w:val="TextBody"/>
        <w:bidi w:val="0"/>
        <w:spacing w:before="0" w:after="0"/>
        <w:ind w:left="0" w:right="0" w:hanging="0"/>
        <w:jc w:val="left"/>
        <w:rPr>
          <w:caps w:val="false"/>
          <w:smallCaps w:val="false"/>
        </w:rPr>
      </w:pPr>
      <w:r>
        <w:rPr>
          <w:caps w:val="false"/>
          <w:smallCaps w:val="false"/>
        </w:rPr>
        <w:t> </w:t>
      </w:r>
    </w:p>
    <w:tbl>
      <w:tblPr>
        <w:tblW w:w="3018" w:type="dxa"/>
        <w:jc w:val="left"/>
        <w:tblInd w:w="0" w:type="dxa"/>
        <w:tblLayout w:type="fixed"/>
        <w:tblCellMar>
          <w:top w:w="0" w:type="dxa"/>
          <w:left w:w="0" w:type="dxa"/>
          <w:bottom w:w="0" w:type="dxa"/>
          <w:right w:w="0" w:type="dxa"/>
        </w:tblCellMar>
      </w:tblPr>
      <w:tblGrid>
        <w:gridCol w:w="38"/>
        <w:gridCol w:w="170"/>
        <w:gridCol w:w="28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810" w:type="dxa"/>
            <w:tcBorders/>
            <w:vAlign w:val="center"/>
          </w:tcPr>
          <w:p>
            <w:pPr>
              <w:pStyle w:val="TableContents"/>
              <w:bidi w:val="0"/>
              <w:spacing w:before="0" w:after="283"/>
              <w:jc w:val="both"/>
              <w:rPr>
                <w:sz w:val="20"/>
              </w:rPr>
            </w:pPr>
            <w:r>
              <w:rPr>
                <w:sz w:val="20"/>
              </w:rPr>
              <w:t>Biometric Identity Authentication</w:t>
            </w:r>
          </w:p>
        </w:tc>
      </w:tr>
    </w:tbl>
    <w:p>
      <w:pPr>
        <w:pStyle w:val="TextBody"/>
        <w:bidi w:val="0"/>
        <w:spacing w:before="0" w:after="0"/>
        <w:ind w:left="0" w:right="0" w:hanging="0"/>
        <w:jc w:val="left"/>
        <w:rPr>
          <w:caps w:val="false"/>
          <w:smallCaps w:val="false"/>
        </w:rPr>
      </w:pPr>
      <w:r>
        <w:rPr>
          <w:caps w:val="false"/>
          <w:smallCaps w:val="false"/>
        </w:rPr>
        <w:t> </w:t>
      </w:r>
    </w:p>
    <w:tbl>
      <w:tblPr>
        <w:tblW w:w="2463" w:type="dxa"/>
        <w:jc w:val="left"/>
        <w:tblInd w:w="0" w:type="dxa"/>
        <w:tblLayout w:type="fixed"/>
        <w:tblCellMar>
          <w:top w:w="0" w:type="dxa"/>
          <w:left w:w="0" w:type="dxa"/>
          <w:bottom w:w="0" w:type="dxa"/>
          <w:right w:w="0" w:type="dxa"/>
        </w:tblCellMar>
      </w:tblPr>
      <w:tblGrid>
        <w:gridCol w:w="38"/>
        <w:gridCol w:w="170"/>
        <w:gridCol w:w="22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255" w:type="dxa"/>
            <w:tcBorders/>
            <w:vAlign w:val="center"/>
          </w:tcPr>
          <w:p>
            <w:pPr>
              <w:pStyle w:val="TableContents"/>
              <w:bidi w:val="0"/>
              <w:spacing w:before="0" w:after="283"/>
              <w:jc w:val="both"/>
              <w:rPr>
                <w:sz w:val="20"/>
              </w:rPr>
            </w:pPr>
            <w:r>
              <w:rPr>
                <w:sz w:val="20"/>
              </w:rPr>
              <w:t>Account / Access Recovery</w:t>
            </w:r>
          </w:p>
        </w:tc>
      </w:tr>
    </w:tbl>
    <w:p>
      <w:pPr>
        <w:pStyle w:val="TextBody"/>
        <w:bidi w:val="0"/>
        <w:spacing w:before="0" w:after="0"/>
        <w:ind w:left="0" w:right="0" w:hanging="0"/>
        <w:jc w:val="left"/>
        <w:rPr>
          <w:caps w:val="false"/>
          <w:smallCaps w:val="false"/>
        </w:rPr>
      </w:pPr>
      <w:r>
        <w:rPr>
          <w:caps w:val="false"/>
          <w:smallCaps w:val="false"/>
        </w:rPr>
        <w:t> </w:t>
      </w:r>
    </w:p>
    <w:tbl>
      <w:tblPr>
        <w:tblW w:w="2058" w:type="dxa"/>
        <w:jc w:val="left"/>
        <w:tblInd w:w="0" w:type="dxa"/>
        <w:tblLayout w:type="fixed"/>
        <w:tblCellMar>
          <w:top w:w="0" w:type="dxa"/>
          <w:left w:w="0" w:type="dxa"/>
          <w:bottom w:w="0" w:type="dxa"/>
          <w:right w:w="0" w:type="dxa"/>
        </w:tblCellMar>
      </w:tblPr>
      <w:tblGrid>
        <w:gridCol w:w="38"/>
        <w:gridCol w:w="170"/>
        <w:gridCol w:w="18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850" w:type="dxa"/>
            <w:tcBorders/>
            <w:vAlign w:val="center"/>
          </w:tcPr>
          <w:p>
            <w:pPr>
              <w:pStyle w:val="TableContents"/>
              <w:bidi w:val="0"/>
              <w:spacing w:before="0" w:after="283"/>
              <w:jc w:val="both"/>
              <w:rPr>
                <w:sz w:val="20"/>
              </w:rPr>
            </w:pPr>
            <w:r>
              <w:rPr>
                <w:sz w:val="20"/>
              </w:rPr>
              <w:t>FIDO Passkey binding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Biometric Identity Verification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Biometric identity verification establishes the trusted identity of a user based on a variety of ground truth sources, including government-issued identity documents such as national IDs, driver’s licenses and passports or electronic machine-readable travel documents (or eMRTDs). Our Verified</w:t>
      </w:r>
      <w:r>
        <w:rPr>
          <w:rFonts w:ascii="Times New Roman;Times;Serif" w:hAnsi="Times New Roman;Times;Serif"/>
          <w:b w:val="false"/>
          <w:i w:val="false"/>
          <w:caps w:val="false"/>
          <w:smallCaps w:val="false"/>
          <w:position w:val="7"/>
          <w:sz w:val="16"/>
          <w:sz w:val="20"/>
        </w:rPr>
        <w:t>TM</w:t>
      </w:r>
      <w:r>
        <w:rPr>
          <w:rFonts w:ascii="Times New Roman;Times;Serif" w:hAnsi="Times New Roman;Times;Serif"/>
          <w:b w:val="false"/>
          <w:i w:val="false"/>
          <w:caps w:val="false"/>
          <w:smallCaps w:val="false"/>
          <w:sz w:val="20"/>
        </w:rPr>
        <w:t xml:space="preserve"> platform detects presentation attack and spoofing threats, evaluates the authenticity of security features present on a government-issued identity document, and biometrically matches the reference picture of the document with a live user’s selfie (a photograph that the user has taken of themselves). Usually occurring at account opening or onboarding, identity verification ensures that the enterprise knows that the person interacting with the enterprise is who they say they are, in real time. authID’s Proof</w:t>
      </w:r>
      <w:r>
        <w:rPr>
          <w:rFonts w:ascii="Times New Roman;Times;Serif" w:hAnsi="Times New Roman;Times;Serif"/>
          <w:b w:val="false"/>
          <w:i w:val="false"/>
          <w:caps w:val="false"/>
          <w:smallCaps w:val="false"/>
          <w:position w:val="7"/>
          <w:sz w:val="16"/>
          <w:sz w:val="20"/>
        </w:rPr>
        <w:t>TM</w:t>
      </w:r>
      <w:r>
        <w:rPr>
          <w:rFonts w:ascii="Times New Roman;Times;Serif" w:hAnsi="Times New Roman;Times;Serif"/>
          <w:b w:val="false"/>
          <w:i w:val="false"/>
          <w:caps w:val="false"/>
          <w:smallCaps w:val="false"/>
          <w:sz w:val="20"/>
        </w:rPr>
        <w:t xml:space="preserve"> identity verification product eliminates the need for costly and less accurate face-to-face, in-person ID checks and instead provides a verified identity in seconds. In a digital, online world of increasing fraud and security threats, Proof speeds up onboarding and offers our customers confidence in the identities of consumers, employees or third-party vendors.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Biometric Identity Authentication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Biometric identity authentication provides any organization with a secure, convenient solution to validate that an individual is the verified account owner for various purposes including passwordless login and performing specific transactions, or functions. The authID Verified product allows users to confirm their identity with their facial biometric by simply taking a selfie on a mobile phone or device of their choosing (as opposed to dedicated hardware). The solution includes a patented audit trail created for each transaction, containing the digitally signed transaction details, with proof of identity authentication and consent.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Account Access and Recovery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authID’s Verified biometric identity authentication solution allows users to recover, via a facial biometric, account access that is lost or blocked due to expired credentials, lockouts, lost or stolen devices, or compromised accounts. Because the account owner’s root of trust is established in the cloud, recovery is independent of any device or hardware. In this way, account recovery is instant, portable, and does not require the presence of or access to a previously provisioned device in order to secure access from a different device.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FIDO Passkey Binding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FIDO Passkey Binding enables enterprises and their users to bind biometrically verified user identities to FIDO2 passkeys, enabling strong authentication for device-based passwordless login and transaction authentication that is tied to a trusted identity. This solution establishes a digital chain of trust between biometrically verified individuals, their accounts, and their devices, thus eliminating passwords and protecting users and systems against fraud attacks.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Customer Benefits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solution allows our enterprise customers to:</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i/>
                <w:sz w:val="20"/>
              </w:rPr>
              <w:t xml:space="preserve">Verify and Authenticate users. </w:t>
            </w:r>
            <w:r>
              <w:rPr>
                <w:sz w:val="20"/>
              </w:rPr>
              <w:t>Customers can use the authID platform not only to verify the identity of new users, but also to authenticate those users seamlessly on an ongoing basis to enable quick, secure logins and transaction authentications.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i/>
                <w:sz w:val="20"/>
              </w:rPr>
              <w:t>Benefit from high-speed processing</w:t>
            </w:r>
            <w:r>
              <w:rPr>
                <w:sz w:val="20"/>
              </w:rPr>
              <w:t>. Our solution returns a very low-latency response, key to enabling high-volume use cases (such as logins and high-value transactions) and providing a frictionless user experience.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i/>
                <w:sz w:val="20"/>
              </w:rPr>
            </w:pPr>
            <w:r>
              <w:rPr>
                <w:i/>
                <w:sz w:val="20"/>
              </w:rPr>
              <w:t>Precisely and accurately identify their consumers and employees, giving the enterprise complete confidence in who is accessing their digital assets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i/>
                <w:sz w:val="20"/>
              </w:rPr>
            </w:pPr>
            <w:r>
              <w:rPr>
                <w:i/>
                <w:sz w:val="20"/>
              </w:rPr>
              <w:t>Provide a seamless user experience in terms of speed and self-guided flow, so that even users who are not tech-savvy are easily able to complete the identity verification and authentication processes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i/>
                <w:sz w:val="20"/>
              </w:rPr>
              <w:t>Support a wide variety of devices</w:t>
            </w:r>
            <w:r>
              <w:rPr>
                <w:sz w:val="20"/>
              </w:rPr>
              <w:t>. Our cloud-based service is device agnostic and may be used to verify or authenticate users on any device with a camera, including shared devices, digital kiosks, etc.</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i/>
                <w:sz w:val="20"/>
              </w:rPr>
              <w:t>Integrate quickly and easily.</w:t>
            </w:r>
            <w:r>
              <w:rPr>
                <w:sz w:val="20"/>
              </w:rPr>
              <w:t xml:space="preserve"> We offer pre-integrated OIDC connections as well as integrations with several leading Identity and Access Management solutions.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i/>
                <w:sz w:val="20"/>
              </w:rPr>
              <w:t>Offer broad identity document coverage.</w:t>
            </w:r>
            <w:r>
              <w:rPr>
                <w:sz w:val="20"/>
              </w:rPr>
              <w:t xml:space="preserve"> We can verify identities using a wide spectrum of government-issued documents from around the world.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Discontinued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4, 2022, the Board of Directors of authID (the “Board” or the “Board of Directors”) approved a plan to exit from certain non-core activities comprising the MultiPay correspondent bank payments services in Colombia. On June 30, 2023, the Company completed the sale of its legacy payments software by MultiPay. MultiPay S.A.S., and IDGS S.A.S operations are presented as discontinued operations in the Consolidated Statements of Operations during the year ended December 31, 2023, as they met the criteria for discontinued operations under applicable accounting guidance.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Trends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our financial results will be impacted by several market trends in the identity verification and authentication markets, as well as expanding digital transformation efforts across a wide range of market segments. These trends include: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growing concerns over identity theft, fraud and account takeover, resulting from the acceleration of digital transformation, for example online shopping and remote working and the growth in AI assisted fraud;</w:t>
            </w:r>
          </w:p>
        </w:tc>
      </w:tr>
    </w:tbl>
    <w:p>
      <w:pPr>
        <w:pStyle w:val="TextBody"/>
        <w:bidi w:val="0"/>
        <w:spacing w:before="0" w:after="0"/>
        <w:ind w:left="720" w:right="0" w:hanging="360"/>
        <w:jc w:val="both"/>
        <w:rPr>
          <w:caps w:val="false"/>
          <w:smallCaps w:val="false"/>
        </w:rPr>
      </w:pPr>
      <w:r>
        <w:rPr>
          <w:caps w:val="false"/>
          <w:smallCaps w:val="false"/>
        </w:rPr>
        <w:t> </w:t>
      </w:r>
    </w:p>
    <w:tbl>
      <w:tblPr>
        <w:tblW w:w="3505" w:type="dxa"/>
        <w:jc w:val="left"/>
        <w:tblInd w:w="0" w:type="dxa"/>
        <w:tblLayout w:type="fixed"/>
        <w:tblCellMar>
          <w:top w:w="0" w:type="dxa"/>
          <w:left w:w="0" w:type="dxa"/>
          <w:bottom w:w="0" w:type="dxa"/>
          <w:right w:w="0" w:type="dxa"/>
        </w:tblCellMar>
      </w:tblPr>
      <w:tblGrid>
        <w:gridCol w:w="75"/>
        <w:gridCol w:w="170"/>
        <w:gridCol w:w="32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260" w:type="dxa"/>
            <w:tcBorders/>
            <w:vAlign w:val="center"/>
          </w:tcPr>
          <w:p>
            <w:pPr>
              <w:pStyle w:val="TableContents"/>
              <w:bidi w:val="0"/>
              <w:spacing w:before="0" w:after="283"/>
              <w:jc w:val="both"/>
              <w:rPr>
                <w:sz w:val="20"/>
              </w:rPr>
            </w:pPr>
            <w:r>
              <w:rPr>
                <w:sz w:val="20"/>
              </w:rPr>
              <w:t>the growth in the sharing economy; and</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 xml:space="preserve">the increase in electronic payments and alternative money transfer solutions provided by both bank and non-bank entities. The key drivers for these alternative payment methods are consumer demands for safe, convenient payment transactions, with less friction.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results are also impacted by the changes in levels of spending on identity verification, management and security methods, and thus, negative trends in the global economy and other factors which negatively impact such spending may negatively impact the growth in our revenue from those products. The global economy has been undergoing a period of political and economic uncertainty and stock markets are experiencing high levels of volatility, and it is difficult to predict how long this uncertainty and volatility will continue.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plan to grow our business by increasing the use of our services by our existing customers, by adding new customers through our direct salesforce, channel partners and by expanding into new markets and innovation. If we are successful in these efforts, we would expect our revenue to continue to grow.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was incorporated in the State of Delaware on September 21, 2011, and changed our name from Ipsidy Inc. to authID Inc. on July 18, 2022. Our corporate headquarters is located at 1580 North Logan Street, Suite 660, Unit 51767, Denver, CO 80203 and our main phone number is (516) 274-8700. Our website address is www.authid.ai. The information contained on, or that can be accessed through, our website is not incorporated by reference into this Form 10-Q and you should not consider information on our website to be part of this Form 10-Q.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Going Concern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unaudited condensed consolidated financial statements included in this Quarterly Report have been prepared in accordance with United States GAAP assuming the Company will continue on a going concern basis, which implies the Company will continue to meet its obligations and continue its operations for the next year following the issuance date of these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2024, the Company had an accumulated deficit of approximately $162.6 million. For the three months ended March 31, 2024, the Company earned revenue from continuing operations of approximately $0.16 million, used approximately $2.9 million to fund its operations, and incurred a net loss of approximately $3.1 million. The continuation of the Company as a going concern is dependent upon financial support from the Company’s stockholders and noteholders, the ability of the Company to obtain additional debt or equity financing to continue operations, the Company’s ability to generate sufficient cash flows from operations, successfully locating and negotiating with other business entities for potential acquisition and /or acquiring new clients to generate revenues and cash flows. In 2024 and 2025, the Company plans to raise additional funds to support its operations and investments as it seeks to create a sustainable organization. Our growth-oriented business plan to offer products to our customers will require continued capital investment and there is no guarantee that such financing will be available, or available on acceptable terms.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assurance that the Company will ever be profitable. These consolidated financial statements do not include any adjustments to reflect the possible future effects on the recoverability and classification of assets or the amounts and classifications of liabilities that may result should the Company be unable to continue as a going concern. As there can be no assurance that the Company will be able to achieve positive cash flows (become cash flow profitable) and raise sufficient capital to maintain operations, there is substantial doubt about the Company’s ability to continue as a going concern.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Adjusted EBITDA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discussion includes information about Adjusted EBITDA that is not prepared in accordance with GAAP. Adjusted EBITDA is not based on any standardized methodology prescribed by GAAP and is not necessarily comparable to similar measures presented by other companies. A reconciliation of this non-GAAP measure is included below. Adjusted EBITDA is a non-GAAP financial measure that represents GAAP net income (loss) adjusted to exclude (1) interest expense and debt discount and debt issuance costs amortization expense, (2) interest income, (3) provision for income taxes, (4) depreciation and amortization, (5) stock-based compensation expense (stock options) and (6) loss on debt extinguishment, and conversion expense on exchange of Convertible Notes and certain other items management believes affect the comparability of operating results. Management believes that Adjusted EBITDA, when viewed with our results under GAAP and the accompanying reconciliations, provides useful information about our period-over-period results. Adjusted EBITDA is presented because management believes it provides additional information with respect to the performance of our fundamental business activities and is also frequently used by securities analysts, investors and other interested parties in the evaluation of comparable companies. We also rely on Adjusted EBITDA as a primary measure to review and assess the operating performance of our company and our management, and it will be a focus as we invest in and grow the business. Adjusted EBITDA has limitations as an analytical tool, and you should not consider it in isolation from, or as a substitute for, analysis of our results as reported under GAAP. Some of these limitations are: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Adjusted EBITDA does not reflect our cash expenditures or future requirements for capital expenditures or contractual commitments;</w:t>
            </w:r>
          </w:p>
        </w:tc>
      </w:tr>
    </w:tbl>
    <w:p>
      <w:pPr>
        <w:pStyle w:val="TextBody"/>
        <w:bidi w:val="0"/>
        <w:spacing w:before="0" w:after="0"/>
        <w:ind w:left="0" w:right="0" w:hanging="0"/>
        <w:jc w:val="both"/>
        <w:rPr>
          <w:caps w:val="false"/>
          <w:smallCaps w:val="false"/>
        </w:rPr>
      </w:pPr>
      <w:r>
        <w:rPr>
          <w:caps w:val="false"/>
          <w:smallCaps w:val="false"/>
        </w:rPr>
        <w:t> </w:t>
      </w:r>
    </w:p>
    <w:tbl>
      <w:tblPr>
        <w:tblW w:w="8245" w:type="dxa"/>
        <w:jc w:val="left"/>
        <w:tblInd w:w="0" w:type="dxa"/>
        <w:tblLayout w:type="fixed"/>
        <w:tblCellMar>
          <w:top w:w="0" w:type="dxa"/>
          <w:left w:w="0" w:type="dxa"/>
          <w:bottom w:w="0" w:type="dxa"/>
          <w:right w:w="0" w:type="dxa"/>
        </w:tblCellMar>
      </w:tblPr>
      <w:tblGrid>
        <w:gridCol w:w="75"/>
        <w:gridCol w:w="170"/>
        <w:gridCol w:w="80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000" w:type="dxa"/>
            <w:tcBorders/>
            <w:vAlign w:val="center"/>
          </w:tcPr>
          <w:p>
            <w:pPr>
              <w:pStyle w:val="TableContents"/>
              <w:bidi w:val="0"/>
              <w:spacing w:before="0" w:after="283"/>
              <w:jc w:val="both"/>
              <w:rPr>
                <w:sz w:val="20"/>
              </w:rPr>
            </w:pPr>
            <w:r>
              <w:rPr>
                <w:sz w:val="20"/>
              </w:rPr>
              <w:t>Adjusted EBITDA does not reflect changes in, or cash requirements for, our working capital needs;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Although depreciation and amortization are non-cash charges, the assets being depreciated and amortized will often have to be replaced in the future, and Adjusted EBITDA does not reflect any cash requirements for such replacements;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Adjusted EBITDA does not include the impact of certain charges or gains resulting from matters we consider not to be indicative of our ongoing operations.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of these limitations, Adjusted EBITDA should not be considered as a measure of discretionary cash available to us to invest in the growth of our business. We compensate for these limitations by relying primarily on our GAAP results and using Adjusted EBITDA only as a supplement to our GAAP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Reconciliation of Loss from Continuing Operations to Adjusted EBITDA Continuing Operations:</w:t>
      </w:r>
    </w:p>
    <w:p>
      <w:pPr>
        <w:pStyle w:val="TextBody"/>
        <w:bidi w:val="0"/>
        <w:spacing w:before="0" w:after="0"/>
        <w:ind w:left="0" w:right="0" w:hanging="0"/>
        <w:jc w:val="both"/>
        <w:rPr>
          <w:caps w:val="false"/>
          <w:smallCaps w:val="false"/>
        </w:rPr>
      </w:pPr>
      <w:r>
        <w:rPr>
          <w:caps w:val="false"/>
          <w:smallCaps w:val="false"/>
        </w:rPr>
        <w:t> </w:t>
      </w:r>
    </w:p>
    <w:tbl>
      <w:tblPr>
        <w:tblW w:w="8045" w:type="dxa"/>
        <w:jc w:val="left"/>
        <w:tblInd w:w="0" w:type="dxa"/>
        <w:tblLayout w:type="fixed"/>
        <w:tblCellMar>
          <w:top w:w="0" w:type="dxa"/>
          <w:left w:w="0" w:type="dxa"/>
          <w:bottom w:w="0" w:type="dxa"/>
          <w:right w:w="0" w:type="dxa"/>
        </w:tblCellMar>
      </w:tblPr>
      <w:tblGrid>
        <w:gridCol w:w="5330"/>
        <w:gridCol w:w="60"/>
        <w:gridCol w:w="140"/>
        <w:gridCol w:w="1055"/>
        <w:gridCol w:w="95"/>
        <w:gridCol w:w="60"/>
        <w:gridCol w:w="140"/>
        <w:gridCol w:w="1055"/>
        <w:gridCol w:w="110"/>
      </w:tblGrid>
      <w:tr>
        <w:trPr/>
        <w:tc>
          <w:tcPr>
            <w:tcW w:w="53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45" w:type="dxa"/>
            <w:gridSpan w:val="6"/>
            <w:tcBorders/>
            <w:vAlign w:val="center"/>
          </w:tcPr>
          <w:p>
            <w:pPr>
              <w:pStyle w:val="TableContents"/>
              <w:bidi w:val="0"/>
              <w:spacing w:before="0" w:after="283"/>
              <w:jc w:val="center"/>
              <w:rPr>
                <w:b/>
              </w:rPr>
            </w:pPr>
            <w:r>
              <w:rPr>
                <w:b/>
              </w:rPr>
              <w:t>For the</w:t>
            </w:r>
          </w:p>
        </w:tc>
        <w:tc>
          <w:tcPr>
            <w:tcW w:w="110" w:type="dxa"/>
            <w:tcBorders/>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4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w:t>
            </w:r>
          </w:p>
        </w:tc>
        <w:tc>
          <w:tcPr>
            <w:tcW w:w="110" w:type="dxa"/>
            <w:tcBorders/>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center"/>
              <w:rPr>
                <w:b/>
              </w:rPr>
            </w:pPr>
            <w:r>
              <w:rPr>
                <w:b/>
              </w:rPr>
              <w:t>March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center"/>
              <w:rPr>
                <w:b/>
              </w:rPr>
            </w:pPr>
            <w:r>
              <w:rPr>
                <w:b/>
              </w:rPr>
              <w:t>March 31,</w:t>
            </w:r>
          </w:p>
        </w:tc>
        <w:tc>
          <w:tcPr>
            <w:tcW w:w="110" w:type="dxa"/>
            <w:tcBorders/>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10" w:type="dxa"/>
            <w:tcBorders/>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ind w:left="0" w:right="0" w:hanging="180"/>
              <w:jc w:val="left"/>
              <w:rPr/>
            </w:pPr>
            <w:r>
              <w:rPr/>
              <w:t> </w:t>
            </w:r>
          </w:p>
        </w:tc>
      </w:tr>
      <w:tr>
        <w:trPr/>
        <w:tc>
          <w:tcPr>
            <w:tcW w:w="5330" w:type="dxa"/>
            <w:tcBorders/>
            <w:shd w:fill="CCEEFF" w:val="clear"/>
            <w:vAlign w:val="center"/>
          </w:tcPr>
          <w:p>
            <w:pPr>
              <w:pStyle w:val="TableContents"/>
              <w:bidi w:val="0"/>
              <w:spacing w:before="0" w:after="283"/>
              <w:jc w:val="left"/>
              <w:rPr/>
            </w:pPr>
            <w:r>
              <w:rPr/>
              <w:t>Loss from continuing operations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(3,057,577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(1,781,627</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53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ind w:left="0" w:right="0" w:hanging="180"/>
              <w:jc w:val="left"/>
              <w:rPr/>
            </w:pPr>
            <w:r>
              <w:rPr/>
              <w:t> </w:t>
            </w:r>
          </w:p>
        </w:tc>
      </w:tr>
      <w:tr>
        <w:trPr/>
        <w:tc>
          <w:tcPr>
            <w:tcW w:w="5330" w:type="dxa"/>
            <w:tcBorders/>
            <w:shd w:fill="CCEEFF" w:val="clear"/>
            <w:vAlign w:val="center"/>
          </w:tcPr>
          <w:p>
            <w:pPr>
              <w:pStyle w:val="TableContents"/>
              <w:bidi w:val="0"/>
              <w:spacing w:before="0" w:after="283"/>
              <w:jc w:val="left"/>
              <w:rPr/>
            </w:pPr>
            <w:r>
              <w:rPr/>
              <w:t>Addback:</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53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ind w:left="0" w:right="0" w:hanging="180"/>
              <w:jc w:val="left"/>
              <w:rPr/>
            </w:pPr>
            <w:r>
              <w:rPr/>
              <w:t> </w:t>
            </w:r>
          </w:p>
        </w:tc>
      </w:tr>
      <w:tr>
        <w:trPr/>
        <w:tc>
          <w:tcPr>
            <w:tcW w:w="5330" w:type="dxa"/>
            <w:tcBorders/>
            <w:shd w:fill="CCEEFF" w:val="clear"/>
            <w:vAlign w:val="center"/>
          </w:tcPr>
          <w:p>
            <w:pPr>
              <w:pStyle w:val="TableContents"/>
              <w:bidi w:val="0"/>
              <w:spacing w:before="0" w:after="283"/>
              <w:jc w:val="left"/>
              <w:rPr/>
            </w:pPr>
            <w:r>
              <w:rPr/>
              <w:t>Interest expense,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13,138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800,073</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5330" w:type="dxa"/>
            <w:tcBorders/>
            <w:vAlign w:val="center"/>
          </w:tcPr>
          <w:p>
            <w:pPr>
              <w:pStyle w:val="TableContents"/>
              <w:bidi w:val="0"/>
              <w:spacing w:before="0" w:after="283"/>
              <w:jc w:val="left"/>
              <w:rPr/>
            </w:pPr>
            <w:r>
              <w:rPr/>
              <w:t>Interest income</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(108,920</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w:t>
            </w:r>
          </w:p>
        </w:tc>
        <w:tc>
          <w:tcPr>
            <w:tcW w:w="110" w:type="dxa"/>
            <w:tcBorders/>
            <w:vAlign w:val="center"/>
          </w:tcPr>
          <w:p>
            <w:pPr>
              <w:pStyle w:val="TableContents"/>
              <w:bidi w:val="0"/>
              <w:spacing w:before="0" w:after="283"/>
              <w:ind w:left="0" w:right="0" w:hanging="180"/>
              <w:jc w:val="left"/>
              <w:rPr/>
            </w:pPr>
            <w:r>
              <w:rPr/>
              <w:t> </w:t>
            </w:r>
          </w:p>
        </w:tc>
      </w:tr>
      <w:tr>
        <w:trPr/>
        <w:tc>
          <w:tcPr>
            <w:tcW w:w="5330" w:type="dxa"/>
            <w:tcBorders/>
            <w:shd w:fill="CCEEFF" w:val="clear"/>
            <w:vAlign w:val="center"/>
          </w:tcPr>
          <w:p>
            <w:pPr>
              <w:pStyle w:val="TableContents"/>
              <w:bidi w:val="0"/>
              <w:spacing w:before="0" w:after="283"/>
              <w:jc w:val="left"/>
              <w:rPr/>
            </w:pPr>
            <w:r>
              <w:rPr/>
              <w:t>Severance cost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811,041</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5330" w:type="dxa"/>
            <w:tcBorders/>
            <w:vAlign w:val="center"/>
          </w:tcPr>
          <w:p>
            <w:pPr>
              <w:pStyle w:val="TableContents"/>
              <w:bidi w:val="0"/>
              <w:spacing w:before="0" w:after="283"/>
              <w:jc w:val="left"/>
              <w:rPr/>
            </w:pPr>
            <w:r>
              <w:rPr/>
              <w:t>Depreciation and amortization</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43,408</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76,017</w:t>
            </w:r>
          </w:p>
        </w:tc>
        <w:tc>
          <w:tcPr>
            <w:tcW w:w="110" w:type="dxa"/>
            <w:tcBorders/>
            <w:vAlign w:val="center"/>
          </w:tcPr>
          <w:p>
            <w:pPr>
              <w:pStyle w:val="TableContents"/>
              <w:bidi w:val="0"/>
              <w:spacing w:before="0" w:after="283"/>
              <w:ind w:left="0" w:right="0" w:hanging="180"/>
              <w:jc w:val="left"/>
              <w:rPr/>
            </w:pPr>
            <w:r>
              <w:rPr/>
              <w:t> </w:t>
            </w:r>
          </w:p>
        </w:tc>
      </w:tr>
      <w:tr>
        <w:trPr/>
        <w:tc>
          <w:tcPr>
            <w:tcW w:w="5330" w:type="dxa"/>
            <w:tcBorders/>
            <w:shd w:fill="CCEEFF" w:val="clear"/>
            <w:vAlign w:val="center"/>
          </w:tcPr>
          <w:p>
            <w:pPr>
              <w:pStyle w:val="TableContents"/>
              <w:bidi w:val="0"/>
              <w:spacing w:before="0" w:after="283"/>
              <w:jc w:val="left"/>
              <w:rPr/>
            </w:pPr>
            <w:r>
              <w:rPr/>
              <w:t>Non-cash recruiting fees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492,000</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5330" w:type="dxa"/>
            <w:tcBorders/>
            <w:vAlign w:val="center"/>
          </w:tcPr>
          <w:p>
            <w:pPr>
              <w:pStyle w:val="TableContents"/>
              <w:bidi w:val="0"/>
              <w:spacing w:before="0" w:after="283"/>
              <w:jc w:val="left"/>
              <w:rPr/>
            </w:pPr>
            <w:r>
              <w:rPr/>
              <w:t>Stock compensation</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tcMar>
              <w:bottom w:w="28" w:type="dxa"/>
            </w:tcMar>
            <w:vAlign w:val="center"/>
          </w:tcPr>
          <w:p>
            <w:pPr>
              <w:pStyle w:val="TableContents"/>
              <w:bidi w:val="0"/>
              <w:spacing w:before="0" w:after="283"/>
              <w:jc w:val="right"/>
              <w:rPr/>
            </w:pPr>
            <w:r>
              <w:rPr/>
              <w:t>722,971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tcMar>
              <w:bottom w:w="28" w:type="dxa"/>
            </w:tcMar>
            <w:vAlign w:val="center"/>
          </w:tcPr>
          <w:p>
            <w:pPr>
              <w:pStyle w:val="TableContents"/>
              <w:bidi w:val="0"/>
              <w:spacing w:before="0" w:after="283"/>
              <w:jc w:val="right"/>
              <w:rPr/>
            </w:pPr>
            <w:r>
              <w:rPr/>
              <w:t>(2,598,591</w:t>
            </w:r>
          </w:p>
        </w:tc>
        <w:tc>
          <w:tcPr>
            <w:tcW w:w="110" w:type="dxa"/>
            <w:tcBorders/>
            <w:vAlign w:val="center"/>
          </w:tcPr>
          <w:p>
            <w:pPr>
              <w:pStyle w:val="TableContents"/>
              <w:bidi w:val="0"/>
              <w:spacing w:before="0" w:after="283"/>
              <w:ind w:left="0" w:right="0" w:hanging="180"/>
              <w:jc w:val="left"/>
              <w:rPr/>
            </w:pPr>
            <w:r>
              <w:rPr/>
              <w:t>)</w:t>
            </w:r>
          </w:p>
        </w:tc>
      </w:tr>
      <w:tr>
        <w:trPr/>
        <w:tc>
          <w:tcPr>
            <w:tcW w:w="5330" w:type="dxa"/>
            <w:tcBorders/>
            <w:shd w:fill="CCEEFF" w:val="clear"/>
            <w:vAlign w:val="center"/>
          </w:tcPr>
          <w:p>
            <w:pPr>
              <w:pStyle w:val="TableContents"/>
              <w:bidi w:val="0"/>
              <w:spacing w:before="0" w:after="283"/>
              <w:jc w:val="left"/>
              <w:rPr/>
            </w:pPr>
            <w:r>
              <w:rPr/>
              <w:t>Adjusted EBITDA continuing operations (Non-GAAP)</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55" w:type="dxa"/>
            <w:tcBorders>
              <w:bottom w:val="double" w:sz="10" w:space="0" w:color="000000"/>
            </w:tcBorders>
            <w:shd w:fill="CCEEFF" w:val="clear"/>
            <w:tcMar>
              <w:bottom w:w="28" w:type="dxa"/>
            </w:tcMar>
            <w:vAlign w:val="center"/>
          </w:tcPr>
          <w:p>
            <w:pPr>
              <w:pStyle w:val="TableContents"/>
              <w:bidi w:val="0"/>
              <w:spacing w:before="0" w:after="283"/>
              <w:jc w:val="right"/>
              <w:rPr/>
            </w:pPr>
            <w:r>
              <w:rPr/>
              <w:t>(2,386,980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55" w:type="dxa"/>
            <w:tcBorders>
              <w:bottom w:val="double" w:sz="10" w:space="0" w:color="000000"/>
            </w:tcBorders>
            <w:shd w:fill="CCEEFF" w:val="clear"/>
            <w:tcMar>
              <w:bottom w:w="28" w:type="dxa"/>
            </w:tcMar>
            <w:vAlign w:val="center"/>
          </w:tcPr>
          <w:p>
            <w:pPr>
              <w:pStyle w:val="TableContents"/>
              <w:bidi w:val="0"/>
              <w:spacing w:before="0" w:after="283"/>
              <w:jc w:val="right"/>
              <w:rPr/>
            </w:pPr>
            <w:r>
              <w:rPr/>
              <w:t>(2,201,087</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 March 31, 2024 and March 31, 2023 – Continuing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Revenues,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March 31, 2024, the Company’s revenues were approximately $157,000 compared to approximately $38,000 in the three months ended March 31, 2023, principally due to the recognition of revenue from new customer contracts signed in the 2</w:t>
      </w:r>
      <w:r>
        <w:rPr>
          <w:rFonts w:ascii="Times New Roman;Times;Serif" w:hAnsi="Times New Roman;Times;Serif"/>
          <w:b w:val="false"/>
          <w:i w:val="false"/>
          <w:caps w:val="false"/>
          <w:smallCaps w:val="false"/>
          <w:position w:val="7"/>
          <w:sz w:val="16"/>
          <w:sz w:val="20"/>
        </w:rPr>
        <w:t>nd</w:t>
      </w:r>
      <w:r>
        <w:rPr>
          <w:rFonts w:ascii="Times New Roman;Times;Serif" w:hAnsi="Times New Roman;Times;Serif"/>
          <w:b w:val="false"/>
          <w:i w:val="false"/>
          <w:caps w:val="false"/>
          <w:smallCaps w:val="false"/>
          <w:sz w:val="20"/>
        </w:rPr>
        <w:t xml:space="preserve"> half of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and administrative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March 31, 2024 compared to the three months ended March 31, 2023, general and administrative expense increased by approximately $1.2 million. This was comprised of a one-time event, representing approximately $2.5 million reversal of stock-based compensation in Q1 2023 on stock awards with market vesting conditions resulting from Q1 2023 terminations, which was not repeated in 2024 and an approximately $1.3 million reduction in expense due to cost savings from the 2023 restructuring initiative.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Research and development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three-month period ended March 31, 2024 compared to March 31, 2023, research and development expenses increased by approximately $1.1 million, principally related to the one-time reversal of stock-based compensation in Q1 2023 on stock awards with market vesting conditions resulting from Q1 2023 terminations, which was not repeated in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Depreciation and amortization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March 31, 2024 compared to March 31, 2023, depreciation and amortization expense was approximately $0.03 million less as the Company reduced the value of certain legacy business asset values.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Interest expense, net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net includes interest expense, debt issuance and discount amortization expense. Interest expense decreased by approximately $0.8 million during the three-month period ended March 31, 2024 compared to March 31, 2023 principally due to the exchange of Convertible Notes for common stock in May 2023.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 March 31, 2024 and March 31, 2023 – Discontinued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4, 2022, the Board approved a plan to exit from certain non-core activities comprising the MultiPay correspondent bank, payments services in Colombia.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MultiPay business in Colombia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2023, MultiPay finalized the sale of the Company’s proprietary software to its major customer for approximately $96,000. As a result, the Company recognized a gain of approximately $216,000 which included the release of a foreign currency translation gain of approximately $155,000.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the Company exited the MultiPay business in Colombia, it still maintains an authID customer support and operations team in Bogota which performs essential functions to support the global operations of our Verified product.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approximately $7.2 million of cash on hand and approximately $6.7 million of working capital as of March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used in operating activities was approximately $2.9 million and $2.2 million in the three months ended March 31, 2024 and 2023,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did not have any cash flows investing activities for the three months ended March 31, 2024 and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provided by financing activities in the three months ended March 31, 2023 consisted of approximately $0.5 million from an initial drawdown net of debt issuance costs under the Company’s A&amp;R Facility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2024 and 2025, the Company will need to raise additional funds to support its operations and investments as it seeks to create a sustainable organization. Our growth-oriented business plan to offer products to our customers will require continued capital investment and there is no guarantee that such financing will be available, or available on acceptable terms.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guarantee that our current business plan will not change, and as a result of such change, we will need additional capital to implement such business plan. Further, assuming we achieve our expected growth plan, of which there is no guarantee, we will need additional capital to implement growth beyond our current business plan.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Ukraine and the Middle East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 in Ukraine and the Middle East may impact the Company and its operations in a number of different ways, which are yet to be fully assessed and are therefore uncertain. The Company’s principal concern is for the safety of the personnel who support from those regions. The Company works with third party sub-contractors for outsourced services, including software engineering and development, some of whom are based in Eastern Europe. The Company also works with outsourced engineers and developers and third-party providers in other parts of the world, including the United States, Europe, India, and Latin America. While the continuing impact of this conflict and the response of the United States and other countries to it by means of trade and economic sanctions, or other actions is still unknown, it could disrupt our ability to work with certain contractors. The Company has taken steps to diversify its sub-contractor base, which may in the short term give rise to additional costs and delays in delivering software and product upgrades.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uncertainty impacting and potential interruption in energy and other supply chains resulting from military hostilities in Europe and the Middle East and the response of the United States and other countries to it by means of trade and economic sanctions, or other actions, may give rise to increases in costs of goods and services generally and may impact the market for our products as prospective customers reconsider additional capital expenditure, or other investment plans until the situation becomes clearer. On the other hand, the threat of increased cyber-attacks from multiple threat actors, including state-sponsored organizations may prompt enterprises to adopt additional security measures such as those offered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so long as the hostilities continue and perhaps even thereafter as the situation in Europe and the Middle East unfolds, we may see increased volatility in financial markets and a flight to safety by investors, which may impact our stock price and make it more difficult for the Company to raise additional capital at the time when it needs to do so, or for financing to be available upon acceptable terms. All or any of these risks separately, or in combination could have a material adverse effect on our business, financial condition, results of operations, and 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Off-Balance Sheet Arrangements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no off-balance sheet arrangements that are reasonably likely to have a current or future effect on our financial condition, changes in financial condition, revenues or expenses, results of operations, liquidity, capital expenditures or capital resources that is deemed by our management to be material to investors.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Accounting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recent material accounting policies that may be the most critical to understanding of the financial results and conditions are discussed in Note 1 of the unaudited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1" w:name="a_010"/>
      <w:bookmarkEnd w:id="11"/>
      <w:r>
        <w:rPr>
          <w:rFonts w:ascii="Times New Roman;Times;Serif" w:hAnsi="Times New Roman;Times;Serif"/>
          <w:b/>
          <w:i w:val="false"/>
          <w:caps w:val="false"/>
          <w:smallCaps w:val="false"/>
          <w:sz w:val="20"/>
        </w:rPr>
        <w:t>ITEM 3. QUANTITATIVE AND QUALITATIVE DISCLOSURES ABOUT MARKET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smaller reporting company, we are not required to include disclosure under this item.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2" w:name="a_011"/>
      <w:bookmarkEnd w:id="12"/>
      <w:r>
        <w:rPr>
          <w:rFonts w:ascii="Times New Roman;Times;Serif" w:hAnsi="Times New Roman;Times;Serif"/>
          <w:b/>
          <w:i w:val="false"/>
          <w:caps w:val="false"/>
          <w:smallCaps w:val="false"/>
          <w:sz w:val="20"/>
        </w:rPr>
        <w:t>ITEM 4.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Evaluation of Disclosure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end of the period covered by this Quarterly Report, our Chief Executive Officer and Chief Financial Officer performed an evaluation of the effectiveness of our disclosure controls and procedures as defined in Rules 13a-15(e) and 15d-15(e) of the Exchange Act. Based on the evaluation, the Chief Executive Officer and Chief Financial Officer concluded that, as of March 31, 2024, the Company’s disclosure controls and procedures are effective to ensure that the information required to be disclosed by the Company in the report that it files or submits under the Exchange Act is recorded, processed, summarized, and reported within the time periods specified in SEC rules and forms..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Changes in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changes in our internal control over financial reporting (as that term is defined in Rules 13a-15(f) and 15d-15(f) under the Exchange Act) that occurred during the three months ended March 31, 2024 that have materially affected, or are reasonably likely to materially affect, our internal control over financial reporting.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 w:name="a_012"/>
      <w:bookmarkEnd w:id="13"/>
      <w:r>
        <w:rPr>
          <w:rFonts w:ascii="Times New Roman;Times;Serif" w:hAnsi="Times New Roman;Times;Serif"/>
          <w:b/>
          <w:i w:val="false"/>
          <w:caps w:val="false"/>
          <w:smallCaps w:val="false"/>
          <w:sz w:val="20"/>
        </w:rPr>
        <w:t>PART 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4" w:name="a_013"/>
      <w:bookmarkEnd w:id="14"/>
      <w:r>
        <w:rPr>
          <w:rFonts w:ascii="Times New Roman;Times;Serif" w:hAnsi="Times New Roman;Times;Serif"/>
          <w:b/>
          <w:i w:val="false"/>
          <w:caps w:val="false"/>
          <w:smallCaps w:val="false"/>
          <w:sz w:val="20"/>
        </w:rPr>
        <w:t>ITEM 1. LEGAL PROCEEDINGS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the Company is a party to various legal or administrative proceedings arising in the ordinary course of business. While any litigation contains an element of uncertainty, we have no reason to believe the outcome of such proceedings will have a material adverse effect on the financial condition or results of operations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5" w:name="a_014"/>
      <w:bookmarkEnd w:id="15"/>
      <w:r>
        <w:rPr>
          <w:rFonts w:ascii="Times New Roman;Times;Serif" w:hAnsi="Times New Roman;Times;Serif"/>
          <w:b/>
          <w:i w:val="false"/>
          <w:caps w:val="false"/>
          <w:smallCaps w:val="false"/>
          <w:sz w:val="20"/>
        </w:rPr>
        <w:t>ITEM 1A. RISK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 factors describing the major risks to our business can be found under Item 1A, “Risk Factors”, in our Annual Report on Form 10-K for the year ended December 31, 2023. There has been no material change in our risk factors from those previously discussed in the Annual Report on Form 10-K.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6" w:name="a_015"/>
      <w:bookmarkEnd w:id="16"/>
      <w:r>
        <w:rPr>
          <w:rFonts w:ascii="Times New Roman;Times;Serif" w:hAnsi="Times New Roman;Times;Serif"/>
          <w:b/>
          <w:i w:val="false"/>
          <w:caps w:val="false"/>
          <w:smallCaps w:val="false"/>
          <w:sz w:val="20"/>
        </w:rPr>
        <w:t>ITEM 2. UNREGISTERED SALES OF EQUITY SECURITIES AND USE OF PROCEEDS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Stock Option Grants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March 31, 2024, the Company granted a total of 100,000 options to certain new employees at exercise prices ranging from $9.05 to $9.61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issuance of the above securities is exempt from the registration requirements under Rule 4(a)(2) of the Securities Act of 1933, as amended, and/or Rule 506 as promulgated under Regulation 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7" w:name="a_016"/>
      <w:bookmarkEnd w:id="17"/>
      <w:r>
        <w:rPr>
          <w:rFonts w:ascii="Times New Roman;Times;Serif" w:hAnsi="Times New Roman;Times;Serif"/>
          <w:b/>
          <w:i w:val="false"/>
          <w:caps w:val="false"/>
          <w:smallCaps w:val="false"/>
          <w:sz w:val="20"/>
        </w:rPr>
        <w:t>ITEM 3. DEFAULTS UPON SENIOR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8" w:name="a_017"/>
      <w:bookmarkEnd w:id="18"/>
      <w:r>
        <w:rPr>
          <w:rFonts w:ascii="Times New Roman;Times;Serif" w:hAnsi="Times New Roman;Times;Serif"/>
          <w:b/>
          <w:i w:val="false"/>
          <w:caps w:val="false"/>
          <w:smallCaps w:val="false"/>
          <w:sz w:val="20"/>
        </w:rPr>
        <w:t>ITEM 4. MINE SAFETY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 to our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9" w:name="a_018"/>
      <w:bookmarkEnd w:id="19"/>
      <w:r>
        <w:rPr>
          <w:rFonts w:ascii="Times New Roman;Times;Serif" w:hAnsi="Times New Roman;Times;Serif"/>
          <w:b/>
          <w:i w:val="false"/>
          <w:caps w:val="false"/>
          <w:smallCaps w:val="false"/>
          <w:sz w:val="20"/>
        </w:rPr>
        <w:t>ITEM 5. OTHER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Retirement of Joseph Trelin and Appointment of Kunal Metha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15, 2024, Mr. Joe Trelin tendered his resignation as Chairman and a Director of the Company, effective immediately. On February 20, 2024, the Board of Directors of the Company accepted his resignation and agreed to vest the unvested portion of an option granted to Mr. Trelin June 28, 2023, amounting to 6,511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25, 2024, Kunal Mehta was appointed as an independent member of the Board of Directors of the Company. Mr. Mehta entered into a letter agreement with the Company pursuant to which, in addition to other compensation, he will be granted options to purchase common stock on the third trading day after the announcement of the Company’s results for the first quarter of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Equity Grant Policy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Recognizing the importance of adhering to appropriate practices and procedures when granting equity awards, on April 19, 2024, the Board of Directors adopted the Policy on Granting Equity Awards. Under this policy, the Compensation Committee of the Board of Directors may grant equity awards. The Compensation Committee may from time to time grant limited authority to the CEO to offer awards to new hires subject to Compensation Committee ratification. The policy established the following procedures for the Company to issue equity awards: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Equity award grants to existing employees shall be made on a date when the Company’s insider trading window is “open” (i.e., when the Company is not in possession of material non-public information), and which is at least three business days after the most recent release of the Company’s quarterly or annual earnings, or Form 8-K Current Report that discloses material non-public information.</w:t>
            </w:r>
          </w:p>
        </w:tc>
      </w:tr>
    </w:tbl>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With respect to grants made to named executive officers, the Company shall not grant and/or price of stock options or other incentive securities under any securities-based compensation arrangement of the Company during the period beginning four (4) business days before and ending one (1) business day after the filing by the Company of a Form 10-Q Quarterly Report, Form 10-K Annual Report or Form 8-K Current Report that discloses material non-public information.</w:t>
            </w:r>
          </w:p>
        </w:tc>
      </w:tr>
    </w:tbl>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Grants of stock options to new hires (other than to new hires who will be Section 16 officers), or for promotions, retention or other special purposes will be described as subject to the approval of the Compensation Committee at its next scheduled meeting and the grant date of such stock options, if approved by the Compensation Committee, shall be the date of such meeting.</w:t>
            </w:r>
          </w:p>
        </w:tc>
      </w:tr>
    </w:tbl>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Annual grants of equity awards to members of the Board of Directors shall be effective within three business days after the date of the Annual Stockholders Meeting at which such Director is elected or re-elected.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plan to monitor and periodically review our equity grant policy to ensure compliance with plan rules and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0" w:name="a_019"/>
      <w:bookmarkEnd w:id="20"/>
      <w:r>
        <w:rPr>
          <w:rFonts w:ascii="Times New Roman;Times;Serif" w:hAnsi="Times New Roman;Times;Serif"/>
          <w:b/>
          <w:i w:val="false"/>
          <w:caps w:val="false"/>
          <w:smallCaps w:val="false"/>
          <w:sz w:val="20"/>
        </w:rPr>
        <w:t>ITEM 6.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40"/>
        <w:gridCol w:w="60"/>
        <w:gridCol w:w="9305"/>
      </w:tblGrid>
      <w:tr>
        <w:trPr/>
        <w:tc>
          <w:tcPr>
            <w:tcW w:w="840" w:type="dxa"/>
            <w:tcBorders>
              <w:bottom w:val="single" w:sz="12" w:space="0" w:color="000000"/>
            </w:tcBorders>
            <w:vAlign w:val="center"/>
          </w:tcPr>
          <w:p>
            <w:pPr>
              <w:pStyle w:val="TableContents"/>
              <w:bidi w:val="0"/>
              <w:spacing w:before="0" w:after="283"/>
              <w:jc w:val="both"/>
              <w:rPr>
                <w:b/>
                <w:sz w:val="20"/>
              </w:rPr>
            </w:pPr>
            <w:r>
              <w:rPr>
                <w:b/>
                <w:sz w:val="20"/>
              </w:rPr>
              <w:t>Exhibit</w:t>
              <w:br/>
              <w:t>Number</w:t>
            </w:r>
          </w:p>
        </w:tc>
        <w:tc>
          <w:tcPr>
            <w:tcW w:w="60" w:type="dxa"/>
            <w:tcBorders/>
            <w:tcMar>
              <w:bottom w:w="0" w:type="dxa"/>
            </w:tcMar>
            <w:vAlign w:val="center"/>
          </w:tcPr>
          <w:p>
            <w:pPr>
              <w:pStyle w:val="TableContents"/>
              <w:bidi w:val="0"/>
              <w:spacing w:before="0" w:after="283"/>
              <w:jc w:val="left"/>
              <w:rPr/>
            </w:pPr>
            <w:r>
              <w:rPr/>
              <w:t> </w:t>
            </w:r>
          </w:p>
        </w:tc>
        <w:tc>
          <w:tcPr>
            <w:tcW w:w="9305" w:type="dxa"/>
            <w:tcBorders>
              <w:bottom w:val="single" w:sz="12" w:space="0" w:color="000000"/>
            </w:tcBorders>
            <w:vAlign w:val="center"/>
          </w:tcPr>
          <w:p>
            <w:pPr>
              <w:pStyle w:val="TableContents"/>
              <w:bidi w:val="0"/>
              <w:spacing w:before="0" w:after="283"/>
              <w:jc w:val="both"/>
              <w:rPr>
                <w:b/>
                <w:sz w:val="20"/>
              </w:rPr>
            </w:pPr>
            <w:r>
              <w:rPr>
                <w:b/>
                <w:sz w:val="20"/>
              </w:rPr>
              <w:t>Description</w:t>
            </w:r>
          </w:p>
        </w:tc>
      </w:tr>
      <w:tr>
        <w:trPr/>
        <w:tc>
          <w:tcPr>
            <w:tcW w:w="840" w:type="dxa"/>
            <w:tcBorders/>
            <w:shd w:fill="CCEEFF" w:val="clear"/>
            <w:tcMar>
              <w:bottom w:w="0" w:type="dxa"/>
            </w:tcMar>
            <w:vAlign w:val="center"/>
          </w:tcPr>
          <w:p>
            <w:pPr>
              <w:pStyle w:val="TableContents"/>
              <w:bidi w:val="0"/>
              <w:spacing w:before="0" w:after="283"/>
              <w:jc w:val="both"/>
              <w:rPr>
                <w:sz w:val="20"/>
              </w:rPr>
            </w:pPr>
            <w:r>
              <w:rPr>
                <w:sz w:val="20"/>
              </w:rPr>
              <w:t>3.1 (1)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05" w:type="dxa"/>
            <w:tcBorders/>
            <w:shd w:fill="CCEEFF" w:val="clear"/>
            <w:tcMar>
              <w:bottom w:w="0" w:type="dxa"/>
            </w:tcMar>
            <w:vAlign w:val="center"/>
          </w:tcPr>
          <w:p>
            <w:pPr>
              <w:pStyle w:val="TableContents"/>
              <w:bidi w:val="0"/>
              <w:spacing w:before="0" w:after="283"/>
              <w:jc w:val="both"/>
              <w:rPr/>
            </w:pPr>
            <w:hyperlink r:id="rId3">
              <w:r>
                <w:rPr>
                  <w:rStyle w:val="InternetLink"/>
                  <w:sz w:val="20"/>
                </w:rPr>
                <w:t>Amended &amp; Restated Certificate of Incorporation</w:t>
              </w:r>
            </w:hyperlink>
          </w:p>
        </w:tc>
      </w:tr>
      <w:tr>
        <w:trPr/>
        <w:tc>
          <w:tcPr>
            <w:tcW w:w="840" w:type="dxa"/>
            <w:tcBorders/>
            <w:tcMar>
              <w:bottom w:w="0" w:type="dxa"/>
            </w:tcMar>
            <w:vAlign w:val="center"/>
          </w:tcPr>
          <w:p>
            <w:pPr>
              <w:pStyle w:val="TableContents"/>
              <w:bidi w:val="0"/>
              <w:spacing w:before="0" w:after="283"/>
              <w:jc w:val="both"/>
              <w:rPr>
                <w:sz w:val="20"/>
              </w:rPr>
            </w:pPr>
            <w:r>
              <w:rPr>
                <w:sz w:val="20"/>
              </w:rPr>
              <w:t>3.2 (14)</w:t>
            </w:r>
          </w:p>
        </w:tc>
        <w:tc>
          <w:tcPr>
            <w:tcW w:w="60" w:type="dxa"/>
            <w:tcBorders/>
            <w:tcMar>
              <w:bottom w:w="0" w:type="dxa"/>
            </w:tcMar>
            <w:vAlign w:val="center"/>
          </w:tcPr>
          <w:p>
            <w:pPr>
              <w:pStyle w:val="TableContents"/>
              <w:bidi w:val="0"/>
              <w:spacing w:before="0" w:after="283"/>
              <w:jc w:val="left"/>
              <w:rPr/>
            </w:pPr>
            <w:r>
              <w:rPr/>
              <w:t> </w:t>
            </w:r>
          </w:p>
        </w:tc>
        <w:tc>
          <w:tcPr>
            <w:tcW w:w="9305" w:type="dxa"/>
            <w:tcBorders/>
            <w:tcMar>
              <w:bottom w:w="0" w:type="dxa"/>
            </w:tcMar>
            <w:vAlign w:val="center"/>
          </w:tcPr>
          <w:p>
            <w:pPr>
              <w:pStyle w:val="TableContents"/>
              <w:bidi w:val="0"/>
              <w:spacing w:before="0" w:after="283"/>
              <w:jc w:val="both"/>
              <w:rPr/>
            </w:pPr>
            <w:hyperlink r:id="rId4">
              <w:r>
                <w:rPr>
                  <w:rStyle w:val="InternetLink"/>
                  <w:sz w:val="20"/>
                </w:rPr>
                <w:t>Amended &amp; Restated Bylaws as of July 18, 2022</w:t>
              </w:r>
            </w:hyperlink>
          </w:p>
        </w:tc>
      </w:tr>
      <w:tr>
        <w:trPr/>
        <w:tc>
          <w:tcPr>
            <w:tcW w:w="840" w:type="dxa"/>
            <w:tcBorders/>
            <w:shd w:fill="CCEEFF" w:val="clear"/>
            <w:tcMar>
              <w:bottom w:w="0" w:type="dxa"/>
            </w:tcMar>
            <w:vAlign w:val="center"/>
          </w:tcPr>
          <w:p>
            <w:pPr>
              <w:pStyle w:val="TableContents"/>
              <w:bidi w:val="0"/>
              <w:spacing w:before="0" w:after="283"/>
              <w:jc w:val="both"/>
              <w:rPr>
                <w:sz w:val="20"/>
              </w:rPr>
            </w:pPr>
            <w:r>
              <w:rPr>
                <w:sz w:val="20"/>
              </w:rPr>
              <w:t>3.3 (2)</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05" w:type="dxa"/>
            <w:tcBorders/>
            <w:shd w:fill="CCEEFF" w:val="clear"/>
            <w:tcMar>
              <w:bottom w:w="0" w:type="dxa"/>
            </w:tcMar>
            <w:vAlign w:val="center"/>
          </w:tcPr>
          <w:p>
            <w:pPr>
              <w:pStyle w:val="TableContents"/>
              <w:bidi w:val="0"/>
              <w:spacing w:before="0" w:after="283"/>
              <w:jc w:val="both"/>
              <w:rPr/>
            </w:pPr>
            <w:hyperlink r:id="rId5">
              <w:r>
                <w:rPr>
                  <w:rStyle w:val="InternetLink"/>
                  <w:sz w:val="20"/>
                </w:rPr>
                <w:t>Certificate of Amendment dated June 1, 2021</w:t>
              </w:r>
            </w:hyperlink>
          </w:p>
        </w:tc>
      </w:tr>
      <w:tr>
        <w:trPr/>
        <w:tc>
          <w:tcPr>
            <w:tcW w:w="840" w:type="dxa"/>
            <w:tcBorders/>
            <w:tcMar>
              <w:bottom w:w="0" w:type="dxa"/>
            </w:tcMar>
            <w:vAlign w:val="center"/>
          </w:tcPr>
          <w:p>
            <w:pPr>
              <w:pStyle w:val="TableContents"/>
              <w:bidi w:val="0"/>
              <w:spacing w:before="0" w:after="283"/>
              <w:jc w:val="both"/>
              <w:rPr>
                <w:sz w:val="20"/>
              </w:rPr>
            </w:pPr>
            <w:r>
              <w:rPr>
                <w:sz w:val="20"/>
              </w:rPr>
              <w:t>3.4 (14)</w:t>
            </w:r>
          </w:p>
        </w:tc>
        <w:tc>
          <w:tcPr>
            <w:tcW w:w="60" w:type="dxa"/>
            <w:tcBorders/>
            <w:tcMar>
              <w:bottom w:w="0" w:type="dxa"/>
            </w:tcMar>
            <w:vAlign w:val="center"/>
          </w:tcPr>
          <w:p>
            <w:pPr>
              <w:pStyle w:val="TableContents"/>
              <w:bidi w:val="0"/>
              <w:spacing w:before="0" w:after="283"/>
              <w:jc w:val="left"/>
              <w:rPr/>
            </w:pPr>
            <w:r>
              <w:rPr/>
              <w:t> </w:t>
            </w:r>
          </w:p>
        </w:tc>
        <w:tc>
          <w:tcPr>
            <w:tcW w:w="9305" w:type="dxa"/>
            <w:tcBorders/>
            <w:tcMar>
              <w:bottom w:w="0" w:type="dxa"/>
            </w:tcMar>
            <w:vAlign w:val="center"/>
          </w:tcPr>
          <w:p>
            <w:pPr>
              <w:pStyle w:val="TableContents"/>
              <w:bidi w:val="0"/>
              <w:spacing w:before="0" w:after="283"/>
              <w:jc w:val="both"/>
              <w:rPr/>
            </w:pPr>
            <w:hyperlink r:id="rId6">
              <w:r>
                <w:rPr>
                  <w:rStyle w:val="InternetLink"/>
                  <w:sz w:val="20"/>
                </w:rPr>
                <w:t>Certificate of Amendment to Amended and Restated Certificate of Incorporation as of July 18, 2022</w:t>
              </w:r>
            </w:hyperlink>
          </w:p>
        </w:tc>
      </w:tr>
      <w:tr>
        <w:trPr/>
        <w:tc>
          <w:tcPr>
            <w:tcW w:w="840" w:type="dxa"/>
            <w:tcBorders/>
            <w:shd w:fill="CCEEFF" w:val="clear"/>
            <w:tcMar>
              <w:bottom w:w="0" w:type="dxa"/>
            </w:tcMar>
            <w:vAlign w:val="center"/>
          </w:tcPr>
          <w:p>
            <w:pPr>
              <w:pStyle w:val="TableContents"/>
              <w:bidi w:val="0"/>
              <w:spacing w:before="0" w:after="283"/>
              <w:jc w:val="both"/>
              <w:rPr>
                <w:sz w:val="20"/>
              </w:rPr>
            </w:pPr>
            <w:r>
              <w:rPr>
                <w:sz w:val="20"/>
              </w:rPr>
              <w:t>3.5 (15)</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05" w:type="dxa"/>
            <w:tcBorders/>
            <w:shd w:fill="CCEEFF" w:val="clear"/>
            <w:tcMar>
              <w:bottom w:w="0" w:type="dxa"/>
            </w:tcMar>
            <w:vAlign w:val="center"/>
          </w:tcPr>
          <w:p>
            <w:pPr>
              <w:pStyle w:val="TableContents"/>
              <w:bidi w:val="0"/>
              <w:spacing w:before="0" w:after="283"/>
              <w:jc w:val="both"/>
              <w:rPr/>
            </w:pPr>
            <w:hyperlink r:id="rId7">
              <w:r>
                <w:rPr>
                  <w:rStyle w:val="InternetLink"/>
                  <w:sz w:val="20"/>
                </w:rPr>
                <w:t>Certificate of Amendment to Amended and Restated Certificate of Incorporation as of September 21, 2022</w:t>
              </w:r>
            </w:hyperlink>
          </w:p>
        </w:tc>
      </w:tr>
      <w:tr>
        <w:trPr/>
        <w:tc>
          <w:tcPr>
            <w:tcW w:w="840" w:type="dxa"/>
            <w:tcBorders/>
            <w:tcMar>
              <w:bottom w:w="0" w:type="dxa"/>
            </w:tcMar>
            <w:vAlign w:val="center"/>
          </w:tcPr>
          <w:p>
            <w:pPr>
              <w:pStyle w:val="TableContents"/>
              <w:bidi w:val="0"/>
              <w:spacing w:before="0" w:after="283"/>
              <w:jc w:val="both"/>
              <w:rPr>
                <w:sz w:val="20"/>
              </w:rPr>
            </w:pPr>
            <w:r>
              <w:rPr>
                <w:sz w:val="20"/>
              </w:rPr>
              <w:t>3.6 (23)</w:t>
            </w:r>
          </w:p>
        </w:tc>
        <w:tc>
          <w:tcPr>
            <w:tcW w:w="60" w:type="dxa"/>
            <w:tcBorders/>
            <w:tcMar>
              <w:bottom w:w="0" w:type="dxa"/>
            </w:tcMar>
            <w:vAlign w:val="center"/>
          </w:tcPr>
          <w:p>
            <w:pPr>
              <w:pStyle w:val="TableContents"/>
              <w:bidi w:val="0"/>
              <w:spacing w:before="0" w:after="283"/>
              <w:jc w:val="left"/>
              <w:rPr/>
            </w:pPr>
            <w:r>
              <w:rPr/>
              <w:t> </w:t>
            </w:r>
          </w:p>
        </w:tc>
        <w:tc>
          <w:tcPr>
            <w:tcW w:w="9305" w:type="dxa"/>
            <w:tcBorders/>
            <w:tcMar>
              <w:bottom w:w="0" w:type="dxa"/>
            </w:tcMar>
            <w:vAlign w:val="center"/>
          </w:tcPr>
          <w:p>
            <w:pPr>
              <w:pStyle w:val="TableContents"/>
              <w:bidi w:val="0"/>
              <w:spacing w:before="0" w:after="283"/>
              <w:jc w:val="both"/>
              <w:rPr/>
            </w:pPr>
            <w:hyperlink r:id="rId8">
              <w:r>
                <w:rPr>
                  <w:rStyle w:val="InternetLink"/>
                  <w:sz w:val="20"/>
                </w:rPr>
                <w:t>Certificate of Amendment to the Amended and Restated Certificate of Incorporation dated June 26, 2023</w:t>
              </w:r>
            </w:hyperlink>
          </w:p>
        </w:tc>
      </w:tr>
      <w:tr>
        <w:trPr/>
        <w:tc>
          <w:tcPr>
            <w:tcW w:w="840" w:type="dxa"/>
            <w:tcBorders/>
            <w:shd w:fill="CCEEFF" w:val="clear"/>
            <w:tcMar>
              <w:bottom w:w="0" w:type="dxa"/>
            </w:tcMar>
            <w:vAlign w:val="center"/>
          </w:tcPr>
          <w:p>
            <w:pPr>
              <w:pStyle w:val="TableContents"/>
              <w:bidi w:val="0"/>
              <w:spacing w:before="0" w:after="283"/>
              <w:jc w:val="both"/>
              <w:rPr>
                <w:sz w:val="20"/>
              </w:rPr>
            </w:pPr>
            <w:r>
              <w:rPr>
                <w:sz w:val="20"/>
              </w:rPr>
              <w:t>4.1 (2)</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05" w:type="dxa"/>
            <w:tcBorders/>
            <w:shd w:fill="CCEEFF" w:val="clear"/>
            <w:tcMar>
              <w:bottom w:w="0" w:type="dxa"/>
            </w:tcMar>
            <w:vAlign w:val="center"/>
          </w:tcPr>
          <w:p>
            <w:pPr>
              <w:pStyle w:val="TableContents"/>
              <w:bidi w:val="0"/>
              <w:spacing w:before="0" w:after="283"/>
              <w:jc w:val="both"/>
              <w:rPr/>
            </w:pPr>
            <w:hyperlink r:id="rId9">
              <w:r>
                <w:rPr>
                  <w:rStyle w:val="InternetLink"/>
                  <w:sz w:val="20"/>
                </w:rPr>
                <w:t>Form of Stock Option</w:t>
              </w:r>
            </w:hyperlink>
          </w:p>
        </w:tc>
      </w:tr>
      <w:tr>
        <w:trPr/>
        <w:tc>
          <w:tcPr>
            <w:tcW w:w="840" w:type="dxa"/>
            <w:tcBorders/>
            <w:tcMar>
              <w:bottom w:w="0" w:type="dxa"/>
            </w:tcMar>
            <w:vAlign w:val="center"/>
          </w:tcPr>
          <w:p>
            <w:pPr>
              <w:pStyle w:val="TableContents"/>
              <w:bidi w:val="0"/>
              <w:spacing w:before="0" w:after="283"/>
              <w:jc w:val="both"/>
              <w:rPr>
                <w:sz w:val="20"/>
              </w:rPr>
            </w:pPr>
            <w:r>
              <w:rPr>
                <w:sz w:val="20"/>
              </w:rPr>
              <w:t>4.2 (3)</w:t>
            </w:r>
          </w:p>
        </w:tc>
        <w:tc>
          <w:tcPr>
            <w:tcW w:w="60" w:type="dxa"/>
            <w:tcBorders/>
            <w:tcMar>
              <w:bottom w:w="0" w:type="dxa"/>
            </w:tcMar>
            <w:vAlign w:val="center"/>
          </w:tcPr>
          <w:p>
            <w:pPr>
              <w:pStyle w:val="TableContents"/>
              <w:bidi w:val="0"/>
              <w:spacing w:before="0" w:after="283"/>
              <w:jc w:val="left"/>
              <w:rPr/>
            </w:pPr>
            <w:r>
              <w:rPr/>
              <w:t> </w:t>
            </w:r>
          </w:p>
        </w:tc>
        <w:tc>
          <w:tcPr>
            <w:tcW w:w="9305" w:type="dxa"/>
            <w:tcBorders/>
            <w:tcMar>
              <w:bottom w:w="0" w:type="dxa"/>
            </w:tcMar>
            <w:vAlign w:val="center"/>
          </w:tcPr>
          <w:p>
            <w:pPr>
              <w:pStyle w:val="TableContents"/>
              <w:bidi w:val="0"/>
              <w:spacing w:before="0" w:after="283"/>
              <w:jc w:val="both"/>
              <w:rPr/>
            </w:pPr>
            <w:hyperlink r:id="rId10">
              <w:r>
                <w:rPr>
                  <w:rStyle w:val="InternetLink"/>
                  <w:sz w:val="20"/>
                </w:rPr>
                <w:t>Form of 8.0% Convertible Note</w:t>
              </w:r>
            </w:hyperlink>
          </w:p>
        </w:tc>
      </w:tr>
      <w:tr>
        <w:trPr/>
        <w:tc>
          <w:tcPr>
            <w:tcW w:w="840" w:type="dxa"/>
            <w:tcBorders/>
            <w:shd w:fill="CCEEFF" w:val="clear"/>
            <w:tcMar>
              <w:bottom w:w="0" w:type="dxa"/>
            </w:tcMar>
            <w:vAlign w:val="center"/>
          </w:tcPr>
          <w:p>
            <w:pPr>
              <w:pStyle w:val="TableContents"/>
              <w:bidi w:val="0"/>
              <w:spacing w:before="0" w:after="283"/>
              <w:jc w:val="both"/>
              <w:rPr>
                <w:sz w:val="20"/>
              </w:rPr>
            </w:pPr>
            <w:r>
              <w:rPr>
                <w:sz w:val="20"/>
              </w:rPr>
              <w:t>4.3 (4)</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05" w:type="dxa"/>
            <w:tcBorders/>
            <w:shd w:fill="CCEEFF" w:val="clear"/>
            <w:tcMar>
              <w:bottom w:w="0" w:type="dxa"/>
            </w:tcMar>
            <w:vAlign w:val="center"/>
          </w:tcPr>
          <w:p>
            <w:pPr>
              <w:pStyle w:val="TableContents"/>
              <w:bidi w:val="0"/>
              <w:spacing w:before="0" w:after="283"/>
              <w:jc w:val="both"/>
              <w:rPr/>
            </w:pPr>
            <w:hyperlink r:id="rId11">
              <w:r>
                <w:rPr>
                  <w:rStyle w:val="InternetLink"/>
                  <w:sz w:val="20"/>
                </w:rPr>
                <w:t>Form of 15.0% Convertible Note</w:t>
              </w:r>
            </w:hyperlink>
          </w:p>
        </w:tc>
      </w:tr>
      <w:tr>
        <w:trPr/>
        <w:tc>
          <w:tcPr>
            <w:tcW w:w="840" w:type="dxa"/>
            <w:tcBorders/>
            <w:tcMar>
              <w:bottom w:w="0" w:type="dxa"/>
            </w:tcMar>
            <w:vAlign w:val="center"/>
          </w:tcPr>
          <w:p>
            <w:pPr>
              <w:pStyle w:val="TableContents"/>
              <w:bidi w:val="0"/>
              <w:spacing w:before="0" w:after="283"/>
              <w:jc w:val="both"/>
              <w:rPr>
                <w:sz w:val="20"/>
              </w:rPr>
            </w:pPr>
            <w:r>
              <w:rPr>
                <w:sz w:val="20"/>
              </w:rPr>
              <w:t>4.4 (4)</w:t>
            </w:r>
          </w:p>
        </w:tc>
        <w:tc>
          <w:tcPr>
            <w:tcW w:w="60" w:type="dxa"/>
            <w:tcBorders/>
            <w:tcMar>
              <w:bottom w:w="0" w:type="dxa"/>
            </w:tcMar>
            <w:vAlign w:val="center"/>
          </w:tcPr>
          <w:p>
            <w:pPr>
              <w:pStyle w:val="TableContents"/>
              <w:bidi w:val="0"/>
              <w:spacing w:before="0" w:after="283"/>
              <w:jc w:val="left"/>
              <w:rPr/>
            </w:pPr>
            <w:r>
              <w:rPr/>
              <w:t> </w:t>
            </w:r>
          </w:p>
        </w:tc>
        <w:tc>
          <w:tcPr>
            <w:tcW w:w="9305" w:type="dxa"/>
            <w:tcBorders/>
            <w:tcMar>
              <w:bottom w:w="0" w:type="dxa"/>
            </w:tcMar>
            <w:vAlign w:val="center"/>
          </w:tcPr>
          <w:p>
            <w:pPr>
              <w:pStyle w:val="TableContents"/>
              <w:bidi w:val="0"/>
              <w:spacing w:before="0" w:after="283"/>
              <w:jc w:val="both"/>
              <w:rPr/>
            </w:pPr>
            <w:hyperlink r:id="rId12">
              <w:r>
                <w:rPr>
                  <w:rStyle w:val="InternetLink"/>
                  <w:sz w:val="20"/>
                </w:rPr>
                <w:t>Amended and Restated Promissory Note issued to The Theodore Stern Revocable Trust</w:t>
              </w:r>
            </w:hyperlink>
          </w:p>
        </w:tc>
      </w:tr>
      <w:tr>
        <w:trPr/>
        <w:tc>
          <w:tcPr>
            <w:tcW w:w="840" w:type="dxa"/>
            <w:tcBorders/>
            <w:shd w:fill="CCEEFF" w:val="clear"/>
            <w:tcMar>
              <w:bottom w:w="0" w:type="dxa"/>
            </w:tcMar>
            <w:vAlign w:val="center"/>
          </w:tcPr>
          <w:p>
            <w:pPr>
              <w:pStyle w:val="TableContents"/>
              <w:bidi w:val="0"/>
              <w:spacing w:before="0" w:after="283"/>
              <w:jc w:val="both"/>
              <w:rPr>
                <w:sz w:val="20"/>
              </w:rPr>
            </w:pPr>
            <w:r>
              <w:rPr>
                <w:sz w:val="20"/>
              </w:rPr>
              <w:t>4.5 (5)</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05" w:type="dxa"/>
            <w:tcBorders/>
            <w:shd w:fill="CCEEFF" w:val="clear"/>
            <w:tcMar>
              <w:bottom w:w="0" w:type="dxa"/>
            </w:tcMar>
            <w:vAlign w:val="center"/>
          </w:tcPr>
          <w:p>
            <w:pPr>
              <w:pStyle w:val="TableContents"/>
              <w:bidi w:val="0"/>
              <w:spacing w:before="0" w:after="283"/>
              <w:jc w:val="both"/>
              <w:rPr/>
            </w:pPr>
            <w:hyperlink r:id="rId13">
              <w:r>
                <w:rPr>
                  <w:rStyle w:val="InternetLink"/>
                  <w:sz w:val="20"/>
                </w:rPr>
                <w:t>Paycheck Protection Program Term Note dated May 6, 2020</w:t>
              </w:r>
            </w:hyperlink>
          </w:p>
        </w:tc>
      </w:tr>
      <w:tr>
        <w:trPr/>
        <w:tc>
          <w:tcPr>
            <w:tcW w:w="840" w:type="dxa"/>
            <w:tcBorders/>
            <w:tcMar>
              <w:bottom w:w="0" w:type="dxa"/>
            </w:tcMar>
            <w:vAlign w:val="center"/>
          </w:tcPr>
          <w:p>
            <w:pPr>
              <w:pStyle w:val="TableContents"/>
              <w:bidi w:val="0"/>
              <w:spacing w:before="0" w:after="283"/>
              <w:jc w:val="both"/>
              <w:rPr>
                <w:sz w:val="20"/>
              </w:rPr>
            </w:pPr>
            <w:r>
              <w:rPr>
                <w:sz w:val="20"/>
              </w:rPr>
              <w:t>4.6 (6)</w:t>
            </w:r>
          </w:p>
        </w:tc>
        <w:tc>
          <w:tcPr>
            <w:tcW w:w="60" w:type="dxa"/>
            <w:tcBorders/>
            <w:tcMar>
              <w:bottom w:w="0" w:type="dxa"/>
            </w:tcMar>
            <w:vAlign w:val="center"/>
          </w:tcPr>
          <w:p>
            <w:pPr>
              <w:pStyle w:val="TableContents"/>
              <w:bidi w:val="0"/>
              <w:spacing w:before="0" w:after="283"/>
              <w:jc w:val="left"/>
              <w:rPr/>
            </w:pPr>
            <w:r>
              <w:rPr/>
              <w:t> </w:t>
            </w:r>
          </w:p>
        </w:tc>
        <w:tc>
          <w:tcPr>
            <w:tcW w:w="9305" w:type="dxa"/>
            <w:tcBorders/>
            <w:tcMar>
              <w:bottom w:w="0" w:type="dxa"/>
            </w:tcMar>
            <w:vAlign w:val="center"/>
          </w:tcPr>
          <w:p>
            <w:pPr>
              <w:pStyle w:val="TableContents"/>
              <w:bidi w:val="0"/>
              <w:spacing w:before="0" w:after="283"/>
              <w:jc w:val="both"/>
              <w:rPr/>
            </w:pPr>
            <w:hyperlink r:id="rId14">
              <w:r>
                <w:rPr>
                  <w:rStyle w:val="InternetLink"/>
                  <w:sz w:val="20"/>
                </w:rPr>
                <w:t>Paycheck Protection Program Term Note dated February 1, 2021</w:t>
              </w:r>
            </w:hyperlink>
          </w:p>
        </w:tc>
      </w:tr>
      <w:tr>
        <w:trPr/>
        <w:tc>
          <w:tcPr>
            <w:tcW w:w="840" w:type="dxa"/>
            <w:tcBorders/>
            <w:shd w:fill="CCEEFF" w:val="clear"/>
            <w:tcMar>
              <w:bottom w:w="0" w:type="dxa"/>
            </w:tcMar>
            <w:vAlign w:val="center"/>
          </w:tcPr>
          <w:p>
            <w:pPr>
              <w:pStyle w:val="TableContents"/>
              <w:bidi w:val="0"/>
              <w:spacing w:before="0" w:after="283"/>
              <w:jc w:val="both"/>
              <w:rPr>
                <w:sz w:val="20"/>
              </w:rPr>
            </w:pPr>
            <w:r>
              <w:rPr>
                <w:sz w:val="20"/>
              </w:rPr>
              <w:t>4.7 (18)</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05" w:type="dxa"/>
            <w:tcBorders/>
            <w:shd w:fill="CCEEFF" w:val="clear"/>
            <w:tcMar>
              <w:bottom w:w="0" w:type="dxa"/>
            </w:tcMar>
            <w:vAlign w:val="center"/>
          </w:tcPr>
          <w:p>
            <w:pPr>
              <w:pStyle w:val="TableContents"/>
              <w:bidi w:val="0"/>
              <w:spacing w:before="0" w:after="283"/>
              <w:jc w:val="both"/>
              <w:rPr/>
            </w:pPr>
            <w:hyperlink r:id="rId15">
              <w:r>
                <w:rPr>
                  <w:rStyle w:val="InternetLink"/>
                  <w:sz w:val="20"/>
                </w:rPr>
                <w:t>Description of the Registrant’s Securities</w:t>
              </w:r>
            </w:hyperlink>
          </w:p>
        </w:tc>
      </w:tr>
      <w:tr>
        <w:trPr/>
        <w:tc>
          <w:tcPr>
            <w:tcW w:w="840" w:type="dxa"/>
            <w:tcBorders/>
            <w:tcMar>
              <w:bottom w:w="0" w:type="dxa"/>
            </w:tcMar>
            <w:vAlign w:val="center"/>
          </w:tcPr>
          <w:p>
            <w:pPr>
              <w:pStyle w:val="TableContents"/>
              <w:bidi w:val="0"/>
              <w:spacing w:before="0" w:after="283"/>
              <w:jc w:val="both"/>
              <w:rPr>
                <w:sz w:val="20"/>
              </w:rPr>
            </w:pPr>
            <w:r>
              <w:rPr>
                <w:sz w:val="20"/>
              </w:rPr>
              <w:t>10.1 (2)</w:t>
            </w:r>
          </w:p>
        </w:tc>
        <w:tc>
          <w:tcPr>
            <w:tcW w:w="60" w:type="dxa"/>
            <w:tcBorders/>
            <w:tcMar>
              <w:bottom w:w="0" w:type="dxa"/>
            </w:tcMar>
            <w:vAlign w:val="center"/>
          </w:tcPr>
          <w:p>
            <w:pPr>
              <w:pStyle w:val="TableContents"/>
              <w:bidi w:val="0"/>
              <w:spacing w:before="0" w:after="283"/>
              <w:jc w:val="left"/>
              <w:rPr/>
            </w:pPr>
            <w:r>
              <w:rPr/>
              <w:t> </w:t>
            </w:r>
          </w:p>
        </w:tc>
        <w:tc>
          <w:tcPr>
            <w:tcW w:w="9305" w:type="dxa"/>
            <w:tcBorders/>
            <w:tcMar>
              <w:bottom w:w="0" w:type="dxa"/>
            </w:tcMar>
            <w:vAlign w:val="center"/>
          </w:tcPr>
          <w:p>
            <w:pPr>
              <w:pStyle w:val="TableContents"/>
              <w:bidi w:val="0"/>
              <w:spacing w:before="0" w:after="283"/>
              <w:jc w:val="both"/>
              <w:rPr/>
            </w:pPr>
            <w:hyperlink r:id="rId16">
              <w:r>
                <w:rPr>
                  <w:rStyle w:val="InternetLink"/>
                  <w:sz w:val="20"/>
                </w:rPr>
                <w:t>Form of Director Agreement</w:t>
              </w:r>
            </w:hyperlink>
          </w:p>
        </w:tc>
      </w:tr>
      <w:tr>
        <w:trPr/>
        <w:tc>
          <w:tcPr>
            <w:tcW w:w="840" w:type="dxa"/>
            <w:tcBorders/>
            <w:shd w:fill="CCEEFF" w:val="clear"/>
            <w:tcMar>
              <w:bottom w:w="0" w:type="dxa"/>
            </w:tcMar>
            <w:vAlign w:val="center"/>
          </w:tcPr>
          <w:p>
            <w:pPr>
              <w:pStyle w:val="TableContents"/>
              <w:bidi w:val="0"/>
              <w:spacing w:before="0" w:after="283"/>
              <w:jc w:val="both"/>
              <w:rPr>
                <w:sz w:val="20"/>
              </w:rPr>
            </w:pPr>
            <w:r>
              <w:rPr>
                <w:sz w:val="20"/>
              </w:rPr>
              <w:t>10.2 (2)</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05" w:type="dxa"/>
            <w:tcBorders/>
            <w:shd w:fill="CCEEFF" w:val="clear"/>
            <w:tcMar>
              <w:bottom w:w="0" w:type="dxa"/>
            </w:tcMar>
            <w:vAlign w:val="center"/>
          </w:tcPr>
          <w:p>
            <w:pPr>
              <w:pStyle w:val="TableContents"/>
              <w:bidi w:val="0"/>
              <w:spacing w:before="0" w:after="283"/>
              <w:jc w:val="both"/>
              <w:rPr/>
            </w:pPr>
            <w:hyperlink r:id="rId17">
              <w:r>
                <w:rPr>
                  <w:rStyle w:val="InternetLink"/>
                  <w:sz w:val="20"/>
                </w:rPr>
                <w:t>Form of Indemnification Agreement</w:t>
              </w:r>
            </w:hyperlink>
          </w:p>
        </w:tc>
      </w:tr>
      <w:tr>
        <w:trPr/>
        <w:tc>
          <w:tcPr>
            <w:tcW w:w="840" w:type="dxa"/>
            <w:tcBorders/>
            <w:tcMar>
              <w:bottom w:w="0" w:type="dxa"/>
            </w:tcMar>
            <w:vAlign w:val="center"/>
          </w:tcPr>
          <w:p>
            <w:pPr>
              <w:pStyle w:val="TableContents"/>
              <w:bidi w:val="0"/>
              <w:spacing w:before="0" w:after="283"/>
              <w:jc w:val="both"/>
              <w:rPr>
                <w:sz w:val="20"/>
              </w:rPr>
            </w:pPr>
            <w:r>
              <w:rPr>
                <w:sz w:val="20"/>
              </w:rPr>
              <w:t>10.5 (7)</w:t>
            </w:r>
          </w:p>
        </w:tc>
        <w:tc>
          <w:tcPr>
            <w:tcW w:w="60" w:type="dxa"/>
            <w:tcBorders/>
            <w:tcMar>
              <w:bottom w:w="0" w:type="dxa"/>
            </w:tcMar>
            <w:vAlign w:val="center"/>
          </w:tcPr>
          <w:p>
            <w:pPr>
              <w:pStyle w:val="TableContents"/>
              <w:bidi w:val="0"/>
              <w:spacing w:before="0" w:after="283"/>
              <w:jc w:val="left"/>
              <w:rPr/>
            </w:pPr>
            <w:r>
              <w:rPr/>
              <w:t> </w:t>
            </w:r>
          </w:p>
        </w:tc>
        <w:tc>
          <w:tcPr>
            <w:tcW w:w="9305" w:type="dxa"/>
            <w:tcBorders/>
            <w:tcMar>
              <w:bottom w:w="0" w:type="dxa"/>
            </w:tcMar>
            <w:vAlign w:val="center"/>
          </w:tcPr>
          <w:p>
            <w:pPr>
              <w:pStyle w:val="TableContents"/>
              <w:bidi w:val="0"/>
              <w:spacing w:before="0" w:after="283"/>
              <w:jc w:val="both"/>
              <w:rPr/>
            </w:pPr>
            <w:hyperlink r:id="rId18">
              <w:r>
                <w:rPr>
                  <w:rStyle w:val="InternetLink"/>
                  <w:sz w:val="20"/>
                </w:rPr>
                <w:t>2017 Incentive Stock Plan</w:t>
              </w:r>
            </w:hyperlink>
          </w:p>
        </w:tc>
      </w:tr>
      <w:tr>
        <w:trPr/>
        <w:tc>
          <w:tcPr>
            <w:tcW w:w="840" w:type="dxa"/>
            <w:tcBorders/>
            <w:shd w:fill="CCEEFF" w:val="clear"/>
            <w:tcMar>
              <w:bottom w:w="0" w:type="dxa"/>
            </w:tcMar>
            <w:vAlign w:val="center"/>
          </w:tcPr>
          <w:p>
            <w:pPr>
              <w:pStyle w:val="TableContents"/>
              <w:bidi w:val="0"/>
              <w:spacing w:before="0" w:after="283"/>
              <w:jc w:val="both"/>
              <w:rPr>
                <w:sz w:val="20"/>
              </w:rPr>
            </w:pPr>
            <w:r>
              <w:rPr>
                <w:sz w:val="20"/>
              </w:rPr>
              <w:t>10.7 (2)</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05" w:type="dxa"/>
            <w:tcBorders/>
            <w:shd w:fill="CCEEFF" w:val="clear"/>
            <w:tcMar>
              <w:bottom w:w="0" w:type="dxa"/>
            </w:tcMar>
            <w:vAlign w:val="center"/>
          </w:tcPr>
          <w:p>
            <w:pPr>
              <w:pStyle w:val="TableContents"/>
              <w:bidi w:val="0"/>
              <w:spacing w:before="0" w:after="283"/>
              <w:jc w:val="both"/>
              <w:rPr/>
            </w:pPr>
            <w:hyperlink r:id="rId19">
              <w:r>
                <w:rPr>
                  <w:rStyle w:val="InternetLink"/>
                  <w:sz w:val="20"/>
                </w:rPr>
                <w:t>Executive Retention Agreement entered between the Company and Thomas L. Thimot dated June 14, 2021</w:t>
              </w:r>
            </w:hyperlink>
          </w:p>
        </w:tc>
      </w:tr>
      <w:tr>
        <w:trPr/>
        <w:tc>
          <w:tcPr>
            <w:tcW w:w="840" w:type="dxa"/>
            <w:tcBorders/>
            <w:tcMar>
              <w:bottom w:w="0" w:type="dxa"/>
            </w:tcMar>
            <w:vAlign w:val="center"/>
          </w:tcPr>
          <w:p>
            <w:pPr>
              <w:pStyle w:val="TableContents"/>
              <w:bidi w:val="0"/>
              <w:spacing w:before="0" w:after="283"/>
              <w:jc w:val="both"/>
              <w:rPr>
                <w:sz w:val="20"/>
              </w:rPr>
            </w:pPr>
            <w:r>
              <w:rPr>
                <w:sz w:val="20"/>
              </w:rPr>
              <w:t>10.8 (2)</w:t>
            </w:r>
          </w:p>
        </w:tc>
        <w:tc>
          <w:tcPr>
            <w:tcW w:w="60" w:type="dxa"/>
            <w:tcBorders/>
            <w:tcMar>
              <w:bottom w:w="0" w:type="dxa"/>
            </w:tcMar>
            <w:vAlign w:val="center"/>
          </w:tcPr>
          <w:p>
            <w:pPr>
              <w:pStyle w:val="TableContents"/>
              <w:bidi w:val="0"/>
              <w:spacing w:before="0" w:after="283"/>
              <w:jc w:val="left"/>
              <w:rPr/>
            </w:pPr>
            <w:r>
              <w:rPr/>
              <w:t> </w:t>
            </w:r>
          </w:p>
        </w:tc>
        <w:tc>
          <w:tcPr>
            <w:tcW w:w="9305" w:type="dxa"/>
            <w:tcBorders/>
            <w:tcMar>
              <w:bottom w:w="0" w:type="dxa"/>
            </w:tcMar>
            <w:vAlign w:val="center"/>
          </w:tcPr>
          <w:p>
            <w:pPr>
              <w:pStyle w:val="TableContents"/>
              <w:bidi w:val="0"/>
              <w:spacing w:before="0" w:after="283"/>
              <w:jc w:val="both"/>
              <w:rPr/>
            </w:pPr>
            <w:hyperlink r:id="rId20">
              <w:r>
                <w:rPr>
                  <w:rStyle w:val="InternetLink"/>
                  <w:sz w:val="20"/>
                </w:rPr>
                <w:t>Executive Retention Agreement entered between the Company and Cecil N. Smith III dated June 14, 2021</w:t>
              </w:r>
            </w:hyperlink>
          </w:p>
        </w:tc>
      </w:tr>
      <w:tr>
        <w:trPr/>
        <w:tc>
          <w:tcPr>
            <w:tcW w:w="840" w:type="dxa"/>
            <w:tcBorders/>
            <w:shd w:fill="CCEEFF" w:val="clear"/>
            <w:tcMar>
              <w:bottom w:w="0" w:type="dxa"/>
            </w:tcMar>
            <w:vAlign w:val="center"/>
          </w:tcPr>
          <w:p>
            <w:pPr>
              <w:pStyle w:val="TableContents"/>
              <w:bidi w:val="0"/>
              <w:spacing w:before="0" w:after="283"/>
              <w:jc w:val="both"/>
              <w:rPr>
                <w:sz w:val="20"/>
              </w:rPr>
            </w:pPr>
            <w:r>
              <w:rPr>
                <w:sz w:val="20"/>
              </w:rPr>
              <w:t>10.9 (2)</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05" w:type="dxa"/>
            <w:tcBorders/>
            <w:shd w:fill="CCEEFF" w:val="clear"/>
            <w:tcMar>
              <w:bottom w:w="0" w:type="dxa"/>
            </w:tcMar>
            <w:vAlign w:val="center"/>
          </w:tcPr>
          <w:p>
            <w:pPr>
              <w:pStyle w:val="TableContents"/>
              <w:bidi w:val="0"/>
              <w:spacing w:before="0" w:after="283"/>
              <w:jc w:val="both"/>
              <w:rPr/>
            </w:pPr>
            <w:hyperlink r:id="rId21">
              <w:r>
                <w:rPr>
                  <w:rStyle w:val="InternetLink"/>
                  <w:sz w:val="20"/>
                </w:rPr>
                <w:t>Letter Agreement between the Company and Thomas L. Thimot dated June 14, 2021</w:t>
              </w:r>
            </w:hyperlink>
          </w:p>
        </w:tc>
      </w:tr>
      <w:tr>
        <w:trPr/>
        <w:tc>
          <w:tcPr>
            <w:tcW w:w="840" w:type="dxa"/>
            <w:tcBorders/>
            <w:tcMar>
              <w:bottom w:w="0" w:type="dxa"/>
            </w:tcMar>
            <w:vAlign w:val="center"/>
          </w:tcPr>
          <w:p>
            <w:pPr>
              <w:pStyle w:val="TableContents"/>
              <w:bidi w:val="0"/>
              <w:spacing w:before="0" w:after="283"/>
              <w:jc w:val="both"/>
              <w:rPr>
                <w:sz w:val="20"/>
              </w:rPr>
            </w:pPr>
            <w:r>
              <w:rPr>
                <w:sz w:val="20"/>
              </w:rPr>
              <w:t>10.10 (2)</w:t>
            </w:r>
          </w:p>
        </w:tc>
        <w:tc>
          <w:tcPr>
            <w:tcW w:w="60" w:type="dxa"/>
            <w:tcBorders/>
            <w:tcMar>
              <w:bottom w:w="0" w:type="dxa"/>
            </w:tcMar>
            <w:vAlign w:val="center"/>
          </w:tcPr>
          <w:p>
            <w:pPr>
              <w:pStyle w:val="TableContents"/>
              <w:bidi w:val="0"/>
              <w:spacing w:before="0" w:after="283"/>
              <w:jc w:val="left"/>
              <w:rPr/>
            </w:pPr>
            <w:r>
              <w:rPr/>
              <w:t> </w:t>
            </w:r>
          </w:p>
        </w:tc>
        <w:tc>
          <w:tcPr>
            <w:tcW w:w="9305" w:type="dxa"/>
            <w:tcBorders/>
            <w:tcMar>
              <w:bottom w:w="0" w:type="dxa"/>
            </w:tcMar>
            <w:vAlign w:val="center"/>
          </w:tcPr>
          <w:p>
            <w:pPr>
              <w:pStyle w:val="TableContents"/>
              <w:bidi w:val="0"/>
              <w:spacing w:before="0" w:after="283"/>
              <w:jc w:val="both"/>
              <w:rPr/>
            </w:pPr>
            <w:hyperlink r:id="rId22">
              <w:r>
                <w:rPr>
                  <w:rStyle w:val="InternetLink"/>
                  <w:sz w:val="20"/>
                </w:rPr>
                <w:t>Letter Agreement between the Company and Cecil N. Smith III dated June 14, 2021</w:t>
              </w:r>
            </w:hyperlink>
          </w:p>
        </w:tc>
      </w:tr>
      <w:tr>
        <w:trPr/>
        <w:tc>
          <w:tcPr>
            <w:tcW w:w="840" w:type="dxa"/>
            <w:tcBorders/>
            <w:shd w:fill="CCEEFF" w:val="clear"/>
            <w:tcMar>
              <w:bottom w:w="0" w:type="dxa"/>
            </w:tcMar>
            <w:vAlign w:val="center"/>
          </w:tcPr>
          <w:p>
            <w:pPr>
              <w:pStyle w:val="TableContents"/>
              <w:bidi w:val="0"/>
              <w:spacing w:before="0" w:after="283"/>
              <w:jc w:val="both"/>
              <w:rPr>
                <w:sz w:val="20"/>
              </w:rPr>
            </w:pPr>
            <w:r>
              <w:rPr>
                <w:sz w:val="20"/>
              </w:rPr>
              <w:t>10.11 (8)</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05" w:type="dxa"/>
            <w:tcBorders/>
            <w:shd w:fill="CCEEFF" w:val="clear"/>
            <w:tcMar>
              <w:bottom w:w="0" w:type="dxa"/>
            </w:tcMar>
            <w:vAlign w:val="center"/>
          </w:tcPr>
          <w:p>
            <w:pPr>
              <w:pStyle w:val="TableContents"/>
              <w:bidi w:val="0"/>
              <w:spacing w:before="0" w:after="283"/>
              <w:jc w:val="both"/>
              <w:rPr/>
            </w:pPr>
            <w:hyperlink r:id="rId23">
              <w:r>
                <w:rPr>
                  <w:rStyle w:val="InternetLink"/>
                  <w:sz w:val="20"/>
                </w:rPr>
                <w:t>Letter Agreement between the Company and Phillip L. Kumnick dated as November 5, 2021</w:t>
              </w:r>
            </w:hyperlink>
          </w:p>
        </w:tc>
      </w:tr>
      <w:tr>
        <w:trPr/>
        <w:tc>
          <w:tcPr>
            <w:tcW w:w="840" w:type="dxa"/>
            <w:tcBorders/>
            <w:tcMar>
              <w:bottom w:w="0" w:type="dxa"/>
            </w:tcMar>
            <w:vAlign w:val="center"/>
          </w:tcPr>
          <w:p>
            <w:pPr>
              <w:pStyle w:val="TableContents"/>
              <w:bidi w:val="0"/>
              <w:spacing w:before="0" w:after="283"/>
              <w:jc w:val="both"/>
              <w:rPr>
                <w:sz w:val="20"/>
              </w:rPr>
            </w:pPr>
            <w:r>
              <w:rPr>
                <w:sz w:val="20"/>
              </w:rPr>
              <w:t>10.12 (8)</w:t>
            </w:r>
          </w:p>
        </w:tc>
        <w:tc>
          <w:tcPr>
            <w:tcW w:w="60" w:type="dxa"/>
            <w:tcBorders/>
            <w:tcMar>
              <w:bottom w:w="0" w:type="dxa"/>
            </w:tcMar>
            <w:vAlign w:val="center"/>
          </w:tcPr>
          <w:p>
            <w:pPr>
              <w:pStyle w:val="TableContents"/>
              <w:bidi w:val="0"/>
              <w:spacing w:before="0" w:after="283"/>
              <w:jc w:val="left"/>
              <w:rPr/>
            </w:pPr>
            <w:r>
              <w:rPr/>
              <w:t> </w:t>
            </w:r>
          </w:p>
        </w:tc>
        <w:tc>
          <w:tcPr>
            <w:tcW w:w="9305" w:type="dxa"/>
            <w:tcBorders/>
            <w:tcMar>
              <w:bottom w:w="0" w:type="dxa"/>
            </w:tcMar>
            <w:vAlign w:val="center"/>
          </w:tcPr>
          <w:p>
            <w:pPr>
              <w:pStyle w:val="TableContents"/>
              <w:bidi w:val="0"/>
              <w:spacing w:before="0" w:after="283"/>
              <w:jc w:val="both"/>
              <w:rPr/>
            </w:pPr>
            <w:hyperlink r:id="rId24">
              <w:r>
                <w:rPr>
                  <w:rStyle w:val="InternetLink"/>
                  <w:sz w:val="20"/>
                </w:rPr>
                <w:t>Letter Agreement between the Company and Philip R. Broenniman dated as November 5, 2021</w:t>
              </w:r>
            </w:hyperlink>
          </w:p>
        </w:tc>
      </w:tr>
      <w:tr>
        <w:trPr/>
        <w:tc>
          <w:tcPr>
            <w:tcW w:w="840" w:type="dxa"/>
            <w:tcBorders/>
            <w:shd w:fill="CCEEFF" w:val="clear"/>
            <w:tcMar>
              <w:bottom w:w="0" w:type="dxa"/>
            </w:tcMar>
            <w:vAlign w:val="center"/>
          </w:tcPr>
          <w:p>
            <w:pPr>
              <w:pStyle w:val="TableContents"/>
              <w:bidi w:val="0"/>
              <w:spacing w:before="0" w:after="283"/>
              <w:jc w:val="both"/>
              <w:rPr>
                <w:sz w:val="20"/>
              </w:rPr>
            </w:pPr>
            <w:r>
              <w:rPr>
                <w:sz w:val="20"/>
              </w:rPr>
              <w:t>10.13 (9)</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05" w:type="dxa"/>
            <w:tcBorders/>
            <w:shd w:fill="CCEEFF" w:val="clear"/>
            <w:tcMar>
              <w:bottom w:w="0" w:type="dxa"/>
            </w:tcMar>
            <w:vAlign w:val="center"/>
          </w:tcPr>
          <w:p>
            <w:pPr>
              <w:pStyle w:val="TableContents"/>
              <w:bidi w:val="0"/>
              <w:spacing w:before="0" w:after="283"/>
              <w:jc w:val="both"/>
              <w:rPr/>
            </w:pPr>
            <w:hyperlink r:id="rId25">
              <w:r>
                <w:rPr>
                  <w:rStyle w:val="InternetLink"/>
                  <w:sz w:val="20"/>
                </w:rPr>
                <w:t>AuthID Inc. 2021 Equity Incentive Plan</w:t>
              </w:r>
            </w:hyperlink>
          </w:p>
        </w:tc>
      </w:tr>
      <w:tr>
        <w:trPr/>
        <w:tc>
          <w:tcPr>
            <w:tcW w:w="840" w:type="dxa"/>
            <w:tcBorders/>
            <w:tcMar>
              <w:bottom w:w="0" w:type="dxa"/>
            </w:tcMar>
            <w:vAlign w:val="center"/>
          </w:tcPr>
          <w:p>
            <w:pPr>
              <w:pStyle w:val="TableContents"/>
              <w:bidi w:val="0"/>
              <w:spacing w:before="0" w:after="283"/>
              <w:jc w:val="both"/>
              <w:rPr>
                <w:sz w:val="20"/>
              </w:rPr>
            </w:pPr>
            <w:r>
              <w:rPr>
                <w:sz w:val="20"/>
              </w:rPr>
              <w:t>10.14 (11)</w:t>
            </w:r>
          </w:p>
        </w:tc>
        <w:tc>
          <w:tcPr>
            <w:tcW w:w="60" w:type="dxa"/>
            <w:tcBorders/>
            <w:tcMar>
              <w:bottom w:w="0" w:type="dxa"/>
            </w:tcMar>
            <w:vAlign w:val="center"/>
          </w:tcPr>
          <w:p>
            <w:pPr>
              <w:pStyle w:val="TableContents"/>
              <w:bidi w:val="0"/>
              <w:spacing w:before="0" w:after="283"/>
              <w:jc w:val="left"/>
              <w:rPr/>
            </w:pPr>
            <w:r>
              <w:rPr/>
              <w:t> </w:t>
            </w:r>
          </w:p>
        </w:tc>
        <w:tc>
          <w:tcPr>
            <w:tcW w:w="9305" w:type="dxa"/>
            <w:tcBorders/>
            <w:tcMar>
              <w:bottom w:w="0" w:type="dxa"/>
            </w:tcMar>
            <w:vAlign w:val="center"/>
          </w:tcPr>
          <w:p>
            <w:pPr>
              <w:pStyle w:val="TableContents"/>
              <w:bidi w:val="0"/>
              <w:spacing w:before="0" w:after="283"/>
              <w:jc w:val="both"/>
              <w:rPr/>
            </w:pPr>
            <w:hyperlink r:id="rId26">
              <w:r>
                <w:rPr>
                  <w:rStyle w:val="InternetLink"/>
                  <w:sz w:val="20"/>
                </w:rPr>
                <w:t>Letter Agreement between AuthID Inc. and Thomas Szoke dated November 19, 2021</w:t>
              </w:r>
            </w:hyperlink>
          </w:p>
        </w:tc>
      </w:tr>
      <w:tr>
        <w:trPr/>
        <w:tc>
          <w:tcPr>
            <w:tcW w:w="840" w:type="dxa"/>
            <w:tcBorders/>
            <w:shd w:fill="CCEEFF" w:val="clear"/>
            <w:tcMar>
              <w:bottom w:w="0" w:type="dxa"/>
            </w:tcMar>
            <w:vAlign w:val="center"/>
          </w:tcPr>
          <w:p>
            <w:pPr>
              <w:pStyle w:val="TableContents"/>
              <w:bidi w:val="0"/>
              <w:spacing w:before="0" w:after="283"/>
              <w:jc w:val="both"/>
              <w:rPr>
                <w:sz w:val="20"/>
              </w:rPr>
            </w:pPr>
            <w:r>
              <w:rPr>
                <w:sz w:val="20"/>
              </w:rPr>
              <w:t>10.15 (10)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05" w:type="dxa"/>
            <w:tcBorders/>
            <w:shd w:fill="CCEEFF" w:val="clear"/>
            <w:tcMar>
              <w:bottom w:w="0" w:type="dxa"/>
            </w:tcMar>
            <w:vAlign w:val="center"/>
          </w:tcPr>
          <w:p>
            <w:pPr>
              <w:pStyle w:val="TableContents"/>
              <w:bidi w:val="0"/>
              <w:spacing w:before="0" w:after="283"/>
              <w:jc w:val="both"/>
              <w:rPr/>
            </w:pPr>
            <w:hyperlink r:id="rId27">
              <w:r>
                <w:rPr>
                  <w:rStyle w:val="InternetLink"/>
                  <w:sz w:val="20"/>
                </w:rPr>
                <w:t>Form of Securities Purchase Agreement entered into between the Company and the Note Investors dated March 21, 2022.</w:t>
              </w:r>
            </w:hyperlink>
          </w:p>
        </w:tc>
      </w:tr>
      <w:tr>
        <w:trPr/>
        <w:tc>
          <w:tcPr>
            <w:tcW w:w="840" w:type="dxa"/>
            <w:tcBorders/>
            <w:tcMar>
              <w:bottom w:w="0" w:type="dxa"/>
            </w:tcMar>
            <w:vAlign w:val="center"/>
          </w:tcPr>
          <w:p>
            <w:pPr>
              <w:pStyle w:val="TableContents"/>
              <w:bidi w:val="0"/>
              <w:spacing w:before="0" w:after="283"/>
              <w:jc w:val="both"/>
              <w:rPr>
                <w:sz w:val="20"/>
              </w:rPr>
            </w:pPr>
            <w:r>
              <w:rPr>
                <w:sz w:val="20"/>
              </w:rPr>
              <w:t>10.16 (10)</w:t>
            </w:r>
          </w:p>
        </w:tc>
        <w:tc>
          <w:tcPr>
            <w:tcW w:w="60" w:type="dxa"/>
            <w:tcBorders/>
            <w:tcMar>
              <w:bottom w:w="0" w:type="dxa"/>
            </w:tcMar>
            <w:vAlign w:val="center"/>
          </w:tcPr>
          <w:p>
            <w:pPr>
              <w:pStyle w:val="TableContents"/>
              <w:bidi w:val="0"/>
              <w:spacing w:before="0" w:after="283"/>
              <w:jc w:val="left"/>
              <w:rPr/>
            </w:pPr>
            <w:r>
              <w:rPr/>
              <w:t> </w:t>
            </w:r>
          </w:p>
        </w:tc>
        <w:tc>
          <w:tcPr>
            <w:tcW w:w="9305" w:type="dxa"/>
            <w:tcBorders/>
            <w:tcMar>
              <w:bottom w:w="0" w:type="dxa"/>
            </w:tcMar>
            <w:vAlign w:val="center"/>
          </w:tcPr>
          <w:p>
            <w:pPr>
              <w:pStyle w:val="TableContents"/>
              <w:bidi w:val="0"/>
              <w:spacing w:before="0" w:after="283"/>
              <w:jc w:val="both"/>
              <w:rPr/>
            </w:pPr>
            <w:hyperlink r:id="rId28">
              <w:r>
                <w:rPr>
                  <w:rStyle w:val="InternetLink"/>
                  <w:sz w:val="20"/>
                </w:rPr>
                <w:t>Form of Senior Secured Convertible Note issued by the Company to the Note Investors dated March 21, 2022.</w:t>
              </w:r>
            </w:hyperlink>
          </w:p>
        </w:tc>
      </w:tr>
      <w:tr>
        <w:trPr/>
        <w:tc>
          <w:tcPr>
            <w:tcW w:w="840" w:type="dxa"/>
            <w:tcBorders/>
            <w:shd w:fill="CCEEFF" w:val="clear"/>
            <w:tcMar>
              <w:bottom w:w="0" w:type="dxa"/>
            </w:tcMar>
            <w:vAlign w:val="center"/>
          </w:tcPr>
          <w:p>
            <w:pPr>
              <w:pStyle w:val="TableContents"/>
              <w:bidi w:val="0"/>
              <w:spacing w:before="0" w:after="283"/>
              <w:jc w:val="both"/>
              <w:rPr>
                <w:sz w:val="20"/>
              </w:rPr>
            </w:pPr>
            <w:r>
              <w:rPr>
                <w:sz w:val="20"/>
              </w:rPr>
              <w:t>10.17 (10)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05" w:type="dxa"/>
            <w:tcBorders/>
            <w:shd w:fill="CCEEFF" w:val="clear"/>
            <w:tcMar>
              <w:bottom w:w="0" w:type="dxa"/>
            </w:tcMar>
            <w:vAlign w:val="center"/>
          </w:tcPr>
          <w:p>
            <w:pPr>
              <w:pStyle w:val="TableContents"/>
              <w:bidi w:val="0"/>
              <w:spacing w:before="0" w:after="283"/>
              <w:jc w:val="both"/>
              <w:rPr/>
            </w:pPr>
            <w:hyperlink r:id="rId29">
              <w:r>
                <w:rPr>
                  <w:rStyle w:val="InternetLink"/>
                  <w:sz w:val="20"/>
                </w:rPr>
                <w:t>Security and Pledge Agreement entered into between the Company and Stephen J. Garchik as Collateral Agent dated March 21, 2022.</w:t>
              </w:r>
            </w:hyperlink>
          </w:p>
        </w:tc>
      </w:tr>
      <w:tr>
        <w:trPr/>
        <w:tc>
          <w:tcPr>
            <w:tcW w:w="840" w:type="dxa"/>
            <w:tcBorders/>
            <w:tcMar>
              <w:bottom w:w="0" w:type="dxa"/>
            </w:tcMar>
            <w:vAlign w:val="center"/>
          </w:tcPr>
          <w:p>
            <w:pPr>
              <w:pStyle w:val="TableContents"/>
              <w:bidi w:val="0"/>
              <w:spacing w:before="0" w:after="283"/>
              <w:jc w:val="both"/>
              <w:rPr>
                <w:sz w:val="20"/>
              </w:rPr>
            </w:pPr>
            <w:r>
              <w:rPr>
                <w:sz w:val="20"/>
              </w:rPr>
              <w:t>10.19 (10)</w:t>
            </w:r>
          </w:p>
        </w:tc>
        <w:tc>
          <w:tcPr>
            <w:tcW w:w="60" w:type="dxa"/>
            <w:tcBorders/>
            <w:tcMar>
              <w:bottom w:w="0" w:type="dxa"/>
            </w:tcMar>
            <w:vAlign w:val="center"/>
          </w:tcPr>
          <w:p>
            <w:pPr>
              <w:pStyle w:val="TableContents"/>
              <w:bidi w:val="0"/>
              <w:spacing w:before="0" w:after="283"/>
              <w:jc w:val="left"/>
              <w:rPr/>
            </w:pPr>
            <w:r>
              <w:rPr/>
              <w:t> </w:t>
            </w:r>
          </w:p>
        </w:tc>
        <w:tc>
          <w:tcPr>
            <w:tcW w:w="9305" w:type="dxa"/>
            <w:tcBorders/>
            <w:tcMar>
              <w:bottom w:w="0" w:type="dxa"/>
            </w:tcMar>
            <w:vAlign w:val="center"/>
          </w:tcPr>
          <w:p>
            <w:pPr>
              <w:pStyle w:val="TableContents"/>
              <w:bidi w:val="0"/>
              <w:spacing w:before="0" w:after="283"/>
              <w:jc w:val="both"/>
              <w:rPr/>
            </w:pPr>
            <w:hyperlink r:id="rId30">
              <w:r>
                <w:rPr>
                  <w:rStyle w:val="InternetLink"/>
                  <w:sz w:val="20"/>
                </w:rPr>
                <w:t>Form of Registration Rights Agreement entered into between the Company and the Note Investors dated March 21, 2022.</w:t>
              </w:r>
            </w:hyperlink>
          </w:p>
        </w:tc>
      </w:tr>
      <w:tr>
        <w:trPr/>
        <w:tc>
          <w:tcPr>
            <w:tcW w:w="840" w:type="dxa"/>
            <w:tcBorders/>
            <w:shd w:fill="CCEEFF" w:val="clear"/>
            <w:tcMar>
              <w:bottom w:w="0" w:type="dxa"/>
            </w:tcMar>
            <w:vAlign w:val="center"/>
          </w:tcPr>
          <w:p>
            <w:pPr>
              <w:pStyle w:val="TableContents"/>
              <w:bidi w:val="0"/>
              <w:spacing w:before="0" w:after="283"/>
              <w:jc w:val="both"/>
              <w:rPr>
                <w:sz w:val="20"/>
              </w:rPr>
            </w:pPr>
            <w:r>
              <w:rPr>
                <w:sz w:val="20"/>
              </w:rPr>
              <w:t>10.20 (10)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05" w:type="dxa"/>
            <w:tcBorders/>
            <w:shd w:fill="CCEEFF" w:val="clear"/>
            <w:tcMar>
              <w:bottom w:w="0" w:type="dxa"/>
            </w:tcMar>
            <w:vAlign w:val="center"/>
          </w:tcPr>
          <w:p>
            <w:pPr>
              <w:pStyle w:val="TableContents"/>
              <w:bidi w:val="0"/>
              <w:spacing w:before="0" w:after="283"/>
              <w:jc w:val="both"/>
              <w:rPr/>
            </w:pPr>
            <w:hyperlink r:id="rId31">
              <w:r>
                <w:rPr>
                  <w:rStyle w:val="InternetLink"/>
                  <w:sz w:val="20"/>
                </w:rPr>
                <w:t>Facility Agreement entered into between the Company and Stephen J. Garchik dated March 21, 2022.</w:t>
              </w:r>
            </w:hyperlink>
          </w:p>
        </w:tc>
      </w:tr>
      <w:tr>
        <w:trPr/>
        <w:tc>
          <w:tcPr>
            <w:tcW w:w="840" w:type="dxa"/>
            <w:tcBorders/>
            <w:tcMar>
              <w:bottom w:w="0" w:type="dxa"/>
            </w:tcMar>
            <w:vAlign w:val="center"/>
          </w:tcPr>
          <w:p>
            <w:pPr>
              <w:pStyle w:val="TableContents"/>
              <w:bidi w:val="0"/>
              <w:spacing w:before="0" w:after="283"/>
              <w:jc w:val="both"/>
              <w:rPr>
                <w:sz w:val="20"/>
              </w:rPr>
            </w:pPr>
            <w:r>
              <w:rPr>
                <w:sz w:val="20"/>
              </w:rPr>
              <w:t>10.21 (10)</w:t>
            </w:r>
          </w:p>
        </w:tc>
        <w:tc>
          <w:tcPr>
            <w:tcW w:w="60" w:type="dxa"/>
            <w:tcBorders/>
            <w:tcMar>
              <w:bottom w:w="0" w:type="dxa"/>
            </w:tcMar>
            <w:vAlign w:val="center"/>
          </w:tcPr>
          <w:p>
            <w:pPr>
              <w:pStyle w:val="TableContents"/>
              <w:bidi w:val="0"/>
              <w:spacing w:before="0" w:after="283"/>
              <w:jc w:val="left"/>
              <w:rPr/>
            </w:pPr>
            <w:r>
              <w:rPr/>
              <w:t> </w:t>
            </w:r>
          </w:p>
        </w:tc>
        <w:tc>
          <w:tcPr>
            <w:tcW w:w="9305" w:type="dxa"/>
            <w:tcBorders/>
            <w:tcMar>
              <w:bottom w:w="0" w:type="dxa"/>
            </w:tcMar>
            <w:vAlign w:val="center"/>
          </w:tcPr>
          <w:p>
            <w:pPr>
              <w:pStyle w:val="TableContents"/>
              <w:bidi w:val="0"/>
              <w:spacing w:before="0" w:after="283"/>
              <w:jc w:val="both"/>
              <w:rPr/>
            </w:pPr>
            <w:hyperlink r:id="rId32">
              <w:r>
                <w:rPr>
                  <w:rStyle w:val="InternetLink"/>
                  <w:sz w:val="20"/>
                </w:rPr>
                <w:t>Form of Subscription Agreement entered into between the Company and the PIPE Investors dated March 21, 2022.</w:t>
              </w:r>
            </w:hyperlink>
          </w:p>
        </w:tc>
      </w:tr>
      <w:tr>
        <w:trPr/>
        <w:tc>
          <w:tcPr>
            <w:tcW w:w="840" w:type="dxa"/>
            <w:tcBorders/>
            <w:shd w:fill="CCEEFF" w:val="clear"/>
            <w:tcMar>
              <w:bottom w:w="0" w:type="dxa"/>
            </w:tcMar>
            <w:vAlign w:val="center"/>
          </w:tcPr>
          <w:p>
            <w:pPr>
              <w:pStyle w:val="TableContents"/>
              <w:bidi w:val="0"/>
              <w:spacing w:before="0" w:after="283"/>
              <w:jc w:val="both"/>
              <w:rPr>
                <w:sz w:val="20"/>
              </w:rPr>
            </w:pPr>
            <w:r>
              <w:rPr>
                <w:sz w:val="20"/>
              </w:rPr>
              <w:t>10.22 (12)</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05" w:type="dxa"/>
            <w:tcBorders/>
            <w:shd w:fill="CCEEFF" w:val="clear"/>
            <w:tcMar>
              <w:bottom w:w="0" w:type="dxa"/>
            </w:tcMar>
            <w:vAlign w:val="center"/>
          </w:tcPr>
          <w:p>
            <w:pPr>
              <w:pStyle w:val="TableContents"/>
              <w:bidi w:val="0"/>
              <w:spacing w:before="0" w:after="283"/>
              <w:jc w:val="both"/>
              <w:rPr/>
            </w:pPr>
            <w:hyperlink r:id="rId33">
              <w:r>
                <w:rPr>
                  <w:rStyle w:val="InternetLink"/>
                  <w:sz w:val="20"/>
                </w:rPr>
                <w:t>Letter Agreement between Joseph Trelin and AuthID Inc. dated April 18, 2022</w:t>
              </w:r>
            </w:hyperlink>
          </w:p>
        </w:tc>
      </w:tr>
      <w:tr>
        <w:trPr/>
        <w:tc>
          <w:tcPr>
            <w:tcW w:w="840" w:type="dxa"/>
            <w:tcBorders/>
            <w:tcMar>
              <w:bottom w:w="0" w:type="dxa"/>
            </w:tcMar>
            <w:vAlign w:val="center"/>
          </w:tcPr>
          <w:p>
            <w:pPr>
              <w:pStyle w:val="TableContents"/>
              <w:bidi w:val="0"/>
              <w:spacing w:before="0" w:after="283"/>
              <w:jc w:val="both"/>
              <w:rPr>
                <w:sz w:val="20"/>
              </w:rPr>
            </w:pPr>
            <w:r>
              <w:rPr>
                <w:sz w:val="20"/>
              </w:rPr>
              <w:t>10.23 (13)</w:t>
            </w:r>
          </w:p>
        </w:tc>
        <w:tc>
          <w:tcPr>
            <w:tcW w:w="60" w:type="dxa"/>
            <w:tcBorders/>
            <w:tcMar>
              <w:bottom w:w="0" w:type="dxa"/>
            </w:tcMar>
            <w:vAlign w:val="center"/>
          </w:tcPr>
          <w:p>
            <w:pPr>
              <w:pStyle w:val="TableContents"/>
              <w:bidi w:val="0"/>
              <w:spacing w:before="0" w:after="283"/>
              <w:jc w:val="left"/>
              <w:rPr/>
            </w:pPr>
            <w:r>
              <w:rPr/>
              <w:t> </w:t>
            </w:r>
          </w:p>
        </w:tc>
        <w:tc>
          <w:tcPr>
            <w:tcW w:w="9305" w:type="dxa"/>
            <w:tcBorders/>
            <w:tcMar>
              <w:bottom w:w="0" w:type="dxa"/>
            </w:tcMar>
            <w:vAlign w:val="center"/>
          </w:tcPr>
          <w:p>
            <w:pPr>
              <w:pStyle w:val="TableContents"/>
              <w:bidi w:val="0"/>
              <w:spacing w:before="0" w:after="283"/>
              <w:jc w:val="both"/>
              <w:rPr/>
            </w:pPr>
            <w:hyperlink r:id="rId34">
              <w:r>
                <w:rPr>
                  <w:rStyle w:val="InternetLink"/>
                  <w:sz w:val="20"/>
                </w:rPr>
                <w:t>Letter Agreement between Annie Pham and AuthID Inc. dated April 25, 2022</w:t>
              </w:r>
            </w:hyperlink>
          </w:p>
        </w:tc>
      </w:tr>
      <w:tr>
        <w:trPr/>
        <w:tc>
          <w:tcPr>
            <w:tcW w:w="840" w:type="dxa"/>
            <w:tcBorders/>
            <w:shd w:fill="CCEEFF" w:val="clear"/>
            <w:tcMar>
              <w:bottom w:w="0" w:type="dxa"/>
            </w:tcMar>
            <w:vAlign w:val="center"/>
          </w:tcPr>
          <w:p>
            <w:pPr>
              <w:pStyle w:val="TableContents"/>
              <w:bidi w:val="0"/>
              <w:spacing w:before="0" w:after="283"/>
              <w:jc w:val="both"/>
              <w:rPr>
                <w:sz w:val="20"/>
              </w:rPr>
            </w:pPr>
            <w:r>
              <w:rPr>
                <w:sz w:val="20"/>
              </w:rPr>
              <w:t>10.24 (16)</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05" w:type="dxa"/>
            <w:tcBorders/>
            <w:shd w:fill="CCEEFF" w:val="clear"/>
            <w:tcMar>
              <w:bottom w:w="0" w:type="dxa"/>
            </w:tcMar>
            <w:vAlign w:val="center"/>
          </w:tcPr>
          <w:p>
            <w:pPr>
              <w:pStyle w:val="TableContents"/>
              <w:bidi w:val="0"/>
              <w:spacing w:before="0" w:after="283"/>
              <w:jc w:val="both"/>
              <w:rPr/>
            </w:pPr>
            <w:hyperlink r:id="rId35">
              <w:r>
                <w:rPr>
                  <w:rStyle w:val="InternetLink"/>
                  <w:sz w:val="20"/>
                </w:rPr>
                <w:t>Amended and Restated Facility Agreement between the Company and Stephen J. Garchik dated March 8, 2023.</w:t>
              </w:r>
            </w:hyperlink>
          </w:p>
        </w:tc>
      </w:tr>
      <w:tr>
        <w:trPr/>
        <w:tc>
          <w:tcPr>
            <w:tcW w:w="840" w:type="dxa"/>
            <w:tcBorders/>
            <w:tcMar>
              <w:bottom w:w="0" w:type="dxa"/>
            </w:tcMar>
            <w:vAlign w:val="center"/>
          </w:tcPr>
          <w:p>
            <w:pPr>
              <w:pStyle w:val="TableContents"/>
              <w:bidi w:val="0"/>
              <w:spacing w:before="0" w:after="283"/>
              <w:jc w:val="both"/>
              <w:rPr>
                <w:sz w:val="20"/>
              </w:rPr>
            </w:pPr>
            <w:r>
              <w:rPr>
                <w:sz w:val="20"/>
              </w:rPr>
              <w:t>10.25 (16)</w:t>
            </w:r>
          </w:p>
        </w:tc>
        <w:tc>
          <w:tcPr>
            <w:tcW w:w="60" w:type="dxa"/>
            <w:tcBorders/>
            <w:tcMar>
              <w:bottom w:w="0" w:type="dxa"/>
            </w:tcMar>
            <w:vAlign w:val="center"/>
          </w:tcPr>
          <w:p>
            <w:pPr>
              <w:pStyle w:val="TableContents"/>
              <w:bidi w:val="0"/>
              <w:spacing w:before="0" w:after="283"/>
              <w:jc w:val="left"/>
              <w:rPr/>
            </w:pPr>
            <w:r>
              <w:rPr/>
              <w:t> </w:t>
            </w:r>
          </w:p>
        </w:tc>
        <w:tc>
          <w:tcPr>
            <w:tcW w:w="9305" w:type="dxa"/>
            <w:tcBorders/>
            <w:tcMar>
              <w:bottom w:w="0" w:type="dxa"/>
            </w:tcMar>
            <w:vAlign w:val="center"/>
          </w:tcPr>
          <w:p>
            <w:pPr>
              <w:pStyle w:val="TableContents"/>
              <w:bidi w:val="0"/>
              <w:spacing w:before="0" w:after="283"/>
              <w:jc w:val="both"/>
              <w:rPr/>
            </w:pPr>
            <w:hyperlink r:id="rId36">
              <w:r>
                <w:rPr>
                  <w:rStyle w:val="InternetLink"/>
                  <w:sz w:val="20"/>
                </w:rPr>
                <w:t>Promissory Note between the Company and Stephen J. Garchik dated March 9, 2023.</w:t>
              </w:r>
            </w:hyperlink>
          </w:p>
        </w:tc>
      </w:tr>
      <w:tr>
        <w:trPr/>
        <w:tc>
          <w:tcPr>
            <w:tcW w:w="840" w:type="dxa"/>
            <w:tcBorders/>
            <w:shd w:fill="CCEEFF" w:val="clear"/>
            <w:tcMar>
              <w:bottom w:w="0" w:type="dxa"/>
            </w:tcMar>
            <w:vAlign w:val="center"/>
          </w:tcPr>
          <w:p>
            <w:pPr>
              <w:pStyle w:val="TableContents"/>
              <w:bidi w:val="0"/>
              <w:spacing w:before="0" w:after="283"/>
              <w:jc w:val="both"/>
              <w:rPr>
                <w:sz w:val="20"/>
              </w:rPr>
            </w:pPr>
            <w:r>
              <w:rPr>
                <w:sz w:val="20"/>
              </w:rPr>
              <w:t>10.26 (16)</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05" w:type="dxa"/>
            <w:tcBorders/>
            <w:shd w:fill="CCEEFF" w:val="clear"/>
            <w:tcMar>
              <w:bottom w:w="0" w:type="dxa"/>
            </w:tcMar>
            <w:vAlign w:val="center"/>
          </w:tcPr>
          <w:p>
            <w:pPr>
              <w:pStyle w:val="TableContents"/>
              <w:bidi w:val="0"/>
              <w:spacing w:before="0" w:after="283"/>
              <w:jc w:val="both"/>
              <w:rPr/>
            </w:pPr>
            <w:hyperlink r:id="rId37">
              <w:r>
                <w:rPr>
                  <w:rStyle w:val="InternetLink"/>
                  <w:sz w:val="20"/>
                </w:rPr>
                <w:t>Guaranty Agreement by FIN Holdings Inc., Innovation in Motion, Inc. and ID Solutions, Inc. in favor of Stephen J. Garchik dated March 9, 2023.</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78"/>
        <w:gridCol w:w="60"/>
        <w:gridCol w:w="9267"/>
      </w:tblGrid>
      <w:tr>
        <w:trPr/>
        <w:tc>
          <w:tcPr>
            <w:tcW w:w="878" w:type="dxa"/>
            <w:tcBorders/>
            <w:shd w:fill="CCEEFF" w:val="clear"/>
            <w:vAlign w:val="center"/>
          </w:tcPr>
          <w:p>
            <w:pPr>
              <w:pStyle w:val="TableContents"/>
              <w:bidi w:val="0"/>
              <w:spacing w:before="0" w:after="283"/>
              <w:jc w:val="both"/>
              <w:rPr>
                <w:sz w:val="20"/>
              </w:rPr>
            </w:pPr>
            <w:r>
              <w:rPr>
                <w:sz w:val="20"/>
              </w:rPr>
              <w:t>10.27 (16)</w:t>
            </w:r>
          </w:p>
        </w:tc>
        <w:tc>
          <w:tcPr>
            <w:tcW w:w="60" w:type="dxa"/>
            <w:tcBorders/>
            <w:shd w:fill="CCEEFF" w:val="clear"/>
            <w:vAlign w:val="center"/>
          </w:tcPr>
          <w:p>
            <w:pPr>
              <w:pStyle w:val="TableContents"/>
              <w:bidi w:val="0"/>
              <w:spacing w:before="0" w:after="283"/>
              <w:jc w:val="left"/>
              <w:rPr/>
            </w:pPr>
            <w:r>
              <w:rPr/>
              <w:t> </w:t>
            </w:r>
          </w:p>
        </w:tc>
        <w:tc>
          <w:tcPr>
            <w:tcW w:w="9267" w:type="dxa"/>
            <w:tcBorders/>
            <w:shd w:fill="CCEEFF" w:val="clear"/>
            <w:vAlign w:val="center"/>
          </w:tcPr>
          <w:p>
            <w:pPr>
              <w:pStyle w:val="TableContents"/>
              <w:bidi w:val="0"/>
              <w:spacing w:before="0" w:after="283"/>
              <w:jc w:val="both"/>
              <w:rPr/>
            </w:pPr>
            <w:hyperlink r:id="rId38">
              <w:r>
                <w:rPr>
                  <w:rStyle w:val="InternetLink"/>
                  <w:sz w:val="20"/>
                </w:rPr>
                <w:t>Release Agreement between the Company and Stephen J. Garchik dated March 9, 2023.</w:t>
              </w:r>
            </w:hyperlink>
          </w:p>
        </w:tc>
      </w:tr>
      <w:tr>
        <w:trPr/>
        <w:tc>
          <w:tcPr>
            <w:tcW w:w="878" w:type="dxa"/>
            <w:tcBorders/>
            <w:vAlign w:val="center"/>
          </w:tcPr>
          <w:p>
            <w:pPr>
              <w:pStyle w:val="TableContents"/>
              <w:bidi w:val="0"/>
              <w:spacing w:before="0" w:after="283"/>
              <w:jc w:val="both"/>
              <w:rPr>
                <w:sz w:val="20"/>
              </w:rPr>
            </w:pPr>
            <w:r>
              <w:rPr>
                <w:sz w:val="20"/>
              </w:rPr>
              <w:t>10.28 (17)</w:t>
            </w:r>
          </w:p>
        </w:tc>
        <w:tc>
          <w:tcPr>
            <w:tcW w:w="60" w:type="dxa"/>
            <w:tcBorders/>
            <w:vAlign w:val="center"/>
          </w:tcPr>
          <w:p>
            <w:pPr>
              <w:pStyle w:val="TableContents"/>
              <w:bidi w:val="0"/>
              <w:spacing w:before="0" w:after="283"/>
              <w:jc w:val="left"/>
              <w:rPr/>
            </w:pPr>
            <w:r>
              <w:rPr/>
              <w:t> </w:t>
            </w:r>
          </w:p>
        </w:tc>
        <w:tc>
          <w:tcPr>
            <w:tcW w:w="9267" w:type="dxa"/>
            <w:tcBorders/>
            <w:vAlign w:val="center"/>
          </w:tcPr>
          <w:p>
            <w:pPr>
              <w:pStyle w:val="TableContents"/>
              <w:bidi w:val="0"/>
              <w:spacing w:before="0" w:after="283"/>
              <w:jc w:val="both"/>
              <w:rPr/>
            </w:pPr>
            <w:hyperlink r:id="rId39">
              <w:r>
                <w:rPr>
                  <w:rStyle w:val="InternetLink"/>
                  <w:sz w:val="20"/>
                </w:rPr>
                <w:t>Letter Agreement between Rhoniel Daguro and AuthID Inc. dated March 23, 2023</w:t>
              </w:r>
            </w:hyperlink>
          </w:p>
        </w:tc>
      </w:tr>
      <w:tr>
        <w:trPr/>
        <w:tc>
          <w:tcPr>
            <w:tcW w:w="878" w:type="dxa"/>
            <w:tcBorders/>
            <w:shd w:fill="CCEEFF" w:val="clear"/>
            <w:vAlign w:val="center"/>
          </w:tcPr>
          <w:p>
            <w:pPr>
              <w:pStyle w:val="TableContents"/>
              <w:bidi w:val="0"/>
              <w:spacing w:before="0" w:after="283"/>
              <w:jc w:val="both"/>
              <w:rPr>
                <w:sz w:val="20"/>
              </w:rPr>
            </w:pPr>
            <w:r>
              <w:rPr>
                <w:sz w:val="20"/>
              </w:rPr>
              <w:t>10.29 (17)</w:t>
            </w:r>
          </w:p>
        </w:tc>
        <w:tc>
          <w:tcPr>
            <w:tcW w:w="60" w:type="dxa"/>
            <w:tcBorders/>
            <w:shd w:fill="CCEEFF" w:val="clear"/>
            <w:vAlign w:val="center"/>
          </w:tcPr>
          <w:p>
            <w:pPr>
              <w:pStyle w:val="TableContents"/>
              <w:bidi w:val="0"/>
              <w:spacing w:before="0" w:after="283"/>
              <w:jc w:val="left"/>
              <w:rPr/>
            </w:pPr>
            <w:r>
              <w:rPr/>
              <w:t> </w:t>
            </w:r>
          </w:p>
        </w:tc>
        <w:tc>
          <w:tcPr>
            <w:tcW w:w="9267" w:type="dxa"/>
            <w:tcBorders/>
            <w:shd w:fill="CCEEFF" w:val="clear"/>
            <w:vAlign w:val="center"/>
          </w:tcPr>
          <w:p>
            <w:pPr>
              <w:pStyle w:val="TableContents"/>
              <w:bidi w:val="0"/>
              <w:spacing w:before="0" w:after="283"/>
              <w:jc w:val="both"/>
              <w:rPr/>
            </w:pPr>
            <w:hyperlink r:id="rId40">
              <w:r>
                <w:rPr>
                  <w:rStyle w:val="InternetLink"/>
                  <w:sz w:val="20"/>
                </w:rPr>
                <w:t>Executive Retention Agreement between Rhoniel Daguro and AuthID Inc. dated March 23, 2023</w:t>
              </w:r>
            </w:hyperlink>
          </w:p>
        </w:tc>
      </w:tr>
      <w:tr>
        <w:trPr/>
        <w:tc>
          <w:tcPr>
            <w:tcW w:w="878" w:type="dxa"/>
            <w:tcBorders/>
            <w:vAlign w:val="center"/>
          </w:tcPr>
          <w:p>
            <w:pPr>
              <w:pStyle w:val="TableContents"/>
              <w:bidi w:val="0"/>
              <w:spacing w:before="0" w:after="283"/>
              <w:jc w:val="both"/>
              <w:rPr>
                <w:sz w:val="20"/>
              </w:rPr>
            </w:pPr>
            <w:r>
              <w:rPr>
                <w:sz w:val="20"/>
              </w:rPr>
              <w:t>10.30 (17)</w:t>
            </w:r>
          </w:p>
        </w:tc>
        <w:tc>
          <w:tcPr>
            <w:tcW w:w="60" w:type="dxa"/>
            <w:tcBorders/>
            <w:vAlign w:val="center"/>
          </w:tcPr>
          <w:p>
            <w:pPr>
              <w:pStyle w:val="TableContents"/>
              <w:bidi w:val="0"/>
              <w:spacing w:before="0" w:after="283"/>
              <w:jc w:val="left"/>
              <w:rPr/>
            </w:pPr>
            <w:r>
              <w:rPr/>
              <w:t> </w:t>
            </w:r>
          </w:p>
        </w:tc>
        <w:tc>
          <w:tcPr>
            <w:tcW w:w="9267" w:type="dxa"/>
            <w:tcBorders/>
            <w:vAlign w:val="center"/>
          </w:tcPr>
          <w:p>
            <w:pPr>
              <w:pStyle w:val="TableContents"/>
              <w:bidi w:val="0"/>
              <w:spacing w:before="0" w:after="283"/>
              <w:jc w:val="both"/>
              <w:rPr/>
            </w:pPr>
            <w:hyperlink r:id="rId41">
              <w:r>
                <w:rPr>
                  <w:rStyle w:val="InternetLink"/>
                  <w:sz w:val="20"/>
                </w:rPr>
                <w:t>Confidential Separation Agreement and General Release between Thomas Thimot and authID Inc. Dated March 23, 2023</w:t>
              </w:r>
            </w:hyperlink>
          </w:p>
        </w:tc>
      </w:tr>
      <w:tr>
        <w:trPr/>
        <w:tc>
          <w:tcPr>
            <w:tcW w:w="878" w:type="dxa"/>
            <w:tcBorders/>
            <w:shd w:fill="CCEEFF" w:val="clear"/>
            <w:vAlign w:val="center"/>
          </w:tcPr>
          <w:p>
            <w:pPr>
              <w:pStyle w:val="TableContents"/>
              <w:bidi w:val="0"/>
              <w:spacing w:before="0" w:after="283"/>
              <w:jc w:val="both"/>
              <w:rPr>
                <w:sz w:val="20"/>
              </w:rPr>
            </w:pPr>
            <w:r>
              <w:rPr>
                <w:sz w:val="20"/>
              </w:rPr>
              <w:t>10.31 (19)</w:t>
            </w:r>
          </w:p>
        </w:tc>
        <w:tc>
          <w:tcPr>
            <w:tcW w:w="60" w:type="dxa"/>
            <w:tcBorders/>
            <w:shd w:fill="CCEEFF" w:val="clear"/>
            <w:vAlign w:val="center"/>
          </w:tcPr>
          <w:p>
            <w:pPr>
              <w:pStyle w:val="TableContents"/>
              <w:bidi w:val="0"/>
              <w:spacing w:before="0" w:after="283"/>
              <w:jc w:val="left"/>
              <w:rPr/>
            </w:pPr>
            <w:r>
              <w:rPr/>
              <w:t> </w:t>
            </w:r>
          </w:p>
        </w:tc>
        <w:tc>
          <w:tcPr>
            <w:tcW w:w="9267" w:type="dxa"/>
            <w:tcBorders/>
            <w:shd w:fill="CCEEFF" w:val="clear"/>
            <w:vAlign w:val="center"/>
          </w:tcPr>
          <w:p>
            <w:pPr>
              <w:pStyle w:val="TableContents"/>
              <w:bidi w:val="0"/>
              <w:spacing w:before="0" w:after="283"/>
              <w:jc w:val="both"/>
              <w:rPr/>
            </w:pPr>
            <w:hyperlink r:id="rId42">
              <w:r>
                <w:rPr>
                  <w:rStyle w:val="InternetLink"/>
                  <w:sz w:val="20"/>
                </w:rPr>
                <w:t>Letter Agreement between Thomas Szoke and AuthID Inc. dated April 12, 2023</w:t>
              </w:r>
            </w:hyperlink>
          </w:p>
        </w:tc>
      </w:tr>
      <w:tr>
        <w:trPr/>
        <w:tc>
          <w:tcPr>
            <w:tcW w:w="878" w:type="dxa"/>
            <w:tcBorders/>
            <w:vAlign w:val="center"/>
          </w:tcPr>
          <w:p>
            <w:pPr>
              <w:pStyle w:val="TableContents"/>
              <w:bidi w:val="0"/>
              <w:spacing w:before="0" w:after="283"/>
              <w:jc w:val="both"/>
              <w:rPr>
                <w:sz w:val="20"/>
              </w:rPr>
            </w:pPr>
            <w:r>
              <w:rPr>
                <w:sz w:val="20"/>
              </w:rPr>
              <w:t>10.32 (19)</w:t>
            </w:r>
          </w:p>
        </w:tc>
        <w:tc>
          <w:tcPr>
            <w:tcW w:w="60" w:type="dxa"/>
            <w:tcBorders/>
            <w:vAlign w:val="center"/>
          </w:tcPr>
          <w:p>
            <w:pPr>
              <w:pStyle w:val="TableContents"/>
              <w:bidi w:val="0"/>
              <w:spacing w:before="0" w:after="283"/>
              <w:jc w:val="left"/>
              <w:rPr/>
            </w:pPr>
            <w:r>
              <w:rPr/>
              <w:t> </w:t>
            </w:r>
          </w:p>
        </w:tc>
        <w:tc>
          <w:tcPr>
            <w:tcW w:w="9267" w:type="dxa"/>
            <w:tcBorders/>
            <w:vAlign w:val="center"/>
          </w:tcPr>
          <w:p>
            <w:pPr>
              <w:pStyle w:val="TableContents"/>
              <w:bidi w:val="0"/>
              <w:spacing w:before="0" w:after="283"/>
              <w:jc w:val="both"/>
              <w:rPr/>
            </w:pPr>
            <w:hyperlink r:id="rId43">
              <w:r>
                <w:rPr>
                  <w:rStyle w:val="InternetLink"/>
                  <w:sz w:val="20"/>
                </w:rPr>
                <w:t>Executive Retention Agreement between Thomas Szoke and AuthID Inc. dated April 12, 2023</w:t>
              </w:r>
            </w:hyperlink>
          </w:p>
        </w:tc>
      </w:tr>
      <w:tr>
        <w:trPr/>
        <w:tc>
          <w:tcPr>
            <w:tcW w:w="878" w:type="dxa"/>
            <w:tcBorders/>
            <w:shd w:fill="CCEEFF" w:val="clear"/>
            <w:vAlign w:val="center"/>
          </w:tcPr>
          <w:p>
            <w:pPr>
              <w:pStyle w:val="TableContents"/>
              <w:bidi w:val="0"/>
              <w:spacing w:before="0" w:after="283"/>
              <w:jc w:val="both"/>
              <w:rPr>
                <w:sz w:val="20"/>
              </w:rPr>
            </w:pPr>
            <w:r>
              <w:rPr>
                <w:sz w:val="20"/>
              </w:rPr>
              <w:t>10.33 (21)</w:t>
            </w:r>
          </w:p>
        </w:tc>
        <w:tc>
          <w:tcPr>
            <w:tcW w:w="60" w:type="dxa"/>
            <w:tcBorders/>
            <w:shd w:fill="CCEEFF" w:val="clear"/>
            <w:vAlign w:val="center"/>
          </w:tcPr>
          <w:p>
            <w:pPr>
              <w:pStyle w:val="TableContents"/>
              <w:bidi w:val="0"/>
              <w:spacing w:before="0" w:after="283"/>
              <w:jc w:val="left"/>
              <w:rPr/>
            </w:pPr>
            <w:r>
              <w:rPr/>
              <w:t> </w:t>
            </w:r>
          </w:p>
        </w:tc>
        <w:tc>
          <w:tcPr>
            <w:tcW w:w="9267" w:type="dxa"/>
            <w:tcBorders/>
            <w:shd w:fill="CCEEFF" w:val="clear"/>
            <w:vAlign w:val="center"/>
          </w:tcPr>
          <w:p>
            <w:pPr>
              <w:pStyle w:val="TableContents"/>
              <w:bidi w:val="0"/>
              <w:spacing w:before="0" w:after="283"/>
              <w:jc w:val="both"/>
              <w:rPr/>
            </w:pPr>
            <w:hyperlink r:id="rId44">
              <w:r>
                <w:rPr>
                  <w:rStyle w:val="InternetLink"/>
                  <w:sz w:val="20"/>
                </w:rPr>
                <w:t>Executive Retention Agreement between Annie Pham and AuthID Inc. dated May 11, 2023</w:t>
              </w:r>
            </w:hyperlink>
          </w:p>
        </w:tc>
      </w:tr>
      <w:tr>
        <w:trPr/>
        <w:tc>
          <w:tcPr>
            <w:tcW w:w="878" w:type="dxa"/>
            <w:tcBorders/>
            <w:vAlign w:val="center"/>
          </w:tcPr>
          <w:p>
            <w:pPr>
              <w:pStyle w:val="TableContents"/>
              <w:bidi w:val="0"/>
              <w:spacing w:before="0" w:after="283"/>
              <w:jc w:val="both"/>
              <w:rPr>
                <w:sz w:val="20"/>
              </w:rPr>
            </w:pPr>
            <w:r>
              <w:rPr>
                <w:sz w:val="20"/>
              </w:rPr>
              <w:t>10.34 (22)**</w:t>
            </w:r>
          </w:p>
        </w:tc>
        <w:tc>
          <w:tcPr>
            <w:tcW w:w="60" w:type="dxa"/>
            <w:tcBorders/>
            <w:vAlign w:val="center"/>
          </w:tcPr>
          <w:p>
            <w:pPr>
              <w:pStyle w:val="TableContents"/>
              <w:bidi w:val="0"/>
              <w:spacing w:before="0" w:after="283"/>
              <w:jc w:val="left"/>
              <w:rPr/>
            </w:pPr>
            <w:r>
              <w:rPr/>
              <w:t> </w:t>
            </w:r>
          </w:p>
        </w:tc>
        <w:tc>
          <w:tcPr>
            <w:tcW w:w="9267" w:type="dxa"/>
            <w:tcBorders/>
            <w:vAlign w:val="center"/>
          </w:tcPr>
          <w:p>
            <w:pPr>
              <w:pStyle w:val="TableContents"/>
              <w:bidi w:val="0"/>
              <w:spacing w:before="0" w:after="283"/>
              <w:jc w:val="both"/>
              <w:rPr/>
            </w:pPr>
            <w:hyperlink r:id="rId45">
              <w:r>
                <w:rPr>
                  <w:rStyle w:val="InternetLink"/>
                  <w:sz w:val="20"/>
                </w:rPr>
                <w:t>Form of Securities Purchase Agreement dated as of May 23, 2023 between the Company and accredited investors</w:t>
              </w:r>
            </w:hyperlink>
          </w:p>
        </w:tc>
      </w:tr>
      <w:tr>
        <w:trPr/>
        <w:tc>
          <w:tcPr>
            <w:tcW w:w="878" w:type="dxa"/>
            <w:tcBorders/>
            <w:shd w:fill="CCEEFF" w:val="clear"/>
            <w:vAlign w:val="center"/>
          </w:tcPr>
          <w:p>
            <w:pPr>
              <w:pStyle w:val="TableContents"/>
              <w:bidi w:val="0"/>
              <w:spacing w:before="0" w:after="283"/>
              <w:jc w:val="both"/>
              <w:rPr>
                <w:sz w:val="20"/>
              </w:rPr>
            </w:pPr>
            <w:r>
              <w:rPr>
                <w:sz w:val="20"/>
              </w:rPr>
              <w:t>10.35 (22)</w:t>
            </w:r>
          </w:p>
        </w:tc>
        <w:tc>
          <w:tcPr>
            <w:tcW w:w="60" w:type="dxa"/>
            <w:tcBorders/>
            <w:shd w:fill="CCEEFF" w:val="clear"/>
            <w:vAlign w:val="center"/>
          </w:tcPr>
          <w:p>
            <w:pPr>
              <w:pStyle w:val="TableContents"/>
              <w:bidi w:val="0"/>
              <w:spacing w:before="0" w:after="283"/>
              <w:jc w:val="left"/>
              <w:rPr/>
            </w:pPr>
            <w:r>
              <w:rPr/>
              <w:t> </w:t>
            </w:r>
          </w:p>
        </w:tc>
        <w:tc>
          <w:tcPr>
            <w:tcW w:w="9267" w:type="dxa"/>
            <w:tcBorders/>
            <w:shd w:fill="CCEEFF" w:val="clear"/>
            <w:vAlign w:val="center"/>
          </w:tcPr>
          <w:p>
            <w:pPr>
              <w:pStyle w:val="TableContents"/>
              <w:bidi w:val="0"/>
              <w:spacing w:before="0" w:after="283"/>
              <w:jc w:val="both"/>
              <w:rPr/>
            </w:pPr>
            <w:hyperlink r:id="rId46">
              <w:r>
                <w:rPr>
                  <w:rStyle w:val="InternetLink"/>
                  <w:sz w:val="20"/>
                </w:rPr>
                <w:t>Engagement Agreement dated as of April 20, 2023 between the Company and Madison Global Partners LLC</w:t>
              </w:r>
            </w:hyperlink>
          </w:p>
        </w:tc>
      </w:tr>
      <w:tr>
        <w:trPr/>
        <w:tc>
          <w:tcPr>
            <w:tcW w:w="878" w:type="dxa"/>
            <w:tcBorders/>
            <w:vAlign w:val="center"/>
          </w:tcPr>
          <w:p>
            <w:pPr>
              <w:pStyle w:val="TableContents"/>
              <w:bidi w:val="0"/>
              <w:spacing w:before="0" w:after="283"/>
              <w:jc w:val="both"/>
              <w:rPr>
                <w:sz w:val="20"/>
              </w:rPr>
            </w:pPr>
            <w:r>
              <w:rPr>
                <w:sz w:val="20"/>
              </w:rPr>
              <w:t>10.36 (22)</w:t>
            </w:r>
          </w:p>
        </w:tc>
        <w:tc>
          <w:tcPr>
            <w:tcW w:w="60" w:type="dxa"/>
            <w:tcBorders/>
            <w:vAlign w:val="center"/>
          </w:tcPr>
          <w:p>
            <w:pPr>
              <w:pStyle w:val="TableContents"/>
              <w:bidi w:val="0"/>
              <w:spacing w:before="0" w:after="283"/>
              <w:jc w:val="left"/>
              <w:rPr/>
            </w:pPr>
            <w:r>
              <w:rPr/>
              <w:t> </w:t>
            </w:r>
          </w:p>
        </w:tc>
        <w:tc>
          <w:tcPr>
            <w:tcW w:w="9267" w:type="dxa"/>
            <w:tcBorders/>
            <w:vAlign w:val="center"/>
          </w:tcPr>
          <w:p>
            <w:pPr>
              <w:pStyle w:val="TableContents"/>
              <w:bidi w:val="0"/>
              <w:spacing w:before="0" w:after="283"/>
              <w:jc w:val="both"/>
              <w:rPr/>
            </w:pPr>
            <w:hyperlink r:id="rId47">
              <w:r>
                <w:rPr>
                  <w:rStyle w:val="InternetLink"/>
                  <w:sz w:val="20"/>
                </w:rPr>
                <w:t>Stock Purchase Warrant dated May 26, 2023 issued to Madison Global Partners LLC</w:t>
              </w:r>
            </w:hyperlink>
          </w:p>
        </w:tc>
      </w:tr>
      <w:tr>
        <w:trPr/>
        <w:tc>
          <w:tcPr>
            <w:tcW w:w="878" w:type="dxa"/>
            <w:tcBorders/>
            <w:shd w:fill="CCEEFF" w:val="clear"/>
            <w:vAlign w:val="center"/>
          </w:tcPr>
          <w:p>
            <w:pPr>
              <w:pStyle w:val="TableContents"/>
              <w:bidi w:val="0"/>
              <w:spacing w:before="0" w:after="283"/>
              <w:jc w:val="both"/>
              <w:rPr>
                <w:sz w:val="20"/>
              </w:rPr>
            </w:pPr>
            <w:r>
              <w:rPr>
                <w:sz w:val="20"/>
              </w:rPr>
              <w:t>10.37 (22)**</w:t>
            </w:r>
          </w:p>
        </w:tc>
        <w:tc>
          <w:tcPr>
            <w:tcW w:w="60" w:type="dxa"/>
            <w:tcBorders/>
            <w:shd w:fill="CCEEFF" w:val="clear"/>
            <w:vAlign w:val="center"/>
          </w:tcPr>
          <w:p>
            <w:pPr>
              <w:pStyle w:val="TableContents"/>
              <w:bidi w:val="0"/>
              <w:spacing w:before="0" w:after="283"/>
              <w:jc w:val="left"/>
              <w:rPr/>
            </w:pPr>
            <w:r>
              <w:rPr/>
              <w:t> </w:t>
            </w:r>
          </w:p>
        </w:tc>
        <w:tc>
          <w:tcPr>
            <w:tcW w:w="9267" w:type="dxa"/>
            <w:tcBorders/>
            <w:shd w:fill="CCEEFF" w:val="clear"/>
            <w:vAlign w:val="center"/>
          </w:tcPr>
          <w:p>
            <w:pPr>
              <w:pStyle w:val="TableContents"/>
              <w:bidi w:val="0"/>
              <w:spacing w:before="0" w:after="283"/>
              <w:jc w:val="both"/>
              <w:rPr/>
            </w:pPr>
            <w:hyperlink r:id="rId48">
              <w:r>
                <w:rPr>
                  <w:rStyle w:val="InternetLink"/>
                  <w:sz w:val="20"/>
                </w:rPr>
                <w:t>Form of Exchange Agreement dated as of May 23, 2023 between the Company and certain Holders</w:t>
              </w:r>
            </w:hyperlink>
          </w:p>
        </w:tc>
      </w:tr>
      <w:tr>
        <w:trPr/>
        <w:tc>
          <w:tcPr>
            <w:tcW w:w="878" w:type="dxa"/>
            <w:tcBorders/>
            <w:vAlign w:val="center"/>
          </w:tcPr>
          <w:p>
            <w:pPr>
              <w:pStyle w:val="TableContents"/>
              <w:bidi w:val="0"/>
              <w:spacing w:before="0" w:after="283"/>
              <w:jc w:val="both"/>
              <w:rPr>
                <w:sz w:val="20"/>
              </w:rPr>
            </w:pPr>
            <w:r>
              <w:rPr>
                <w:sz w:val="20"/>
              </w:rPr>
              <w:t>10.38 (24)</w:t>
            </w:r>
          </w:p>
        </w:tc>
        <w:tc>
          <w:tcPr>
            <w:tcW w:w="60" w:type="dxa"/>
            <w:tcBorders/>
            <w:vAlign w:val="center"/>
          </w:tcPr>
          <w:p>
            <w:pPr>
              <w:pStyle w:val="TableContents"/>
              <w:bidi w:val="0"/>
              <w:spacing w:before="0" w:after="283"/>
              <w:jc w:val="left"/>
              <w:rPr/>
            </w:pPr>
            <w:r>
              <w:rPr/>
              <w:t> </w:t>
            </w:r>
          </w:p>
        </w:tc>
        <w:tc>
          <w:tcPr>
            <w:tcW w:w="9267" w:type="dxa"/>
            <w:tcBorders/>
            <w:vAlign w:val="center"/>
          </w:tcPr>
          <w:p>
            <w:pPr>
              <w:pStyle w:val="TableContents"/>
              <w:bidi w:val="0"/>
              <w:spacing w:before="0" w:after="283"/>
              <w:jc w:val="both"/>
              <w:rPr/>
            </w:pPr>
            <w:hyperlink r:id="rId49">
              <w:r>
                <w:rPr>
                  <w:rStyle w:val="InternetLink"/>
                  <w:sz w:val="20"/>
                </w:rPr>
                <w:t>Letter Agreement between Edward Sellitto and authID Inc. dated July 31, 2023</w:t>
              </w:r>
            </w:hyperlink>
          </w:p>
        </w:tc>
      </w:tr>
      <w:tr>
        <w:trPr/>
        <w:tc>
          <w:tcPr>
            <w:tcW w:w="878" w:type="dxa"/>
            <w:tcBorders/>
            <w:shd w:fill="CCEEFF" w:val="clear"/>
            <w:vAlign w:val="center"/>
          </w:tcPr>
          <w:p>
            <w:pPr>
              <w:pStyle w:val="TableContents"/>
              <w:bidi w:val="0"/>
              <w:spacing w:before="0" w:after="283"/>
              <w:jc w:val="both"/>
              <w:rPr>
                <w:sz w:val="20"/>
              </w:rPr>
            </w:pPr>
            <w:r>
              <w:rPr>
                <w:sz w:val="20"/>
              </w:rPr>
              <w:t>10.39 (25)</w:t>
            </w:r>
          </w:p>
        </w:tc>
        <w:tc>
          <w:tcPr>
            <w:tcW w:w="60" w:type="dxa"/>
            <w:tcBorders/>
            <w:shd w:fill="CCEEFF" w:val="clear"/>
            <w:vAlign w:val="center"/>
          </w:tcPr>
          <w:p>
            <w:pPr>
              <w:pStyle w:val="TableContents"/>
              <w:bidi w:val="0"/>
              <w:spacing w:before="0" w:after="283"/>
              <w:jc w:val="left"/>
              <w:rPr/>
            </w:pPr>
            <w:r>
              <w:rPr/>
              <w:t> </w:t>
            </w:r>
          </w:p>
        </w:tc>
        <w:tc>
          <w:tcPr>
            <w:tcW w:w="9267" w:type="dxa"/>
            <w:tcBorders/>
            <w:shd w:fill="CCEEFF" w:val="clear"/>
            <w:vAlign w:val="center"/>
          </w:tcPr>
          <w:p>
            <w:pPr>
              <w:pStyle w:val="TableContents"/>
              <w:bidi w:val="0"/>
              <w:spacing w:before="0" w:after="283"/>
              <w:jc w:val="both"/>
              <w:rPr/>
            </w:pPr>
            <w:hyperlink r:id="rId50">
              <w:r>
                <w:rPr>
                  <w:rStyle w:val="InternetLink"/>
                  <w:sz w:val="20"/>
                </w:rPr>
                <w:t>Agreement dated October 25, 2023 between The Pipeline Group, Inc. and authID Inc.</w:t>
              </w:r>
            </w:hyperlink>
          </w:p>
        </w:tc>
      </w:tr>
      <w:tr>
        <w:trPr/>
        <w:tc>
          <w:tcPr>
            <w:tcW w:w="878" w:type="dxa"/>
            <w:tcBorders/>
            <w:vAlign w:val="center"/>
          </w:tcPr>
          <w:p>
            <w:pPr>
              <w:pStyle w:val="TableContents"/>
              <w:bidi w:val="0"/>
              <w:spacing w:before="0" w:after="283"/>
              <w:jc w:val="both"/>
              <w:rPr>
                <w:sz w:val="20"/>
              </w:rPr>
            </w:pPr>
            <w:r>
              <w:rPr>
                <w:sz w:val="20"/>
              </w:rPr>
              <w:t>10.40 (27)</w:t>
            </w:r>
          </w:p>
        </w:tc>
        <w:tc>
          <w:tcPr>
            <w:tcW w:w="60" w:type="dxa"/>
            <w:tcBorders/>
            <w:vAlign w:val="center"/>
          </w:tcPr>
          <w:p>
            <w:pPr>
              <w:pStyle w:val="TableContents"/>
              <w:bidi w:val="0"/>
              <w:spacing w:before="0" w:after="283"/>
              <w:jc w:val="left"/>
              <w:rPr/>
            </w:pPr>
            <w:r>
              <w:rPr/>
              <w:t> </w:t>
            </w:r>
          </w:p>
        </w:tc>
        <w:tc>
          <w:tcPr>
            <w:tcW w:w="9267" w:type="dxa"/>
            <w:tcBorders/>
            <w:vAlign w:val="center"/>
          </w:tcPr>
          <w:p>
            <w:pPr>
              <w:pStyle w:val="TableContents"/>
              <w:bidi w:val="0"/>
              <w:spacing w:before="0" w:after="283"/>
              <w:jc w:val="both"/>
              <w:rPr/>
            </w:pPr>
            <w:hyperlink r:id="rId51">
              <w:r>
                <w:rPr>
                  <w:rStyle w:val="InternetLink"/>
                  <w:sz w:val="20"/>
                </w:rPr>
                <w:t>Form of Securities Purchase Agreement dated as of November 20, 2023 between the Company and accredited investor</w:t>
              </w:r>
            </w:hyperlink>
          </w:p>
        </w:tc>
      </w:tr>
      <w:tr>
        <w:trPr/>
        <w:tc>
          <w:tcPr>
            <w:tcW w:w="878" w:type="dxa"/>
            <w:tcBorders/>
            <w:shd w:fill="CCEEFF" w:val="clear"/>
            <w:vAlign w:val="center"/>
          </w:tcPr>
          <w:p>
            <w:pPr>
              <w:pStyle w:val="TableContents"/>
              <w:bidi w:val="0"/>
              <w:spacing w:before="0" w:after="283"/>
              <w:jc w:val="both"/>
              <w:rPr>
                <w:sz w:val="20"/>
              </w:rPr>
            </w:pPr>
            <w:r>
              <w:rPr>
                <w:sz w:val="20"/>
              </w:rPr>
              <w:t>10.41 (27)</w:t>
            </w:r>
          </w:p>
        </w:tc>
        <w:tc>
          <w:tcPr>
            <w:tcW w:w="60" w:type="dxa"/>
            <w:tcBorders/>
            <w:shd w:fill="CCEEFF" w:val="clear"/>
            <w:vAlign w:val="center"/>
          </w:tcPr>
          <w:p>
            <w:pPr>
              <w:pStyle w:val="TableContents"/>
              <w:bidi w:val="0"/>
              <w:spacing w:before="0" w:after="283"/>
              <w:jc w:val="left"/>
              <w:rPr/>
            </w:pPr>
            <w:r>
              <w:rPr/>
              <w:t> </w:t>
            </w:r>
          </w:p>
        </w:tc>
        <w:tc>
          <w:tcPr>
            <w:tcW w:w="9267" w:type="dxa"/>
            <w:tcBorders/>
            <w:shd w:fill="CCEEFF" w:val="clear"/>
            <w:vAlign w:val="center"/>
          </w:tcPr>
          <w:p>
            <w:pPr>
              <w:pStyle w:val="TableContents"/>
              <w:bidi w:val="0"/>
              <w:spacing w:before="0" w:after="283"/>
              <w:jc w:val="both"/>
              <w:rPr/>
            </w:pPr>
            <w:hyperlink r:id="rId52">
              <w:r>
                <w:rPr>
                  <w:rStyle w:val="InternetLink"/>
                  <w:sz w:val="20"/>
                </w:rPr>
                <w:t>Engagement Agreement dated as of November 2, 2023 between the Company and Madison Global Partners, LLC</w:t>
              </w:r>
            </w:hyperlink>
          </w:p>
        </w:tc>
      </w:tr>
      <w:tr>
        <w:trPr/>
        <w:tc>
          <w:tcPr>
            <w:tcW w:w="878" w:type="dxa"/>
            <w:tcBorders/>
            <w:vAlign w:val="center"/>
          </w:tcPr>
          <w:p>
            <w:pPr>
              <w:pStyle w:val="TableContents"/>
              <w:bidi w:val="0"/>
              <w:spacing w:before="0" w:after="283"/>
              <w:jc w:val="both"/>
              <w:rPr>
                <w:sz w:val="20"/>
              </w:rPr>
            </w:pPr>
            <w:r>
              <w:rPr>
                <w:sz w:val="20"/>
              </w:rPr>
              <w:t>10.42 (27)</w:t>
            </w:r>
          </w:p>
        </w:tc>
        <w:tc>
          <w:tcPr>
            <w:tcW w:w="60" w:type="dxa"/>
            <w:tcBorders/>
            <w:vAlign w:val="center"/>
          </w:tcPr>
          <w:p>
            <w:pPr>
              <w:pStyle w:val="TableContents"/>
              <w:bidi w:val="0"/>
              <w:spacing w:before="0" w:after="283"/>
              <w:jc w:val="left"/>
              <w:rPr/>
            </w:pPr>
            <w:r>
              <w:rPr/>
              <w:t> </w:t>
            </w:r>
          </w:p>
        </w:tc>
        <w:tc>
          <w:tcPr>
            <w:tcW w:w="9267" w:type="dxa"/>
            <w:tcBorders/>
            <w:vAlign w:val="center"/>
          </w:tcPr>
          <w:p>
            <w:pPr>
              <w:pStyle w:val="TableContents"/>
              <w:bidi w:val="0"/>
              <w:spacing w:before="0" w:after="283"/>
              <w:jc w:val="both"/>
              <w:rPr/>
            </w:pPr>
            <w:hyperlink r:id="rId53">
              <w:r>
                <w:rPr>
                  <w:rStyle w:val="InternetLink"/>
                  <w:sz w:val="20"/>
                </w:rPr>
                <w:t>Stock Purchase Warrant dated November 22, 2023 issued to Madison Global Partners, LLC</w:t>
              </w:r>
            </w:hyperlink>
          </w:p>
        </w:tc>
      </w:tr>
      <w:tr>
        <w:trPr/>
        <w:tc>
          <w:tcPr>
            <w:tcW w:w="878" w:type="dxa"/>
            <w:tcBorders/>
            <w:shd w:fill="CCEEFF" w:val="clear"/>
            <w:vAlign w:val="center"/>
          </w:tcPr>
          <w:p>
            <w:pPr>
              <w:pStyle w:val="TableContents"/>
              <w:bidi w:val="0"/>
              <w:spacing w:before="0" w:after="283"/>
              <w:jc w:val="both"/>
              <w:rPr>
                <w:sz w:val="20"/>
              </w:rPr>
            </w:pPr>
            <w:r>
              <w:rPr>
                <w:sz w:val="20"/>
              </w:rPr>
              <w:t>10.42 (28)**</w:t>
            </w:r>
          </w:p>
        </w:tc>
        <w:tc>
          <w:tcPr>
            <w:tcW w:w="60" w:type="dxa"/>
            <w:tcBorders/>
            <w:shd w:fill="CCEEFF" w:val="clear"/>
            <w:vAlign w:val="center"/>
          </w:tcPr>
          <w:p>
            <w:pPr>
              <w:pStyle w:val="TableContents"/>
              <w:bidi w:val="0"/>
              <w:spacing w:before="0" w:after="283"/>
              <w:jc w:val="left"/>
              <w:rPr/>
            </w:pPr>
            <w:r>
              <w:rPr/>
              <w:t> </w:t>
            </w:r>
          </w:p>
        </w:tc>
        <w:tc>
          <w:tcPr>
            <w:tcW w:w="9267" w:type="dxa"/>
            <w:tcBorders/>
            <w:shd w:fill="CCEEFF" w:val="clear"/>
            <w:vAlign w:val="center"/>
          </w:tcPr>
          <w:p>
            <w:pPr>
              <w:pStyle w:val="TableContents"/>
              <w:bidi w:val="0"/>
              <w:spacing w:before="0" w:after="283"/>
              <w:jc w:val="both"/>
              <w:rPr/>
            </w:pPr>
            <w:hyperlink r:id="rId54">
              <w:r>
                <w:rPr>
                  <w:rStyle w:val="InternetLink"/>
                  <w:sz w:val="20"/>
                </w:rPr>
                <w:t>Agreement dated December 19, 2023 between The Pipeline Group, Inc and authID Inc.</w:t>
              </w:r>
            </w:hyperlink>
          </w:p>
        </w:tc>
      </w:tr>
      <w:tr>
        <w:trPr/>
        <w:tc>
          <w:tcPr>
            <w:tcW w:w="938" w:type="dxa"/>
            <w:gridSpan w:val="2"/>
            <w:tcBorders/>
            <w:vAlign w:val="center"/>
          </w:tcPr>
          <w:p>
            <w:pPr>
              <w:pStyle w:val="TableContents"/>
              <w:bidi w:val="0"/>
              <w:spacing w:before="0" w:after="283"/>
              <w:jc w:val="both"/>
              <w:rPr>
                <w:sz w:val="20"/>
              </w:rPr>
            </w:pPr>
            <w:r>
              <w:rPr>
                <w:sz w:val="20"/>
              </w:rPr>
              <w:t>10.43 (29)</w:t>
            </w:r>
          </w:p>
        </w:tc>
        <w:tc>
          <w:tcPr>
            <w:tcW w:w="9267" w:type="dxa"/>
            <w:tcBorders/>
            <w:vAlign w:val="center"/>
          </w:tcPr>
          <w:p>
            <w:pPr>
              <w:pStyle w:val="TableContents"/>
              <w:bidi w:val="0"/>
              <w:spacing w:before="0" w:after="283"/>
              <w:jc w:val="both"/>
              <w:rPr/>
            </w:pPr>
            <w:hyperlink r:id="rId55">
              <w:r>
                <w:rPr>
                  <w:rStyle w:val="InternetLink"/>
                  <w:sz w:val="20"/>
                </w:rPr>
                <w:t>Letter Agreement between Kunal Mehta and authID Inc.</w:t>
              </w:r>
            </w:hyperlink>
          </w:p>
        </w:tc>
      </w:tr>
      <w:tr>
        <w:trPr/>
        <w:tc>
          <w:tcPr>
            <w:tcW w:w="878" w:type="dxa"/>
            <w:tcBorders/>
            <w:shd w:fill="CCEEFF" w:val="clear"/>
            <w:vAlign w:val="center"/>
          </w:tcPr>
          <w:p>
            <w:pPr>
              <w:pStyle w:val="TableContents"/>
              <w:bidi w:val="0"/>
              <w:spacing w:before="0" w:after="283"/>
              <w:jc w:val="both"/>
              <w:rPr>
                <w:sz w:val="20"/>
              </w:rPr>
            </w:pPr>
            <w:r>
              <w:rPr>
                <w:sz w:val="20"/>
              </w:rPr>
              <w:t>14.1 (26)</w:t>
            </w:r>
          </w:p>
        </w:tc>
        <w:tc>
          <w:tcPr>
            <w:tcW w:w="60" w:type="dxa"/>
            <w:tcBorders/>
            <w:shd w:fill="CCEEFF" w:val="clear"/>
            <w:vAlign w:val="center"/>
          </w:tcPr>
          <w:p>
            <w:pPr>
              <w:pStyle w:val="TableContents"/>
              <w:bidi w:val="0"/>
              <w:spacing w:before="0" w:after="283"/>
              <w:jc w:val="left"/>
              <w:rPr/>
            </w:pPr>
            <w:r>
              <w:rPr/>
              <w:t> </w:t>
            </w:r>
          </w:p>
        </w:tc>
        <w:tc>
          <w:tcPr>
            <w:tcW w:w="9267" w:type="dxa"/>
            <w:tcBorders/>
            <w:shd w:fill="CCEEFF" w:val="clear"/>
            <w:vAlign w:val="center"/>
          </w:tcPr>
          <w:p>
            <w:pPr>
              <w:pStyle w:val="TableContents"/>
              <w:bidi w:val="0"/>
              <w:spacing w:before="0" w:after="283"/>
              <w:jc w:val="both"/>
              <w:rPr/>
            </w:pPr>
            <w:hyperlink r:id="rId56">
              <w:r>
                <w:rPr>
                  <w:rStyle w:val="InternetLink"/>
                  <w:sz w:val="20"/>
                </w:rPr>
                <w:t>Code of Ethics</w:t>
              </w:r>
            </w:hyperlink>
          </w:p>
        </w:tc>
      </w:tr>
      <w:tr>
        <w:trPr/>
        <w:tc>
          <w:tcPr>
            <w:tcW w:w="878" w:type="dxa"/>
            <w:tcBorders/>
            <w:vAlign w:val="center"/>
          </w:tcPr>
          <w:p>
            <w:pPr>
              <w:pStyle w:val="TableContents"/>
              <w:bidi w:val="0"/>
              <w:spacing w:before="0" w:after="283"/>
              <w:jc w:val="both"/>
              <w:rPr>
                <w:sz w:val="20"/>
              </w:rPr>
            </w:pPr>
            <w:r>
              <w:rPr>
                <w:sz w:val="20"/>
              </w:rPr>
              <w:t>21.1 (20)</w:t>
            </w:r>
          </w:p>
        </w:tc>
        <w:tc>
          <w:tcPr>
            <w:tcW w:w="60" w:type="dxa"/>
            <w:tcBorders/>
            <w:vAlign w:val="center"/>
          </w:tcPr>
          <w:p>
            <w:pPr>
              <w:pStyle w:val="TableContents"/>
              <w:bidi w:val="0"/>
              <w:spacing w:before="0" w:after="283"/>
              <w:jc w:val="left"/>
              <w:rPr/>
            </w:pPr>
            <w:r>
              <w:rPr/>
              <w:t> </w:t>
            </w:r>
          </w:p>
        </w:tc>
        <w:tc>
          <w:tcPr>
            <w:tcW w:w="9267" w:type="dxa"/>
            <w:tcBorders/>
            <w:vAlign w:val="center"/>
          </w:tcPr>
          <w:p>
            <w:pPr>
              <w:pStyle w:val="TableContents"/>
              <w:bidi w:val="0"/>
              <w:spacing w:before="0" w:after="283"/>
              <w:jc w:val="both"/>
              <w:rPr/>
            </w:pPr>
            <w:hyperlink r:id="rId57">
              <w:r>
                <w:rPr>
                  <w:rStyle w:val="InternetLink"/>
                  <w:sz w:val="20"/>
                </w:rPr>
                <w:t>List of Subsidiaries</w:t>
              </w:r>
            </w:hyperlink>
          </w:p>
        </w:tc>
      </w:tr>
      <w:tr>
        <w:trPr/>
        <w:tc>
          <w:tcPr>
            <w:tcW w:w="878" w:type="dxa"/>
            <w:tcBorders/>
            <w:shd w:fill="CCEEFF" w:val="clear"/>
            <w:vAlign w:val="center"/>
          </w:tcPr>
          <w:p>
            <w:pPr>
              <w:pStyle w:val="TableContents"/>
              <w:bidi w:val="0"/>
              <w:spacing w:before="0" w:after="283"/>
              <w:jc w:val="both"/>
              <w:rPr>
                <w:sz w:val="20"/>
              </w:rPr>
            </w:pPr>
            <w:r>
              <w:rPr>
                <w:sz w:val="20"/>
              </w:rPr>
              <w:t>31.1*</w:t>
            </w:r>
          </w:p>
        </w:tc>
        <w:tc>
          <w:tcPr>
            <w:tcW w:w="60" w:type="dxa"/>
            <w:tcBorders/>
            <w:shd w:fill="CCEEFF" w:val="clear"/>
            <w:vAlign w:val="center"/>
          </w:tcPr>
          <w:p>
            <w:pPr>
              <w:pStyle w:val="TableContents"/>
              <w:bidi w:val="0"/>
              <w:spacing w:before="0" w:after="283"/>
              <w:jc w:val="left"/>
              <w:rPr/>
            </w:pPr>
            <w:r>
              <w:rPr/>
              <w:t> </w:t>
            </w:r>
          </w:p>
        </w:tc>
        <w:tc>
          <w:tcPr>
            <w:tcW w:w="9267" w:type="dxa"/>
            <w:tcBorders/>
            <w:shd w:fill="CCEEFF" w:val="clear"/>
            <w:vAlign w:val="center"/>
          </w:tcPr>
          <w:p>
            <w:pPr>
              <w:pStyle w:val="TableContents"/>
              <w:bidi w:val="0"/>
              <w:spacing w:before="0" w:after="283"/>
              <w:jc w:val="both"/>
              <w:rPr/>
            </w:pPr>
            <w:hyperlink w:anchor="ea020525801ex31-1_authidinc.htm">
              <w:r>
                <w:rPr>
                  <w:rStyle w:val="InternetLink"/>
                  <w:sz w:val="20"/>
                </w:rPr>
                <w:t>Certification of Chief Executive Officer pursuant to Rule 13a-14(a)/15d-14(a) of the Securities Exchange Act</w:t>
              </w:r>
            </w:hyperlink>
          </w:p>
        </w:tc>
      </w:tr>
      <w:tr>
        <w:trPr/>
        <w:tc>
          <w:tcPr>
            <w:tcW w:w="878" w:type="dxa"/>
            <w:tcBorders/>
            <w:vAlign w:val="center"/>
          </w:tcPr>
          <w:p>
            <w:pPr>
              <w:pStyle w:val="TableContents"/>
              <w:bidi w:val="0"/>
              <w:spacing w:before="0" w:after="283"/>
              <w:jc w:val="both"/>
              <w:rPr>
                <w:sz w:val="20"/>
              </w:rPr>
            </w:pPr>
            <w:r>
              <w:rPr>
                <w:sz w:val="20"/>
              </w:rPr>
              <w:t>31.2*</w:t>
            </w:r>
          </w:p>
        </w:tc>
        <w:tc>
          <w:tcPr>
            <w:tcW w:w="60" w:type="dxa"/>
            <w:tcBorders/>
            <w:vAlign w:val="center"/>
          </w:tcPr>
          <w:p>
            <w:pPr>
              <w:pStyle w:val="TableContents"/>
              <w:bidi w:val="0"/>
              <w:spacing w:before="0" w:after="283"/>
              <w:jc w:val="left"/>
              <w:rPr/>
            </w:pPr>
            <w:r>
              <w:rPr/>
              <w:t> </w:t>
            </w:r>
          </w:p>
        </w:tc>
        <w:tc>
          <w:tcPr>
            <w:tcW w:w="9267" w:type="dxa"/>
            <w:tcBorders/>
            <w:vAlign w:val="center"/>
          </w:tcPr>
          <w:p>
            <w:pPr>
              <w:pStyle w:val="TableContents"/>
              <w:bidi w:val="0"/>
              <w:spacing w:before="0" w:after="283"/>
              <w:jc w:val="both"/>
              <w:rPr/>
            </w:pPr>
            <w:hyperlink w:anchor="ea020525801ex31-2_authidinc.htm">
              <w:r>
                <w:rPr>
                  <w:rStyle w:val="InternetLink"/>
                  <w:sz w:val="20"/>
                </w:rPr>
                <w:t>Certification of Chief Financial Officer pursuant to Rule 13a-14(a)/15d-14(a) of the Securities Exchange Act</w:t>
              </w:r>
            </w:hyperlink>
          </w:p>
        </w:tc>
      </w:tr>
      <w:tr>
        <w:trPr/>
        <w:tc>
          <w:tcPr>
            <w:tcW w:w="878" w:type="dxa"/>
            <w:tcBorders/>
            <w:shd w:fill="CCEEFF" w:val="clear"/>
            <w:vAlign w:val="center"/>
          </w:tcPr>
          <w:p>
            <w:pPr>
              <w:pStyle w:val="TableContents"/>
              <w:bidi w:val="0"/>
              <w:spacing w:before="0" w:after="283"/>
              <w:jc w:val="both"/>
              <w:rPr>
                <w:sz w:val="20"/>
              </w:rPr>
            </w:pPr>
            <w:r>
              <w:rPr>
                <w:sz w:val="20"/>
              </w:rPr>
              <w:t>32.1*</w:t>
            </w:r>
          </w:p>
        </w:tc>
        <w:tc>
          <w:tcPr>
            <w:tcW w:w="60" w:type="dxa"/>
            <w:tcBorders/>
            <w:shd w:fill="CCEEFF" w:val="clear"/>
            <w:vAlign w:val="center"/>
          </w:tcPr>
          <w:p>
            <w:pPr>
              <w:pStyle w:val="TableContents"/>
              <w:bidi w:val="0"/>
              <w:spacing w:before="0" w:after="283"/>
              <w:jc w:val="left"/>
              <w:rPr/>
            </w:pPr>
            <w:r>
              <w:rPr/>
              <w:t> </w:t>
            </w:r>
          </w:p>
        </w:tc>
        <w:tc>
          <w:tcPr>
            <w:tcW w:w="9267" w:type="dxa"/>
            <w:tcBorders/>
            <w:shd w:fill="CCEEFF" w:val="clear"/>
            <w:vAlign w:val="center"/>
          </w:tcPr>
          <w:p>
            <w:pPr>
              <w:pStyle w:val="TableContents"/>
              <w:bidi w:val="0"/>
              <w:spacing w:before="0" w:after="283"/>
              <w:jc w:val="both"/>
              <w:rPr/>
            </w:pPr>
            <w:hyperlink w:anchor="ea020525801ex32-1_authidinc.htm">
              <w:r>
                <w:rPr>
                  <w:rStyle w:val="InternetLink"/>
                  <w:sz w:val="20"/>
                </w:rPr>
                <w:t>Certification of Chief Executive Officer and Chief Financial Officer pursuant to 18 U.S.C. §1350, as adopted pursuant to Section 906 of the Sarbanes-Oxley Act of 2002</w:t>
              </w:r>
            </w:hyperlink>
          </w:p>
        </w:tc>
      </w:tr>
      <w:tr>
        <w:trPr/>
        <w:tc>
          <w:tcPr>
            <w:tcW w:w="878" w:type="dxa"/>
            <w:tcBorders/>
            <w:vAlign w:val="center"/>
          </w:tcPr>
          <w:p>
            <w:pPr>
              <w:pStyle w:val="TableContents"/>
              <w:bidi w:val="0"/>
              <w:spacing w:before="0" w:after="283"/>
              <w:jc w:val="both"/>
              <w:rPr>
                <w:sz w:val="20"/>
              </w:rPr>
            </w:pPr>
            <w:r>
              <w:rPr>
                <w:sz w:val="20"/>
              </w:rPr>
              <w:t>97.1 (26)</w:t>
            </w:r>
          </w:p>
        </w:tc>
        <w:tc>
          <w:tcPr>
            <w:tcW w:w="60" w:type="dxa"/>
            <w:tcBorders/>
            <w:vAlign w:val="center"/>
          </w:tcPr>
          <w:p>
            <w:pPr>
              <w:pStyle w:val="TableContents"/>
              <w:bidi w:val="0"/>
              <w:spacing w:before="0" w:after="283"/>
              <w:jc w:val="left"/>
              <w:rPr/>
            </w:pPr>
            <w:r>
              <w:rPr/>
              <w:t> </w:t>
            </w:r>
          </w:p>
        </w:tc>
        <w:tc>
          <w:tcPr>
            <w:tcW w:w="9267" w:type="dxa"/>
            <w:tcBorders/>
            <w:vAlign w:val="center"/>
          </w:tcPr>
          <w:p>
            <w:pPr>
              <w:pStyle w:val="TableContents"/>
              <w:bidi w:val="0"/>
              <w:spacing w:before="0" w:after="283"/>
              <w:jc w:val="both"/>
              <w:rPr/>
            </w:pPr>
            <w:hyperlink r:id="rId58">
              <w:r>
                <w:rPr>
                  <w:rStyle w:val="InternetLink"/>
                  <w:sz w:val="20"/>
                </w:rPr>
                <w:t>Policy for the Recovery of Erroneously Awarded Compensation adopted October 6, 2023</w:t>
              </w:r>
            </w:hyperlink>
          </w:p>
        </w:tc>
      </w:tr>
      <w:tr>
        <w:trPr/>
        <w:tc>
          <w:tcPr>
            <w:tcW w:w="878" w:type="dxa"/>
            <w:tcBorders/>
            <w:shd w:fill="CCEEFF" w:val="clear"/>
            <w:vAlign w:val="center"/>
          </w:tcPr>
          <w:p>
            <w:pPr>
              <w:pStyle w:val="TableContents"/>
              <w:bidi w:val="0"/>
              <w:spacing w:before="0" w:after="283"/>
              <w:jc w:val="both"/>
              <w:rPr>
                <w:sz w:val="20"/>
              </w:rPr>
            </w:pPr>
            <w:r>
              <w:rPr>
                <w:sz w:val="20"/>
              </w:rPr>
              <w:t>99.1 *</w:t>
            </w:r>
          </w:p>
        </w:tc>
        <w:tc>
          <w:tcPr>
            <w:tcW w:w="60" w:type="dxa"/>
            <w:tcBorders/>
            <w:shd w:fill="CCEEFF" w:val="clear"/>
            <w:vAlign w:val="center"/>
          </w:tcPr>
          <w:p>
            <w:pPr>
              <w:pStyle w:val="TableContents"/>
              <w:bidi w:val="0"/>
              <w:spacing w:before="0" w:after="283"/>
              <w:jc w:val="both"/>
              <w:rPr/>
            </w:pPr>
            <w:r>
              <w:rPr/>
              <w:t> </w:t>
            </w:r>
          </w:p>
        </w:tc>
        <w:tc>
          <w:tcPr>
            <w:tcW w:w="9267" w:type="dxa"/>
            <w:tcBorders/>
            <w:shd w:fill="CCEEFF" w:val="clear"/>
            <w:vAlign w:val="center"/>
          </w:tcPr>
          <w:p>
            <w:pPr>
              <w:pStyle w:val="TableContents"/>
              <w:bidi w:val="0"/>
              <w:spacing w:before="0" w:after="283"/>
              <w:jc w:val="both"/>
              <w:rPr/>
            </w:pPr>
            <w:hyperlink w:anchor="ea020525801ex99-1_authidinc.htm">
              <w:r>
                <w:rPr>
                  <w:rStyle w:val="InternetLink"/>
                  <w:sz w:val="20"/>
                </w:rPr>
                <w:t>Policy on Granting Equity Awards</w:t>
              </w:r>
            </w:hyperlink>
          </w:p>
        </w:tc>
      </w:tr>
      <w:tr>
        <w:trPr/>
        <w:tc>
          <w:tcPr>
            <w:tcW w:w="878" w:type="dxa"/>
            <w:tcBorders/>
            <w:vAlign w:val="center"/>
          </w:tcPr>
          <w:p>
            <w:pPr>
              <w:pStyle w:val="TableContents"/>
              <w:bidi w:val="0"/>
              <w:spacing w:before="0" w:after="283"/>
              <w:jc w:val="both"/>
              <w:rPr>
                <w:sz w:val="20"/>
              </w:rPr>
            </w:pPr>
            <w:r>
              <w:rPr>
                <w:sz w:val="20"/>
              </w:rPr>
              <w:t>101.INS*</w:t>
            </w:r>
          </w:p>
        </w:tc>
        <w:tc>
          <w:tcPr>
            <w:tcW w:w="60" w:type="dxa"/>
            <w:tcBorders/>
            <w:vAlign w:val="center"/>
          </w:tcPr>
          <w:p>
            <w:pPr>
              <w:pStyle w:val="TableContents"/>
              <w:bidi w:val="0"/>
              <w:spacing w:before="0" w:after="283"/>
              <w:jc w:val="left"/>
              <w:rPr/>
            </w:pPr>
            <w:r>
              <w:rPr/>
              <w:t> </w:t>
            </w:r>
          </w:p>
        </w:tc>
        <w:tc>
          <w:tcPr>
            <w:tcW w:w="9267" w:type="dxa"/>
            <w:tcBorders/>
            <w:vAlign w:val="center"/>
          </w:tcPr>
          <w:p>
            <w:pPr>
              <w:pStyle w:val="TableContents"/>
              <w:bidi w:val="0"/>
              <w:spacing w:before="0" w:after="283"/>
              <w:jc w:val="both"/>
              <w:rPr>
                <w:sz w:val="20"/>
              </w:rPr>
            </w:pPr>
            <w:r>
              <w:rPr>
                <w:sz w:val="20"/>
              </w:rPr>
              <w:t xml:space="preserve">Inline XBRL Instance Document </w:t>
            </w:r>
          </w:p>
        </w:tc>
      </w:tr>
      <w:tr>
        <w:trPr/>
        <w:tc>
          <w:tcPr>
            <w:tcW w:w="878" w:type="dxa"/>
            <w:tcBorders/>
            <w:shd w:fill="CCEEFF" w:val="clear"/>
            <w:vAlign w:val="center"/>
          </w:tcPr>
          <w:p>
            <w:pPr>
              <w:pStyle w:val="TableContents"/>
              <w:bidi w:val="0"/>
              <w:spacing w:before="0" w:after="283"/>
              <w:jc w:val="both"/>
              <w:rPr>
                <w:sz w:val="20"/>
              </w:rPr>
            </w:pPr>
            <w:r>
              <w:rPr>
                <w:sz w:val="20"/>
              </w:rPr>
              <w:t>101.SCH*</w:t>
            </w:r>
          </w:p>
        </w:tc>
        <w:tc>
          <w:tcPr>
            <w:tcW w:w="60" w:type="dxa"/>
            <w:tcBorders/>
            <w:shd w:fill="CCEEFF" w:val="clear"/>
            <w:vAlign w:val="center"/>
          </w:tcPr>
          <w:p>
            <w:pPr>
              <w:pStyle w:val="TableContents"/>
              <w:bidi w:val="0"/>
              <w:spacing w:before="0" w:after="283"/>
              <w:jc w:val="left"/>
              <w:rPr/>
            </w:pPr>
            <w:r>
              <w:rPr/>
              <w:t> </w:t>
            </w:r>
          </w:p>
        </w:tc>
        <w:tc>
          <w:tcPr>
            <w:tcW w:w="9267" w:type="dxa"/>
            <w:tcBorders/>
            <w:shd w:fill="CCEEFF" w:val="clear"/>
            <w:vAlign w:val="center"/>
          </w:tcPr>
          <w:p>
            <w:pPr>
              <w:pStyle w:val="TableContents"/>
              <w:bidi w:val="0"/>
              <w:spacing w:before="0" w:after="283"/>
              <w:jc w:val="both"/>
              <w:rPr>
                <w:sz w:val="20"/>
              </w:rPr>
            </w:pPr>
            <w:r>
              <w:rPr>
                <w:sz w:val="20"/>
              </w:rPr>
              <w:t xml:space="preserve">Inline XBRL Taxonomy Extension Schema Document </w:t>
            </w:r>
          </w:p>
        </w:tc>
      </w:tr>
      <w:tr>
        <w:trPr/>
        <w:tc>
          <w:tcPr>
            <w:tcW w:w="878" w:type="dxa"/>
            <w:tcBorders/>
            <w:vAlign w:val="center"/>
          </w:tcPr>
          <w:p>
            <w:pPr>
              <w:pStyle w:val="TableContents"/>
              <w:bidi w:val="0"/>
              <w:spacing w:before="0" w:after="283"/>
              <w:jc w:val="both"/>
              <w:rPr>
                <w:sz w:val="20"/>
              </w:rPr>
            </w:pPr>
            <w:r>
              <w:rPr>
                <w:sz w:val="20"/>
              </w:rPr>
              <w:t>101.CAL*</w:t>
            </w:r>
          </w:p>
        </w:tc>
        <w:tc>
          <w:tcPr>
            <w:tcW w:w="60" w:type="dxa"/>
            <w:tcBorders/>
            <w:vAlign w:val="center"/>
          </w:tcPr>
          <w:p>
            <w:pPr>
              <w:pStyle w:val="TableContents"/>
              <w:bidi w:val="0"/>
              <w:spacing w:before="0" w:after="283"/>
              <w:jc w:val="left"/>
              <w:rPr/>
            </w:pPr>
            <w:r>
              <w:rPr/>
              <w:t> </w:t>
            </w:r>
          </w:p>
        </w:tc>
        <w:tc>
          <w:tcPr>
            <w:tcW w:w="9267" w:type="dxa"/>
            <w:tcBorders/>
            <w:vAlign w:val="center"/>
          </w:tcPr>
          <w:p>
            <w:pPr>
              <w:pStyle w:val="TableContents"/>
              <w:bidi w:val="0"/>
              <w:spacing w:before="0" w:after="283"/>
              <w:jc w:val="both"/>
              <w:rPr>
                <w:sz w:val="20"/>
              </w:rPr>
            </w:pPr>
            <w:r>
              <w:rPr>
                <w:sz w:val="20"/>
              </w:rPr>
              <w:t xml:space="preserve">Inline XBRL Taxonomy Extension Calculation Linkbase Document </w:t>
            </w:r>
          </w:p>
        </w:tc>
      </w:tr>
      <w:tr>
        <w:trPr/>
        <w:tc>
          <w:tcPr>
            <w:tcW w:w="878" w:type="dxa"/>
            <w:tcBorders/>
            <w:shd w:fill="CCEEFF" w:val="clear"/>
            <w:vAlign w:val="center"/>
          </w:tcPr>
          <w:p>
            <w:pPr>
              <w:pStyle w:val="TableContents"/>
              <w:bidi w:val="0"/>
              <w:spacing w:before="0" w:after="283"/>
              <w:jc w:val="both"/>
              <w:rPr>
                <w:sz w:val="20"/>
              </w:rPr>
            </w:pPr>
            <w:r>
              <w:rPr>
                <w:sz w:val="20"/>
              </w:rPr>
              <w:t>101.DEF*</w:t>
            </w:r>
          </w:p>
        </w:tc>
        <w:tc>
          <w:tcPr>
            <w:tcW w:w="60" w:type="dxa"/>
            <w:tcBorders/>
            <w:shd w:fill="CCEEFF" w:val="clear"/>
            <w:vAlign w:val="center"/>
          </w:tcPr>
          <w:p>
            <w:pPr>
              <w:pStyle w:val="TableContents"/>
              <w:bidi w:val="0"/>
              <w:spacing w:before="0" w:after="283"/>
              <w:jc w:val="left"/>
              <w:rPr/>
            </w:pPr>
            <w:r>
              <w:rPr/>
              <w:t> </w:t>
            </w:r>
          </w:p>
        </w:tc>
        <w:tc>
          <w:tcPr>
            <w:tcW w:w="9267" w:type="dxa"/>
            <w:tcBorders/>
            <w:shd w:fill="CCEEFF" w:val="clear"/>
            <w:vAlign w:val="center"/>
          </w:tcPr>
          <w:p>
            <w:pPr>
              <w:pStyle w:val="TableContents"/>
              <w:bidi w:val="0"/>
              <w:spacing w:before="0" w:after="283"/>
              <w:jc w:val="both"/>
              <w:rPr>
                <w:sz w:val="20"/>
              </w:rPr>
            </w:pPr>
            <w:r>
              <w:rPr>
                <w:sz w:val="20"/>
              </w:rPr>
              <w:t xml:space="preserve">Inline XBRL Taxonomy Extension Definition Linkbase Document </w:t>
            </w:r>
          </w:p>
        </w:tc>
      </w:tr>
      <w:tr>
        <w:trPr/>
        <w:tc>
          <w:tcPr>
            <w:tcW w:w="878" w:type="dxa"/>
            <w:tcBorders/>
            <w:vAlign w:val="center"/>
          </w:tcPr>
          <w:p>
            <w:pPr>
              <w:pStyle w:val="TableContents"/>
              <w:bidi w:val="0"/>
              <w:spacing w:before="0" w:after="283"/>
              <w:jc w:val="both"/>
              <w:rPr>
                <w:sz w:val="20"/>
              </w:rPr>
            </w:pPr>
            <w:r>
              <w:rPr>
                <w:sz w:val="20"/>
              </w:rPr>
              <w:t>101.LAB*</w:t>
            </w:r>
          </w:p>
        </w:tc>
        <w:tc>
          <w:tcPr>
            <w:tcW w:w="60" w:type="dxa"/>
            <w:tcBorders/>
            <w:vAlign w:val="center"/>
          </w:tcPr>
          <w:p>
            <w:pPr>
              <w:pStyle w:val="TableContents"/>
              <w:bidi w:val="0"/>
              <w:spacing w:before="0" w:after="283"/>
              <w:jc w:val="left"/>
              <w:rPr/>
            </w:pPr>
            <w:r>
              <w:rPr/>
              <w:t> </w:t>
            </w:r>
          </w:p>
        </w:tc>
        <w:tc>
          <w:tcPr>
            <w:tcW w:w="9267" w:type="dxa"/>
            <w:tcBorders/>
            <w:vAlign w:val="center"/>
          </w:tcPr>
          <w:p>
            <w:pPr>
              <w:pStyle w:val="TableContents"/>
              <w:bidi w:val="0"/>
              <w:spacing w:before="0" w:after="283"/>
              <w:jc w:val="both"/>
              <w:rPr>
                <w:sz w:val="20"/>
              </w:rPr>
            </w:pPr>
            <w:r>
              <w:rPr>
                <w:sz w:val="20"/>
              </w:rPr>
              <w:t xml:space="preserve">Inline XBRL Taxonomy Extension Label Linkbase Document </w:t>
            </w:r>
          </w:p>
        </w:tc>
      </w:tr>
      <w:tr>
        <w:trPr/>
        <w:tc>
          <w:tcPr>
            <w:tcW w:w="878" w:type="dxa"/>
            <w:tcBorders/>
            <w:shd w:fill="CCEEFF" w:val="clear"/>
            <w:vAlign w:val="center"/>
          </w:tcPr>
          <w:p>
            <w:pPr>
              <w:pStyle w:val="TableContents"/>
              <w:bidi w:val="0"/>
              <w:spacing w:before="0" w:after="283"/>
              <w:jc w:val="both"/>
              <w:rPr>
                <w:sz w:val="20"/>
              </w:rPr>
            </w:pPr>
            <w:r>
              <w:rPr>
                <w:sz w:val="20"/>
              </w:rPr>
              <w:t>101.PRE*</w:t>
            </w:r>
          </w:p>
        </w:tc>
        <w:tc>
          <w:tcPr>
            <w:tcW w:w="60" w:type="dxa"/>
            <w:tcBorders/>
            <w:shd w:fill="CCEEFF" w:val="clear"/>
            <w:vAlign w:val="center"/>
          </w:tcPr>
          <w:p>
            <w:pPr>
              <w:pStyle w:val="TableContents"/>
              <w:bidi w:val="0"/>
              <w:spacing w:before="0" w:after="283"/>
              <w:jc w:val="left"/>
              <w:rPr/>
            </w:pPr>
            <w:r>
              <w:rPr/>
              <w:t> </w:t>
            </w:r>
          </w:p>
        </w:tc>
        <w:tc>
          <w:tcPr>
            <w:tcW w:w="9267" w:type="dxa"/>
            <w:tcBorders/>
            <w:shd w:fill="CCEEFF" w:val="clear"/>
            <w:vAlign w:val="center"/>
          </w:tcPr>
          <w:p>
            <w:pPr>
              <w:pStyle w:val="TableContents"/>
              <w:bidi w:val="0"/>
              <w:spacing w:before="0" w:after="283"/>
              <w:jc w:val="both"/>
              <w:rPr>
                <w:sz w:val="20"/>
              </w:rPr>
            </w:pPr>
            <w:r>
              <w:rPr>
                <w:sz w:val="20"/>
              </w:rPr>
              <w:t xml:space="preserve">Inline XBRL Taxonomy Extension Presentation Linkbase Document </w:t>
            </w:r>
          </w:p>
        </w:tc>
      </w:tr>
      <w:tr>
        <w:trPr/>
        <w:tc>
          <w:tcPr>
            <w:tcW w:w="878" w:type="dxa"/>
            <w:tcBorders/>
            <w:vAlign w:val="center"/>
          </w:tcPr>
          <w:p>
            <w:pPr>
              <w:pStyle w:val="TableContents"/>
              <w:bidi w:val="0"/>
              <w:spacing w:before="0" w:after="283"/>
              <w:jc w:val="both"/>
              <w:rPr>
                <w:sz w:val="20"/>
              </w:rPr>
            </w:pPr>
            <w:r>
              <w:rPr>
                <w:sz w:val="20"/>
              </w:rPr>
              <w:t>104</w:t>
            </w:r>
          </w:p>
        </w:tc>
        <w:tc>
          <w:tcPr>
            <w:tcW w:w="60" w:type="dxa"/>
            <w:tcBorders/>
            <w:vAlign w:val="center"/>
          </w:tcPr>
          <w:p>
            <w:pPr>
              <w:pStyle w:val="TableContents"/>
              <w:bidi w:val="0"/>
              <w:spacing w:before="0" w:after="283"/>
              <w:jc w:val="left"/>
              <w:rPr/>
            </w:pPr>
            <w:r>
              <w:rPr/>
              <w:t> </w:t>
            </w:r>
          </w:p>
        </w:tc>
        <w:tc>
          <w:tcPr>
            <w:tcW w:w="9267" w:type="dxa"/>
            <w:tcBorders/>
            <w:vAlign w:val="center"/>
          </w:tcPr>
          <w:p>
            <w:pPr>
              <w:pStyle w:val="TableContents"/>
              <w:bidi w:val="0"/>
              <w:spacing w:before="0" w:after="283"/>
              <w:jc w:val="both"/>
              <w:rPr>
                <w:sz w:val="20"/>
              </w:rPr>
            </w:pPr>
            <w:r>
              <w:rPr>
                <w:sz w:val="20"/>
              </w:rPr>
              <w:t>Cover Page Interactive Data File (formatted as Inline XBRL and contained in Exhibit 101).</w:t>
            </w:r>
          </w:p>
        </w:tc>
      </w:tr>
    </w:tbl>
    <w:p>
      <w:pPr>
        <w:pStyle w:val="TextBody"/>
        <w:bidi w:val="0"/>
        <w:spacing w:before="0" w:after="0"/>
        <w:ind w:left="0" w:right="0" w:hanging="0"/>
        <w:jc w:val="left"/>
        <w:rPr>
          <w:caps w:val="false"/>
          <w:smallCaps w:val="false"/>
        </w:rPr>
      </w:pPr>
      <w:r>
        <w:rPr>
          <w:caps w:val="false"/>
          <w:smallCaps w:val="false"/>
        </w:rPr>
        <w:t>  </w:t>
      </w:r>
    </w:p>
    <w:tbl>
      <w:tblPr>
        <w:tblW w:w="1345" w:type="dxa"/>
        <w:jc w:val="left"/>
        <w:tblInd w:w="0" w:type="dxa"/>
        <w:tblLayout w:type="fixed"/>
        <w:tblCellMar>
          <w:top w:w="0" w:type="dxa"/>
          <w:left w:w="0" w:type="dxa"/>
          <w:bottom w:w="0" w:type="dxa"/>
          <w:right w:w="0" w:type="dxa"/>
        </w:tblCellMar>
      </w:tblPr>
      <w:tblGrid>
        <w:gridCol w:w="140"/>
        <w:gridCol w:w="1205"/>
      </w:tblGrid>
      <w:tr>
        <w:trPr/>
        <w:tc>
          <w:tcPr>
            <w:tcW w:w="140" w:type="dxa"/>
            <w:tcBorders/>
            <w:vAlign w:val="center"/>
          </w:tcPr>
          <w:p>
            <w:pPr>
              <w:pStyle w:val="TableContents"/>
              <w:bidi w:val="0"/>
              <w:spacing w:before="0" w:after="283"/>
              <w:jc w:val="left"/>
              <w:rPr>
                <w:sz w:val="20"/>
              </w:rPr>
            </w:pPr>
            <w:r>
              <w:rPr>
                <w:sz w:val="20"/>
              </w:rPr>
              <w:t>*</w:t>
            </w:r>
          </w:p>
        </w:tc>
        <w:tc>
          <w:tcPr>
            <w:tcW w:w="1205" w:type="dxa"/>
            <w:tcBorders/>
            <w:vAlign w:val="center"/>
          </w:tcPr>
          <w:p>
            <w:pPr>
              <w:pStyle w:val="TableContents"/>
              <w:bidi w:val="0"/>
              <w:spacing w:before="0" w:after="283"/>
              <w:jc w:val="both"/>
              <w:rPr>
                <w:sz w:val="20"/>
              </w:rPr>
            </w:pPr>
            <w:r>
              <w:rPr>
                <w:sz w:val="20"/>
              </w:rPr>
              <w:t>Filed herewith</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9"/>
        <w:gridCol w:w="10026"/>
      </w:tblGrid>
      <w:tr>
        <w:trPr/>
        <w:tc>
          <w:tcPr>
            <w:tcW w:w="179" w:type="dxa"/>
            <w:tcBorders/>
            <w:vAlign w:val="center"/>
          </w:tcPr>
          <w:p>
            <w:pPr>
              <w:pStyle w:val="TableContents"/>
              <w:bidi w:val="0"/>
              <w:spacing w:before="0" w:after="283"/>
              <w:jc w:val="left"/>
              <w:rPr>
                <w:sz w:val="20"/>
              </w:rPr>
            </w:pPr>
            <w:r>
              <w:rPr>
                <w:sz w:val="20"/>
              </w:rPr>
              <w:t>**</w:t>
            </w:r>
          </w:p>
        </w:tc>
        <w:tc>
          <w:tcPr>
            <w:tcW w:w="10026" w:type="dxa"/>
            <w:tcBorders/>
            <w:vAlign w:val="center"/>
          </w:tcPr>
          <w:p>
            <w:pPr>
              <w:pStyle w:val="TableContents"/>
              <w:bidi w:val="0"/>
              <w:spacing w:before="0" w:after="283"/>
              <w:jc w:val="both"/>
              <w:rPr>
                <w:sz w:val="20"/>
              </w:rPr>
            </w:pPr>
            <w:r>
              <w:rPr>
                <w:sz w:val="20"/>
              </w:rPr>
              <w:t>Certain confidential portions of this exhibit were omitted by means of marking such portions with asterisks because the identified confidential portions (i) are not material and (ii) would be competitively harmful if publicly disclosed. A copy of any omitted portions will be furnished to the SEC upon request.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6"/>
        <w:gridCol w:w="9949"/>
      </w:tblGrid>
      <w:tr>
        <w:trPr/>
        <w:tc>
          <w:tcPr>
            <w:tcW w:w="256" w:type="dxa"/>
            <w:tcBorders/>
            <w:vAlign w:val="center"/>
          </w:tcPr>
          <w:p>
            <w:pPr>
              <w:pStyle w:val="TableContents"/>
              <w:bidi w:val="0"/>
              <w:spacing w:before="0" w:after="283"/>
              <w:jc w:val="both"/>
              <w:rPr>
                <w:sz w:val="20"/>
              </w:rPr>
            </w:pPr>
            <w:r>
              <w:rPr>
                <w:sz w:val="20"/>
              </w:rPr>
              <w:t>(1)</w:t>
            </w:r>
          </w:p>
        </w:tc>
        <w:tc>
          <w:tcPr>
            <w:tcW w:w="9949" w:type="dxa"/>
            <w:tcBorders/>
            <w:vAlign w:val="center"/>
          </w:tcPr>
          <w:p>
            <w:pPr>
              <w:pStyle w:val="TableContents"/>
              <w:bidi w:val="0"/>
              <w:spacing w:before="0" w:after="283"/>
              <w:jc w:val="both"/>
              <w:rPr>
                <w:sz w:val="20"/>
              </w:rPr>
            </w:pPr>
            <w:r>
              <w:rPr>
                <w:sz w:val="20"/>
              </w:rPr>
              <w:t>Incorporated by reference to the Form 8-K Current Report filed with the Securities Exchange Commission on March 23, 2021.</w:t>
            </w:r>
          </w:p>
        </w:tc>
      </w:tr>
      <w:tr>
        <w:trPr/>
        <w:tc>
          <w:tcPr>
            <w:tcW w:w="256" w:type="dxa"/>
            <w:tcBorders/>
            <w:vAlign w:val="center"/>
          </w:tcPr>
          <w:p>
            <w:pPr>
              <w:pStyle w:val="TableContents"/>
              <w:bidi w:val="0"/>
              <w:spacing w:before="0" w:after="283"/>
              <w:jc w:val="both"/>
              <w:rPr>
                <w:sz w:val="20"/>
              </w:rPr>
            </w:pPr>
            <w:r>
              <w:rPr>
                <w:sz w:val="20"/>
              </w:rPr>
              <w:t>(2)</w:t>
            </w:r>
          </w:p>
        </w:tc>
        <w:tc>
          <w:tcPr>
            <w:tcW w:w="9949" w:type="dxa"/>
            <w:tcBorders/>
            <w:vAlign w:val="center"/>
          </w:tcPr>
          <w:p>
            <w:pPr>
              <w:pStyle w:val="TableContents"/>
              <w:bidi w:val="0"/>
              <w:spacing w:before="0" w:after="283"/>
              <w:jc w:val="both"/>
              <w:rPr>
                <w:sz w:val="20"/>
              </w:rPr>
            </w:pPr>
            <w:r>
              <w:rPr>
                <w:sz w:val="20"/>
              </w:rPr>
              <w:t>Incorporated by reference to the Form 8-K Current Report filed with the Securities Exchange Commission on June 15, 2021.</w:t>
            </w:r>
          </w:p>
        </w:tc>
      </w:tr>
      <w:tr>
        <w:trPr/>
        <w:tc>
          <w:tcPr>
            <w:tcW w:w="256" w:type="dxa"/>
            <w:tcBorders/>
            <w:vAlign w:val="center"/>
          </w:tcPr>
          <w:p>
            <w:pPr>
              <w:pStyle w:val="TableContents"/>
              <w:bidi w:val="0"/>
              <w:spacing w:before="0" w:after="283"/>
              <w:jc w:val="both"/>
              <w:rPr>
                <w:sz w:val="20"/>
              </w:rPr>
            </w:pPr>
            <w:r>
              <w:rPr>
                <w:sz w:val="20"/>
              </w:rPr>
              <w:t>(3)</w:t>
            </w:r>
          </w:p>
        </w:tc>
        <w:tc>
          <w:tcPr>
            <w:tcW w:w="9949" w:type="dxa"/>
            <w:tcBorders/>
            <w:vAlign w:val="center"/>
          </w:tcPr>
          <w:p>
            <w:pPr>
              <w:pStyle w:val="TableContents"/>
              <w:bidi w:val="0"/>
              <w:spacing w:before="0" w:after="283"/>
              <w:jc w:val="both"/>
              <w:rPr>
                <w:sz w:val="20"/>
              </w:rPr>
            </w:pPr>
            <w:r>
              <w:rPr>
                <w:sz w:val="20"/>
              </w:rPr>
              <w:t>Incorporated by reference to the Form 8-K Current Report filed with the Securities Exchange Commission on December 16, 2019.</w:t>
            </w:r>
          </w:p>
        </w:tc>
      </w:tr>
      <w:tr>
        <w:trPr/>
        <w:tc>
          <w:tcPr>
            <w:tcW w:w="256" w:type="dxa"/>
            <w:tcBorders/>
            <w:vAlign w:val="center"/>
          </w:tcPr>
          <w:p>
            <w:pPr>
              <w:pStyle w:val="TableContents"/>
              <w:bidi w:val="0"/>
              <w:spacing w:before="0" w:after="283"/>
              <w:jc w:val="both"/>
              <w:rPr>
                <w:sz w:val="20"/>
              </w:rPr>
            </w:pPr>
            <w:r>
              <w:rPr>
                <w:sz w:val="20"/>
              </w:rPr>
              <w:t>(4)</w:t>
            </w:r>
          </w:p>
        </w:tc>
        <w:tc>
          <w:tcPr>
            <w:tcW w:w="9949" w:type="dxa"/>
            <w:tcBorders/>
            <w:vAlign w:val="center"/>
          </w:tcPr>
          <w:p>
            <w:pPr>
              <w:pStyle w:val="TableContents"/>
              <w:bidi w:val="0"/>
              <w:spacing w:before="0" w:after="283"/>
              <w:jc w:val="both"/>
              <w:rPr>
                <w:sz w:val="20"/>
              </w:rPr>
            </w:pPr>
            <w:r>
              <w:rPr>
                <w:sz w:val="20"/>
              </w:rPr>
              <w:t>Incorporated by reference to the Form 8-K Current Report filed with the Securities Exchange Commission on February 18, 2020.</w:t>
            </w:r>
          </w:p>
        </w:tc>
      </w:tr>
      <w:tr>
        <w:trPr/>
        <w:tc>
          <w:tcPr>
            <w:tcW w:w="256" w:type="dxa"/>
            <w:tcBorders/>
            <w:vAlign w:val="center"/>
          </w:tcPr>
          <w:p>
            <w:pPr>
              <w:pStyle w:val="TableContents"/>
              <w:bidi w:val="0"/>
              <w:spacing w:before="0" w:after="283"/>
              <w:jc w:val="both"/>
              <w:rPr>
                <w:sz w:val="20"/>
              </w:rPr>
            </w:pPr>
            <w:r>
              <w:rPr>
                <w:sz w:val="20"/>
              </w:rPr>
              <w:t>(5)</w:t>
            </w:r>
          </w:p>
        </w:tc>
        <w:tc>
          <w:tcPr>
            <w:tcW w:w="9949" w:type="dxa"/>
            <w:tcBorders/>
            <w:vAlign w:val="center"/>
          </w:tcPr>
          <w:p>
            <w:pPr>
              <w:pStyle w:val="TableContents"/>
              <w:bidi w:val="0"/>
              <w:spacing w:before="0" w:after="283"/>
              <w:jc w:val="both"/>
              <w:rPr>
                <w:sz w:val="20"/>
              </w:rPr>
            </w:pPr>
            <w:r>
              <w:rPr>
                <w:sz w:val="20"/>
              </w:rPr>
              <w:t>Incorporated by reference to the Form 8-K Current Report filed with the Securities Exchange Commission on May 13, 2020.</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09"/>
        <w:gridCol w:w="9796"/>
      </w:tblGrid>
      <w:tr>
        <w:trPr/>
        <w:tc>
          <w:tcPr>
            <w:tcW w:w="409" w:type="dxa"/>
            <w:tcBorders/>
            <w:vAlign w:val="center"/>
          </w:tcPr>
          <w:p>
            <w:pPr>
              <w:pStyle w:val="TableContents"/>
              <w:bidi w:val="0"/>
              <w:spacing w:before="0" w:after="283"/>
              <w:jc w:val="both"/>
              <w:rPr>
                <w:sz w:val="20"/>
              </w:rPr>
            </w:pPr>
            <w:r>
              <w:rPr>
                <w:sz w:val="20"/>
              </w:rPr>
              <w:t>(6)</w:t>
            </w:r>
          </w:p>
        </w:tc>
        <w:tc>
          <w:tcPr>
            <w:tcW w:w="9796" w:type="dxa"/>
            <w:tcBorders/>
            <w:vAlign w:val="center"/>
          </w:tcPr>
          <w:p>
            <w:pPr>
              <w:pStyle w:val="TableContents"/>
              <w:bidi w:val="0"/>
              <w:spacing w:before="0" w:after="283"/>
              <w:jc w:val="both"/>
              <w:rPr>
                <w:sz w:val="20"/>
              </w:rPr>
            </w:pPr>
            <w:r>
              <w:rPr>
                <w:sz w:val="20"/>
              </w:rPr>
              <w:t>Incorporated by reference to the Form 10-Q Quarterly Report filed with the Securities Exchange Commission on May 6, 2021.</w:t>
            </w:r>
          </w:p>
        </w:tc>
      </w:tr>
      <w:tr>
        <w:trPr/>
        <w:tc>
          <w:tcPr>
            <w:tcW w:w="409" w:type="dxa"/>
            <w:tcBorders/>
            <w:vAlign w:val="center"/>
          </w:tcPr>
          <w:p>
            <w:pPr>
              <w:pStyle w:val="TableContents"/>
              <w:bidi w:val="0"/>
              <w:spacing w:before="0" w:after="283"/>
              <w:jc w:val="both"/>
              <w:rPr>
                <w:sz w:val="20"/>
              </w:rPr>
            </w:pPr>
            <w:r>
              <w:rPr>
                <w:sz w:val="20"/>
              </w:rPr>
              <w:t>(7)</w:t>
            </w:r>
          </w:p>
        </w:tc>
        <w:tc>
          <w:tcPr>
            <w:tcW w:w="9796" w:type="dxa"/>
            <w:tcBorders/>
            <w:vAlign w:val="center"/>
          </w:tcPr>
          <w:p>
            <w:pPr>
              <w:pStyle w:val="TableContents"/>
              <w:bidi w:val="0"/>
              <w:spacing w:before="0" w:after="283"/>
              <w:jc w:val="both"/>
              <w:rPr>
                <w:sz w:val="20"/>
              </w:rPr>
            </w:pPr>
            <w:r>
              <w:rPr>
                <w:sz w:val="20"/>
              </w:rPr>
              <w:t>Incorporated by reference to the Form 10-Q Quarterly Report filed with the Securities Exchange Commission on May 4, 2018.</w:t>
            </w:r>
          </w:p>
        </w:tc>
      </w:tr>
      <w:tr>
        <w:trPr/>
        <w:tc>
          <w:tcPr>
            <w:tcW w:w="409" w:type="dxa"/>
            <w:tcBorders/>
            <w:vAlign w:val="center"/>
          </w:tcPr>
          <w:p>
            <w:pPr>
              <w:pStyle w:val="TableContents"/>
              <w:bidi w:val="0"/>
              <w:spacing w:before="0" w:after="283"/>
              <w:jc w:val="both"/>
              <w:rPr>
                <w:sz w:val="20"/>
              </w:rPr>
            </w:pPr>
            <w:r>
              <w:rPr>
                <w:sz w:val="20"/>
              </w:rPr>
              <w:t>(8)</w:t>
            </w:r>
          </w:p>
        </w:tc>
        <w:tc>
          <w:tcPr>
            <w:tcW w:w="9796" w:type="dxa"/>
            <w:tcBorders/>
            <w:vAlign w:val="center"/>
          </w:tcPr>
          <w:p>
            <w:pPr>
              <w:pStyle w:val="TableContents"/>
              <w:bidi w:val="0"/>
              <w:spacing w:before="0" w:after="283"/>
              <w:jc w:val="both"/>
              <w:rPr>
                <w:sz w:val="20"/>
              </w:rPr>
            </w:pPr>
            <w:r>
              <w:rPr>
                <w:sz w:val="20"/>
              </w:rPr>
              <w:t>Incorporated by reference to the Form 10-Q Quarterly Report filed with the Securities Exchange Commission on November 8, 2021.</w:t>
            </w:r>
          </w:p>
        </w:tc>
      </w:tr>
      <w:tr>
        <w:trPr/>
        <w:tc>
          <w:tcPr>
            <w:tcW w:w="409" w:type="dxa"/>
            <w:tcBorders/>
            <w:vAlign w:val="center"/>
          </w:tcPr>
          <w:p>
            <w:pPr>
              <w:pStyle w:val="TableContents"/>
              <w:bidi w:val="0"/>
              <w:spacing w:before="0" w:after="283"/>
              <w:jc w:val="both"/>
              <w:rPr>
                <w:sz w:val="20"/>
              </w:rPr>
            </w:pPr>
            <w:r>
              <w:rPr>
                <w:sz w:val="20"/>
              </w:rPr>
              <w:t>(9)</w:t>
            </w:r>
          </w:p>
        </w:tc>
        <w:tc>
          <w:tcPr>
            <w:tcW w:w="9796" w:type="dxa"/>
            <w:tcBorders/>
            <w:vAlign w:val="center"/>
          </w:tcPr>
          <w:p>
            <w:pPr>
              <w:pStyle w:val="TableContents"/>
              <w:bidi w:val="0"/>
              <w:spacing w:before="0" w:after="283"/>
              <w:jc w:val="both"/>
              <w:rPr>
                <w:sz w:val="20"/>
              </w:rPr>
            </w:pPr>
            <w:r>
              <w:rPr>
                <w:sz w:val="20"/>
              </w:rPr>
              <w:t>Incorporated by reference to the Form S-8 Registration Statement filed with the Securities Exchange Commission on February 1, 2022.</w:t>
            </w:r>
          </w:p>
        </w:tc>
      </w:tr>
      <w:tr>
        <w:trPr/>
        <w:tc>
          <w:tcPr>
            <w:tcW w:w="409" w:type="dxa"/>
            <w:tcBorders/>
            <w:vAlign w:val="center"/>
          </w:tcPr>
          <w:p>
            <w:pPr>
              <w:pStyle w:val="TableContents"/>
              <w:bidi w:val="0"/>
              <w:spacing w:before="0" w:after="283"/>
              <w:jc w:val="both"/>
              <w:rPr>
                <w:sz w:val="20"/>
              </w:rPr>
            </w:pPr>
            <w:r>
              <w:rPr>
                <w:sz w:val="20"/>
              </w:rPr>
              <w:t>(10)</w:t>
            </w:r>
          </w:p>
        </w:tc>
        <w:tc>
          <w:tcPr>
            <w:tcW w:w="9796" w:type="dxa"/>
            <w:tcBorders/>
            <w:vAlign w:val="center"/>
          </w:tcPr>
          <w:p>
            <w:pPr>
              <w:pStyle w:val="TableContents"/>
              <w:bidi w:val="0"/>
              <w:spacing w:before="0" w:after="283"/>
              <w:jc w:val="both"/>
              <w:rPr>
                <w:sz w:val="20"/>
              </w:rPr>
            </w:pPr>
            <w:r>
              <w:rPr>
                <w:sz w:val="20"/>
              </w:rPr>
              <w:t>Incorporated by reference to the Form 8-K Current Report filed with the Securities Exchange Commission on March 21, 2022.</w:t>
            </w:r>
          </w:p>
        </w:tc>
      </w:tr>
      <w:tr>
        <w:trPr/>
        <w:tc>
          <w:tcPr>
            <w:tcW w:w="409" w:type="dxa"/>
            <w:tcBorders/>
            <w:vAlign w:val="center"/>
          </w:tcPr>
          <w:p>
            <w:pPr>
              <w:pStyle w:val="TableContents"/>
              <w:bidi w:val="0"/>
              <w:spacing w:before="0" w:after="283"/>
              <w:jc w:val="both"/>
              <w:rPr>
                <w:sz w:val="20"/>
              </w:rPr>
            </w:pPr>
            <w:r>
              <w:rPr>
                <w:sz w:val="20"/>
              </w:rPr>
              <w:t>(11)</w:t>
            </w:r>
          </w:p>
        </w:tc>
        <w:tc>
          <w:tcPr>
            <w:tcW w:w="9796" w:type="dxa"/>
            <w:tcBorders/>
            <w:vAlign w:val="center"/>
          </w:tcPr>
          <w:p>
            <w:pPr>
              <w:pStyle w:val="TableContents"/>
              <w:bidi w:val="0"/>
              <w:spacing w:before="0" w:after="283"/>
              <w:jc w:val="both"/>
              <w:rPr>
                <w:sz w:val="20"/>
              </w:rPr>
            </w:pPr>
            <w:r>
              <w:rPr>
                <w:sz w:val="20"/>
              </w:rPr>
              <w:t>Incorporated by reference to the Form 10-K Annual Report filed with the Securities Exchange Commission on March 22, 2022.</w:t>
            </w:r>
          </w:p>
        </w:tc>
      </w:tr>
      <w:tr>
        <w:trPr/>
        <w:tc>
          <w:tcPr>
            <w:tcW w:w="409" w:type="dxa"/>
            <w:tcBorders/>
            <w:vAlign w:val="center"/>
          </w:tcPr>
          <w:p>
            <w:pPr>
              <w:pStyle w:val="TableContents"/>
              <w:bidi w:val="0"/>
              <w:spacing w:before="0" w:after="283"/>
              <w:jc w:val="both"/>
              <w:rPr>
                <w:sz w:val="20"/>
              </w:rPr>
            </w:pPr>
            <w:r>
              <w:rPr>
                <w:sz w:val="20"/>
              </w:rPr>
              <w:t>(12)</w:t>
            </w:r>
          </w:p>
        </w:tc>
        <w:tc>
          <w:tcPr>
            <w:tcW w:w="9796" w:type="dxa"/>
            <w:tcBorders/>
            <w:vAlign w:val="center"/>
          </w:tcPr>
          <w:p>
            <w:pPr>
              <w:pStyle w:val="TableContents"/>
              <w:bidi w:val="0"/>
              <w:spacing w:before="0" w:after="283"/>
              <w:jc w:val="both"/>
              <w:rPr>
                <w:sz w:val="20"/>
              </w:rPr>
            </w:pPr>
            <w:r>
              <w:rPr>
                <w:sz w:val="20"/>
              </w:rPr>
              <w:t>Incorporated by reference to the Form 8-K Current Report filed with the Securities Exchange Commission on April 18, 2022.</w:t>
            </w:r>
          </w:p>
        </w:tc>
      </w:tr>
      <w:tr>
        <w:trPr/>
        <w:tc>
          <w:tcPr>
            <w:tcW w:w="409" w:type="dxa"/>
            <w:tcBorders/>
            <w:vAlign w:val="center"/>
          </w:tcPr>
          <w:p>
            <w:pPr>
              <w:pStyle w:val="TableContents"/>
              <w:bidi w:val="0"/>
              <w:spacing w:before="0" w:after="283"/>
              <w:jc w:val="both"/>
              <w:rPr>
                <w:sz w:val="20"/>
              </w:rPr>
            </w:pPr>
            <w:r>
              <w:rPr>
                <w:sz w:val="20"/>
              </w:rPr>
              <w:t>(13)</w:t>
            </w:r>
          </w:p>
        </w:tc>
        <w:tc>
          <w:tcPr>
            <w:tcW w:w="9796" w:type="dxa"/>
            <w:tcBorders/>
            <w:vAlign w:val="center"/>
          </w:tcPr>
          <w:p>
            <w:pPr>
              <w:pStyle w:val="TableContents"/>
              <w:bidi w:val="0"/>
              <w:spacing w:before="0" w:after="283"/>
              <w:jc w:val="both"/>
              <w:rPr>
                <w:sz w:val="20"/>
              </w:rPr>
            </w:pPr>
            <w:r>
              <w:rPr>
                <w:sz w:val="20"/>
              </w:rPr>
              <w:t xml:space="preserve">Incorporated by reference to the Form 8-K Current Report filed with the Securities Exchange Commission on April 27, 2022. </w:t>
            </w:r>
          </w:p>
        </w:tc>
      </w:tr>
      <w:tr>
        <w:trPr/>
        <w:tc>
          <w:tcPr>
            <w:tcW w:w="409" w:type="dxa"/>
            <w:tcBorders/>
            <w:vAlign w:val="center"/>
          </w:tcPr>
          <w:p>
            <w:pPr>
              <w:pStyle w:val="TableContents"/>
              <w:bidi w:val="0"/>
              <w:spacing w:before="0" w:after="283"/>
              <w:jc w:val="both"/>
              <w:rPr>
                <w:sz w:val="20"/>
              </w:rPr>
            </w:pPr>
            <w:r>
              <w:rPr>
                <w:sz w:val="20"/>
              </w:rPr>
              <w:t>(14)</w:t>
            </w:r>
          </w:p>
        </w:tc>
        <w:tc>
          <w:tcPr>
            <w:tcW w:w="9796" w:type="dxa"/>
            <w:tcBorders/>
            <w:vAlign w:val="center"/>
          </w:tcPr>
          <w:p>
            <w:pPr>
              <w:pStyle w:val="TableContents"/>
              <w:bidi w:val="0"/>
              <w:spacing w:before="0" w:after="283"/>
              <w:jc w:val="both"/>
              <w:rPr>
                <w:sz w:val="20"/>
              </w:rPr>
            </w:pPr>
            <w:r>
              <w:rPr>
                <w:sz w:val="20"/>
              </w:rPr>
              <w:t xml:space="preserve">Incorporated by reference to the Form 8-K Current Report filed with the Securities Exchange Commission on July 19, 2022. </w:t>
            </w:r>
          </w:p>
        </w:tc>
      </w:tr>
      <w:tr>
        <w:trPr/>
        <w:tc>
          <w:tcPr>
            <w:tcW w:w="409" w:type="dxa"/>
            <w:tcBorders/>
            <w:vAlign w:val="center"/>
          </w:tcPr>
          <w:p>
            <w:pPr>
              <w:pStyle w:val="TableContents"/>
              <w:bidi w:val="0"/>
              <w:spacing w:before="0" w:after="283"/>
              <w:jc w:val="both"/>
              <w:rPr>
                <w:sz w:val="20"/>
              </w:rPr>
            </w:pPr>
            <w:r>
              <w:rPr>
                <w:sz w:val="20"/>
              </w:rPr>
              <w:t>(15)</w:t>
            </w:r>
          </w:p>
        </w:tc>
        <w:tc>
          <w:tcPr>
            <w:tcW w:w="9796" w:type="dxa"/>
            <w:tcBorders/>
            <w:vAlign w:val="center"/>
          </w:tcPr>
          <w:p>
            <w:pPr>
              <w:pStyle w:val="TableContents"/>
              <w:bidi w:val="0"/>
              <w:spacing w:before="0" w:after="283"/>
              <w:jc w:val="both"/>
              <w:rPr>
                <w:sz w:val="20"/>
              </w:rPr>
            </w:pPr>
            <w:r>
              <w:rPr>
                <w:sz w:val="20"/>
              </w:rPr>
              <w:t>Incorporated by reference to the Form 8-K Current Report filed with the Securities Exchange Commission on September 21, 2022.</w:t>
            </w:r>
          </w:p>
        </w:tc>
      </w:tr>
      <w:tr>
        <w:trPr/>
        <w:tc>
          <w:tcPr>
            <w:tcW w:w="409" w:type="dxa"/>
            <w:tcBorders/>
            <w:vAlign w:val="center"/>
          </w:tcPr>
          <w:p>
            <w:pPr>
              <w:pStyle w:val="TableContents"/>
              <w:bidi w:val="0"/>
              <w:spacing w:before="0" w:after="283"/>
              <w:jc w:val="both"/>
              <w:rPr>
                <w:sz w:val="20"/>
              </w:rPr>
            </w:pPr>
            <w:r>
              <w:rPr>
                <w:sz w:val="20"/>
              </w:rPr>
              <w:t>(16)</w:t>
            </w:r>
          </w:p>
        </w:tc>
        <w:tc>
          <w:tcPr>
            <w:tcW w:w="9796" w:type="dxa"/>
            <w:tcBorders/>
            <w:vAlign w:val="center"/>
          </w:tcPr>
          <w:p>
            <w:pPr>
              <w:pStyle w:val="TableContents"/>
              <w:bidi w:val="0"/>
              <w:spacing w:before="0" w:after="283"/>
              <w:jc w:val="both"/>
              <w:rPr>
                <w:sz w:val="20"/>
              </w:rPr>
            </w:pPr>
            <w:r>
              <w:rPr>
                <w:sz w:val="20"/>
              </w:rPr>
              <w:t>Incorporated by reference to the Form 8-K Current Report filed with the Securities Exchange Commission on March 10, 2023.</w:t>
            </w:r>
          </w:p>
        </w:tc>
      </w:tr>
      <w:tr>
        <w:trPr/>
        <w:tc>
          <w:tcPr>
            <w:tcW w:w="409" w:type="dxa"/>
            <w:tcBorders/>
            <w:vAlign w:val="center"/>
          </w:tcPr>
          <w:p>
            <w:pPr>
              <w:pStyle w:val="TableContents"/>
              <w:bidi w:val="0"/>
              <w:spacing w:before="0" w:after="283"/>
              <w:jc w:val="both"/>
              <w:rPr>
                <w:sz w:val="20"/>
              </w:rPr>
            </w:pPr>
            <w:r>
              <w:rPr>
                <w:sz w:val="20"/>
              </w:rPr>
              <w:t>(17)</w:t>
            </w:r>
          </w:p>
        </w:tc>
        <w:tc>
          <w:tcPr>
            <w:tcW w:w="9796" w:type="dxa"/>
            <w:tcBorders/>
            <w:vAlign w:val="center"/>
          </w:tcPr>
          <w:p>
            <w:pPr>
              <w:pStyle w:val="TableContents"/>
              <w:bidi w:val="0"/>
              <w:spacing w:before="0" w:after="283"/>
              <w:jc w:val="both"/>
              <w:rPr>
                <w:sz w:val="20"/>
              </w:rPr>
            </w:pPr>
            <w:r>
              <w:rPr>
                <w:sz w:val="20"/>
              </w:rPr>
              <w:t>Incorporated by reference to the Form 8-K Current Report filed with the Securities Exchange Commission on March 28, 2023.</w:t>
            </w:r>
          </w:p>
        </w:tc>
      </w:tr>
      <w:tr>
        <w:trPr/>
        <w:tc>
          <w:tcPr>
            <w:tcW w:w="409" w:type="dxa"/>
            <w:tcBorders/>
            <w:vAlign w:val="center"/>
          </w:tcPr>
          <w:p>
            <w:pPr>
              <w:pStyle w:val="TableContents"/>
              <w:bidi w:val="0"/>
              <w:spacing w:before="0" w:after="283"/>
              <w:jc w:val="both"/>
              <w:rPr>
                <w:sz w:val="20"/>
              </w:rPr>
            </w:pPr>
            <w:r>
              <w:rPr>
                <w:sz w:val="20"/>
              </w:rPr>
              <w:t>(18)</w:t>
            </w:r>
          </w:p>
        </w:tc>
        <w:tc>
          <w:tcPr>
            <w:tcW w:w="9796" w:type="dxa"/>
            <w:tcBorders/>
            <w:vAlign w:val="center"/>
          </w:tcPr>
          <w:p>
            <w:pPr>
              <w:pStyle w:val="TableContents"/>
              <w:bidi w:val="0"/>
              <w:spacing w:before="0" w:after="283"/>
              <w:jc w:val="both"/>
              <w:rPr>
                <w:sz w:val="20"/>
              </w:rPr>
            </w:pPr>
            <w:r>
              <w:rPr>
                <w:sz w:val="20"/>
              </w:rPr>
              <w:t>Incorporated by reference to the Form 10-K Annual Report filed with the Securities Exchange Commission on March 30, 2023.</w:t>
            </w:r>
          </w:p>
        </w:tc>
      </w:tr>
      <w:tr>
        <w:trPr/>
        <w:tc>
          <w:tcPr>
            <w:tcW w:w="409" w:type="dxa"/>
            <w:tcBorders/>
            <w:vAlign w:val="center"/>
          </w:tcPr>
          <w:p>
            <w:pPr>
              <w:pStyle w:val="TableContents"/>
              <w:bidi w:val="0"/>
              <w:spacing w:before="0" w:after="283"/>
              <w:jc w:val="both"/>
              <w:rPr>
                <w:sz w:val="20"/>
              </w:rPr>
            </w:pPr>
            <w:r>
              <w:rPr>
                <w:sz w:val="20"/>
              </w:rPr>
              <w:t>(19)</w:t>
            </w:r>
          </w:p>
        </w:tc>
        <w:tc>
          <w:tcPr>
            <w:tcW w:w="9796" w:type="dxa"/>
            <w:tcBorders/>
            <w:vAlign w:val="center"/>
          </w:tcPr>
          <w:p>
            <w:pPr>
              <w:pStyle w:val="TableContents"/>
              <w:bidi w:val="0"/>
              <w:spacing w:before="0" w:after="283"/>
              <w:jc w:val="both"/>
              <w:rPr>
                <w:sz w:val="20"/>
              </w:rPr>
            </w:pPr>
            <w:r>
              <w:rPr>
                <w:sz w:val="20"/>
              </w:rPr>
              <w:t>Incorporated by reference to the Form 8-K Current Report filed with the Securities Exchange Commission on April 18, 2023.</w:t>
            </w:r>
          </w:p>
        </w:tc>
      </w:tr>
      <w:tr>
        <w:trPr/>
        <w:tc>
          <w:tcPr>
            <w:tcW w:w="409" w:type="dxa"/>
            <w:tcBorders/>
            <w:vAlign w:val="center"/>
          </w:tcPr>
          <w:p>
            <w:pPr>
              <w:pStyle w:val="TableContents"/>
              <w:bidi w:val="0"/>
              <w:spacing w:before="0" w:after="283"/>
              <w:jc w:val="both"/>
              <w:rPr>
                <w:sz w:val="20"/>
              </w:rPr>
            </w:pPr>
            <w:r>
              <w:rPr>
                <w:sz w:val="20"/>
              </w:rPr>
              <w:t>(20)</w:t>
            </w:r>
          </w:p>
        </w:tc>
        <w:tc>
          <w:tcPr>
            <w:tcW w:w="9796" w:type="dxa"/>
            <w:tcBorders/>
            <w:vAlign w:val="center"/>
          </w:tcPr>
          <w:p>
            <w:pPr>
              <w:pStyle w:val="TableContents"/>
              <w:bidi w:val="0"/>
              <w:spacing w:before="0" w:after="283"/>
              <w:jc w:val="both"/>
              <w:rPr>
                <w:sz w:val="20"/>
              </w:rPr>
            </w:pPr>
            <w:r>
              <w:rPr>
                <w:sz w:val="20"/>
              </w:rPr>
              <w:t>Incorporated by reference to the Form 10-Q Quarterly Report filed with the Securities Exchange Commission on May 11, 2023.</w:t>
            </w:r>
          </w:p>
        </w:tc>
      </w:tr>
      <w:tr>
        <w:trPr/>
        <w:tc>
          <w:tcPr>
            <w:tcW w:w="409" w:type="dxa"/>
            <w:tcBorders/>
            <w:vAlign w:val="center"/>
          </w:tcPr>
          <w:p>
            <w:pPr>
              <w:pStyle w:val="TableContents"/>
              <w:bidi w:val="0"/>
              <w:spacing w:before="0" w:after="283"/>
              <w:jc w:val="both"/>
              <w:rPr>
                <w:sz w:val="20"/>
              </w:rPr>
            </w:pPr>
            <w:r>
              <w:rPr>
                <w:sz w:val="20"/>
              </w:rPr>
              <w:t>(21)</w:t>
            </w:r>
          </w:p>
        </w:tc>
        <w:tc>
          <w:tcPr>
            <w:tcW w:w="9796" w:type="dxa"/>
            <w:tcBorders/>
            <w:vAlign w:val="center"/>
          </w:tcPr>
          <w:p>
            <w:pPr>
              <w:pStyle w:val="TableContents"/>
              <w:bidi w:val="0"/>
              <w:spacing w:before="0" w:after="283"/>
              <w:jc w:val="both"/>
              <w:rPr>
                <w:sz w:val="20"/>
              </w:rPr>
            </w:pPr>
            <w:r>
              <w:rPr>
                <w:sz w:val="20"/>
              </w:rPr>
              <w:t>Incorporated by reference to the Form 8-K Current Report filed with the Securities Exchange Commission on May 16, 2023.</w:t>
            </w:r>
          </w:p>
        </w:tc>
      </w:tr>
      <w:tr>
        <w:trPr/>
        <w:tc>
          <w:tcPr>
            <w:tcW w:w="409" w:type="dxa"/>
            <w:tcBorders/>
            <w:vAlign w:val="center"/>
          </w:tcPr>
          <w:p>
            <w:pPr>
              <w:pStyle w:val="TableContents"/>
              <w:bidi w:val="0"/>
              <w:spacing w:before="0" w:after="283"/>
              <w:jc w:val="both"/>
              <w:rPr>
                <w:sz w:val="20"/>
              </w:rPr>
            </w:pPr>
            <w:r>
              <w:rPr>
                <w:sz w:val="20"/>
              </w:rPr>
              <w:t>(22)</w:t>
            </w:r>
          </w:p>
        </w:tc>
        <w:tc>
          <w:tcPr>
            <w:tcW w:w="9796" w:type="dxa"/>
            <w:tcBorders/>
            <w:vAlign w:val="center"/>
          </w:tcPr>
          <w:p>
            <w:pPr>
              <w:pStyle w:val="TableContents"/>
              <w:bidi w:val="0"/>
              <w:spacing w:before="0" w:after="283"/>
              <w:jc w:val="both"/>
              <w:rPr>
                <w:sz w:val="20"/>
              </w:rPr>
            </w:pPr>
            <w:r>
              <w:rPr>
                <w:sz w:val="20"/>
              </w:rPr>
              <w:t>Incorporated by reference to the Form 8-K Current Report filed with the Securities Exchange Commission on May 26, 2023.</w:t>
            </w:r>
          </w:p>
        </w:tc>
      </w:tr>
      <w:tr>
        <w:trPr/>
        <w:tc>
          <w:tcPr>
            <w:tcW w:w="409" w:type="dxa"/>
            <w:tcBorders/>
            <w:vAlign w:val="center"/>
          </w:tcPr>
          <w:p>
            <w:pPr>
              <w:pStyle w:val="TableContents"/>
              <w:bidi w:val="0"/>
              <w:spacing w:before="0" w:after="283"/>
              <w:jc w:val="both"/>
              <w:rPr>
                <w:sz w:val="20"/>
              </w:rPr>
            </w:pPr>
            <w:r>
              <w:rPr>
                <w:sz w:val="20"/>
              </w:rPr>
              <w:t>(23)</w:t>
            </w:r>
          </w:p>
        </w:tc>
        <w:tc>
          <w:tcPr>
            <w:tcW w:w="9796" w:type="dxa"/>
            <w:tcBorders/>
            <w:vAlign w:val="center"/>
          </w:tcPr>
          <w:p>
            <w:pPr>
              <w:pStyle w:val="TableContents"/>
              <w:bidi w:val="0"/>
              <w:spacing w:before="0" w:after="283"/>
              <w:jc w:val="both"/>
              <w:rPr>
                <w:sz w:val="20"/>
              </w:rPr>
            </w:pPr>
            <w:r>
              <w:rPr>
                <w:sz w:val="20"/>
              </w:rPr>
              <w:t>Incorporated by reference to the Form 8-K Current Report filed with the Securities Exchange Commission on June 27, 2023.</w:t>
            </w:r>
          </w:p>
        </w:tc>
      </w:tr>
      <w:tr>
        <w:trPr/>
        <w:tc>
          <w:tcPr>
            <w:tcW w:w="409" w:type="dxa"/>
            <w:tcBorders/>
            <w:vAlign w:val="center"/>
          </w:tcPr>
          <w:p>
            <w:pPr>
              <w:pStyle w:val="TableContents"/>
              <w:bidi w:val="0"/>
              <w:spacing w:before="0" w:after="283"/>
              <w:jc w:val="both"/>
              <w:rPr>
                <w:sz w:val="20"/>
              </w:rPr>
            </w:pPr>
            <w:r>
              <w:rPr>
                <w:sz w:val="20"/>
              </w:rPr>
              <w:t>(24)</w:t>
            </w:r>
          </w:p>
        </w:tc>
        <w:tc>
          <w:tcPr>
            <w:tcW w:w="9796" w:type="dxa"/>
            <w:tcBorders/>
            <w:vAlign w:val="center"/>
          </w:tcPr>
          <w:p>
            <w:pPr>
              <w:pStyle w:val="TableContents"/>
              <w:bidi w:val="0"/>
              <w:spacing w:before="0" w:after="283"/>
              <w:jc w:val="both"/>
              <w:rPr>
                <w:sz w:val="20"/>
              </w:rPr>
            </w:pPr>
            <w:r>
              <w:rPr>
                <w:sz w:val="20"/>
              </w:rPr>
              <w:t>Incorporated by reference to the Form 8-K Current Report filed with the Securities Exchange Commission on August 3, 2023.</w:t>
            </w:r>
          </w:p>
        </w:tc>
      </w:tr>
      <w:tr>
        <w:trPr/>
        <w:tc>
          <w:tcPr>
            <w:tcW w:w="409" w:type="dxa"/>
            <w:tcBorders/>
            <w:vAlign w:val="center"/>
          </w:tcPr>
          <w:p>
            <w:pPr>
              <w:pStyle w:val="TableContents"/>
              <w:bidi w:val="0"/>
              <w:spacing w:before="0" w:after="283"/>
              <w:jc w:val="both"/>
              <w:rPr>
                <w:sz w:val="20"/>
              </w:rPr>
            </w:pPr>
            <w:r>
              <w:rPr>
                <w:sz w:val="20"/>
              </w:rPr>
              <w:t>(25)</w:t>
            </w:r>
          </w:p>
        </w:tc>
        <w:tc>
          <w:tcPr>
            <w:tcW w:w="9796" w:type="dxa"/>
            <w:tcBorders/>
            <w:vAlign w:val="center"/>
          </w:tcPr>
          <w:p>
            <w:pPr>
              <w:pStyle w:val="TableContents"/>
              <w:bidi w:val="0"/>
              <w:spacing w:before="0" w:after="283"/>
              <w:jc w:val="both"/>
              <w:rPr>
                <w:sz w:val="20"/>
              </w:rPr>
            </w:pPr>
            <w:r>
              <w:rPr>
                <w:sz w:val="20"/>
              </w:rPr>
              <w:t>Incorporated by reference to the Form 8-K Current Report filed with the Securities Exchange Commission on October 26, 2023.</w:t>
            </w:r>
          </w:p>
        </w:tc>
      </w:tr>
      <w:tr>
        <w:trPr/>
        <w:tc>
          <w:tcPr>
            <w:tcW w:w="409" w:type="dxa"/>
            <w:tcBorders/>
            <w:vAlign w:val="center"/>
          </w:tcPr>
          <w:p>
            <w:pPr>
              <w:pStyle w:val="TableContents"/>
              <w:bidi w:val="0"/>
              <w:spacing w:before="0" w:after="283"/>
              <w:jc w:val="both"/>
              <w:rPr>
                <w:sz w:val="20"/>
              </w:rPr>
            </w:pPr>
            <w:r>
              <w:rPr>
                <w:sz w:val="20"/>
              </w:rPr>
              <w:t>(26)</w:t>
            </w:r>
          </w:p>
        </w:tc>
        <w:tc>
          <w:tcPr>
            <w:tcW w:w="9796" w:type="dxa"/>
            <w:tcBorders/>
            <w:vAlign w:val="center"/>
          </w:tcPr>
          <w:p>
            <w:pPr>
              <w:pStyle w:val="TableContents"/>
              <w:bidi w:val="0"/>
              <w:spacing w:before="0" w:after="283"/>
              <w:jc w:val="both"/>
              <w:rPr>
                <w:sz w:val="20"/>
              </w:rPr>
            </w:pPr>
            <w:r>
              <w:rPr>
                <w:sz w:val="20"/>
              </w:rPr>
              <w:t>Incorporated by reference to the Form 10-Q Quarterly Report filed with the Securities Exchange Commission on November 8, 2023.</w:t>
            </w:r>
          </w:p>
        </w:tc>
      </w:tr>
      <w:tr>
        <w:trPr/>
        <w:tc>
          <w:tcPr>
            <w:tcW w:w="409" w:type="dxa"/>
            <w:tcBorders/>
            <w:vAlign w:val="center"/>
          </w:tcPr>
          <w:p>
            <w:pPr>
              <w:pStyle w:val="TableContents"/>
              <w:bidi w:val="0"/>
              <w:spacing w:before="0" w:after="283"/>
              <w:jc w:val="both"/>
              <w:rPr>
                <w:sz w:val="20"/>
              </w:rPr>
            </w:pPr>
            <w:r>
              <w:rPr>
                <w:sz w:val="20"/>
              </w:rPr>
              <w:t>(27)</w:t>
            </w:r>
          </w:p>
        </w:tc>
        <w:tc>
          <w:tcPr>
            <w:tcW w:w="9796" w:type="dxa"/>
            <w:tcBorders/>
            <w:vAlign w:val="center"/>
          </w:tcPr>
          <w:p>
            <w:pPr>
              <w:pStyle w:val="TableContents"/>
              <w:bidi w:val="0"/>
              <w:spacing w:before="0" w:after="283"/>
              <w:jc w:val="both"/>
              <w:rPr>
                <w:sz w:val="20"/>
              </w:rPr>
            </w:pPr>
            <w:r>
              <w:rPr>
                <w:sz w:val="20"/>
              </w:rPr>
              <w:t>Incorporated by reference to the Form 8-K Current Report filed with the Securities Exchange Commission on November 27, 2023.</w:t>
            </w:r>
          </w:p>
        </w:tc>
      </w:tr>
      <w:tr>
        <w:trPr/>
        <w:tc>
          <w:tcPr>
            <w:tcW w:w="409"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c>
          <w:tcPr>
            <w:tcW w:w="9796"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Incorporated by reference to the Form 8-K Current Report filed with the Securities Exchange Commission on December 21, 2023.</w:t>
            </w:r>
          </w:p>
        </w:tc>
      </w:tr>
      <w:tr>
        <w:trPr/>
        <w:tc>
          <w:tcPr>
            <w:tcW w:w="409" w:type="dxa"/>
            <w:tcBorders/>
            <w:vAlign w:val="center"/>
          </w:tcPr>
          <w:p>
            <w:pPr>
              <w:pStyle w:val="TableContents"/>
              <w:bidi w:val="0"/>
              <w:spacing w:before="0" w:after="283"/>
              <w:jc w:val="left"/>
              <w:rPr/>
            </w:pPr>
            <w:r>
              <w:rPr/>
              <w:t>(29)</w:t>
            </w:r>
          </w:p>
        </w:tc>
        <w:tc>
          <w:tcPr>
            <w:tcW w:w="9796" w:type="dxa"/>
            <w:tcBorders/>
            <w:vAlign w:val="center"/>
          </w:tcPr>
          <w:p>
            <w:pPr>
              <w:pStyle w:val="TableContents"/>
              <w:bidi w:val="0"/>
              <w:spacing w:before="0" w:after="283"/>
              <w:jc w:val="left"/>
              <w:rPr/>
            </w:pPr>
            <w:r>
              <w:rPr/>
              <w:t>Incorporated by reference to the Form 8-K Current Report filed with the Securities Exchange Commission on March 26, 2024.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firstLine="648"/>
        <w:jc w:val="left"/>
        <w:rPr>
          <w:caps w:val="false"/>
          <w:smallCaps w:val="false"/>
        </w:rPr>
      </w:pPr>
      <w:r>
        <w:rPr>
          <w:caps w:val="false"/>
          <w:smallCaps w:val="false"/>
        </w:rPr>
        <w:t> </w:t>
      </w:r>
    </w:p>
    <w:tbl>
      <w:tblPr>
        <w:tblW w:w="1055" w:type="dxa"/>
        <w:jc w:val="left"/>
        <w:tblInd w:w="0" w:type="dxa"/>
        <w:tblLayout w:type="fixed"/>
        <w:tblCellMar>
          <w:top w:w="0" w:type="dxa"/>
          <w:left w:w="0" w:type="dxa"/>
          <w:bottom w:w="0" w:type="dxa"/>
          <w:right w:w="0" w:type="dxa"/>
        </w:tblCellMar>
      </w:tblPr>
      <w:tblGrid>
        <w:gridCol w:w="75"/>
        <w:gridCol w:w="980"/>
      </w:tblGrid>
      <w:tr>
        <w:trPr/>
        <w:tc>
          <w:tcPr>
            <w:tcW w:w="75"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left"/>
              <w:rPr>
                <w:b/>
                <w:sz w:val="20"/>
              </w:rPr>
            </w:pPr>
            <w:r>
              <w:rPr>
                <w:b/>
                <w:sz w:val="20"/>
              </w:rPr>
              <w:t>authID Inc.</w:t>
            </w:r>
          </w:p>
        </w:tc>
      </w:tr>
    </w:tbl>
    <w:p>
      <w:pPr>
        <w:pStyle w:val="TextBody"/>
        <w:bidi w:val="0"/>
        <w:spacing w:before="0" w:after="0"/>
        <w:ind w:left="0" w:right="0" w:hanging="0"/>
        <w:jc w:val="left"/>
        <w:rPr>
          <w:caps w:val="false"/>
          <w:smallCaps w:val="false"/>
        </w:rPr>
      </w:pPr>
      <w:r>
        <w:rPr>
          <w:caps w:val="false"/>
          <w:smallCaps w:val="false"/>
        </w:rPr>
        <w:t> </w:t>
      </w:r>
    </w:p>
    <w:tbl>
      <w:tblPr>
        <w:tblW w:w="5730" w:type="dxa"/>
        <w:jc w:val="left"/>
        <w:tblInd w:w="0" w:type="dxa"/>
        <w:tblLayout w:type="fixed"/>
        <w:tblCellMar>
          <w:top w:w="0" w:type="dxa"/>
          <w:left w:w="0" w:type="dxa"/>
          <w:bottom w:w="0" w:type="dxa"/>
          <w:right w:w="0" w:type="dxa"/>
        </w:tblCellMar>
      </w:tblPr>
      <w:tblGrid>
        <w:gridCol w:w="1760"/>
        <w:gridCol w:w="320"/>
        <w:gridCol w:w="3650"/>
      </w:tblGrid>
      <w:tr>
        <w:trPr/>
        <w:tc>
          <w:tcPr>
            <w:tcW w:w="17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20"/>
              </w:rPr>
            </w:pPr>
            <w:r>
              <w:rPr>
                <w:sz w:val="20"/>
              </w:rPr>
              <w:t>By:</w:t>
            </w:r>
          </w:p>
        </w:tc>
        <w:tc>
          <w:tcPr>
            <w:tcW w:w="3650"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Rhoniel Daguro</w:t>
            </w:r>
          </w:p>
        </w:tc>
      </w:tr>
      <w:tr>
        <w:trPr/>
        <w:tc>
          <w:tcPr>
            <w:tcW w:w="17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650" w:type="dxa"/>
            <w:tcBorders/>
            <w:vAlign w:val="center"/>
          </w:tcPr>
          <w:p>
            <w:pPr>
              <w:pStyle w:val="TableContents"/>
              <w:bidi w:val="0"/>
              <w:spacing w:before="0" w:after="283"/>
              <w:jc w:val="left"/>
              <w:rPr>
                <w:sz w:val="20"/>
              </w:rPr>
            </w:pPr>
            <w:r>
              <w:rPr>
                <w:sz w:val="20"/>
              </w:rPr>
              <w:t xml:space="preserve">Rhoniel A. Daguro </w:t>
            </w:r>
          </w:p>
        </w:tc>
      </w:tr>
      <w:tr>
        <w:trPr/>
        <w:tc>
          <w:tcPr>
            <w:tcW w:w="17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650" w:type="dxa"/>
            <w:tcBorders/>
            <w:vAlign w:val="center"/>
          </w:tcPr>
          <w:p>
            <w:pPr>
              <w:pStyle w:val="TableContents"/>
              <w:bidi w:val="0"/>
              <w:spacing w:before="0" w:after="283"/>
              <w:jc w:val="left"/>
              <w:rPr>
                <w:sz w:val="20"/>
              </w:rPr>
            </w:pPr>
            <w:r>
              <w:rPr>
                <w:sz w:val="20"/>
              </w:rPr>
              <w:t>Chief Executive Officer</w:t>
            </w:r>
          </w:p>
        </w:tc>
      </w:tr>
      <w:tr>
        <w:trPr/>
        <w:tc>
          <w:tcPr>
            <w:tcW w:w="17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650" w:type="dxa"/>
            <w:tcBorders/>
            <w:vAlign w:val="center"/>
          </w:tcPr>
          <w:p>
            <w:pPr>
              <w:pStyle w:val="TableContents"/>
              <w:bidi w:val="0"/>
              <w:spacing w:before="0" w:after="283"/>
              <w:jc w:val="left"/>
              <w:rPr>
                <w:sz w:val="20"/>
              </w:rPr>
            </w:pPr>
            <w:r>
              <w:rPr>
                <w:sz w:val="20"/>
              </w:rPr>
              <w:t>(Principal Executive Officer)</w:t>
            </w:r>
          </w:p>
        </w:tc>
      </w:tr>
      <w:tr>
        <w:trPr/>
        <w:tc>
          <w:tcPr>
            <w:tcW w:w="17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650" w:type="dxa"/>
            <w:tcBorders/>
            <w:vAlign w:val="center"/>
          </w:tcPr>
          <w:p>
            <w:pPr>
              <w:pStyle w:val="TableContents"/>
              <w:bidi w:val="0"/>
              <w:spacing w:before="0" w:after="283"/>
              <w:jc w:val="left"/>
              <w:rPr/>
            </w:pPr>
            <w:r>
              <w:rPr/>
              <w:t> </w:t>
            </w:r>
          </w:p>
        </w:tc>
      </w:tr>
      <w:tr>
        <w:trPr/>
        <w:tc>
          <w:tcPr>
            <w:tcW w:w="17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20"/>
              </w:rPr>
            </w:pPr>
            <w:r>
              <w:rPr>
                <w:sz w:val="20"/>
              </w:rPr>
              <w:t>By:</w:t>
            </w:r>
          </w:p>
        </w:tc>
        <w:tc>
          <w:tcPr>
            <w:tcW w:w="3650"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Ed Sellitto</w:t>
            </w:r>
          </w:p>
        </w:tc>
      </w:tr>
      <w:tr>
        <w:trPr/>
        <w:tc>
          <w:tcPr>
            <w:tcW w:w="17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650" w:type="dxa"/>
            <w:tcBorders/>
            <w:vAlign w:val="center"/>
          </w:tcPr>
          <w:p>
            <w:pPr>
              <w:pStyle w:val="TableContents"/>
              <w:bidi w:val="0"/>
              <w:spacing w:before="0" w:after="283"/>
              <w:jc w:val="left"/>
              <w:rPr>
                <w:sz w:val="20"/>
              </w:rPr>
            </w:pPr>
            <w:r>
              <w:rPr>
                <w:sz w:val="20"/>
              </w:rPr>
              <w:t>Ed Sellitto</w:t>
            </w:r>
          </w:p>
        </w:tc>
      </w:tr>
      <w:tr>
        <w:trPr/>
        <w:tc>
          <w:tcPr>
            <w:tcW w:w="17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650" w:type="dxa"/>
            <w:tcBorders/>
            <w:vAlign w:val="center"/>
          </w:tcPr>
          <w:p>
            <w:pPr>
              <w:pStyle w:val="TableContents"/>
              <w:bidi w:val="0"/>
              <w:spacing w:before="0" w:after="283"/>
              <w:jc w:val="left"/>
              <w:rPr>
                <w:sz w:val="20"/>
              </w:rPr>
            </w:pPr>
            <w:r>
              <w:rPr>
                <w:sz w:val="20"/>
              </w:rPr>
              <w:t>Chief Financial Officer,</w:t>
            </w:r>
          </w:p>
        </w:tc>
      </w:tr>
      <w:tr>
        <w:trPr/>
        <w:tc>
          <w:tcPr>
            <w:tcW w:w="17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650" w:type="dxa"/>
            <w:tcBorders/>
            <w:vAlign w:val="center"/>
          </w:tcPr>
          <w:p>
            <w:pPr>
              <w:pStyle w:val="TableContents"/>
              <w:bidi w:val="0"/>
              <w:spacing w:before="0" w:after="283"/>
              <w:jc w:val="left"/>
              <w:rPr>
                <w:sz w:val="20"/>
              </w:rPr>
            </w:pPr>
            <w:r>
              <w:rPr>
                <w:sz w:val="20"/>
              </w:rPr>
              <w:t>(Principal Financial and Accounting Officer)</w:t>
            </w:r>
          </w:p>
        </w:tc>
      </w:tr>
      <w:tr>
        <w:trPr/>
        <w:tc>
          <w:tcPr>
            <w:tcW w:w="1760" w:type="dxa"/>
            <w:tcBorders/>
            <w:vAlign w:val="center"/>
          </w:tcPr>
          <w:p>
            <w:pPr>
              <w:pStyle w:val="TableContents"/>
              <w:bidi w:val="0"/>
              <w:spacing w:before="0" w:after="283"/>
              <w:jc w:val="left"/>
              <w:rPr>
                <w:sz w:val="20"/>
              </w:rPr>
            </w:pPr>
            <w:r>
              <w:rPr>
                <w:sz w:val="20"/>
              </w:rPr>
              <w:t>Dated: May 15, 2024</w:t>
            </w:r>
          </w:p>
        </w:tc>
        <w:tc>
          <w:tcPr>
            <w:tcW w:w="320" w:type="dxa"/>
            <w:tcBorders/>
            <w:vAlign w:val="center"/>
          </w:tcPr>
          <w:p>
            <w:pPr>
              <w:pStyle w:val="TableContents"/>
              <w:bidi w:val="0"/>
              <w:spacing w:before="0" w:after="283"/>
              <w:jc w:val="left"/>
              <w:rPr/>
            </w:pPr>
            <w:r>
              <w:rPr/>
              <w:t> </w:t>
            </w:r>
          </w:p>
        </w:tc>
        <w:tc>
          <w:tcPr>
            <w:tcW w:w="365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1" w:name="ea020525801ex31-1_authidinc.htm"/>
      <w:bookmarkStart w:id="22" w:name="ksea020525801ex311_authidinc"/>
      <w:bookmarkEnd w:id="21"/>
      <w:bookmarkEnd w:id="22"/>
      <w:r>
        <w:rPr>
          <w:rFonts w:ascii="Times New Roman;Times;Serif" w:hAnsi="Times New Roman;Times;Serif"/>
          <w:b/>
          <w:i w:val="false"/>
          <w:caps w:val="false"/>
          <w:smallCaps w:val="false"/>
          <w:sz w:val="20"/>
        </w:rPr>
        <w:t>Exhibit 31.1</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PRINCIPAL EXECUTIVE OFFICER</w:t>
        <w:br/>
        <w:t>PURSUANT TO SECTION 302 OF THE</w:t>
        <w:br/>
        <w:t>SARBANES-OXLEY ACT OF 2002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Rhoniel Daguro, Chief Executive Officer certify that:</w:t>
      </w:r>
    </w:p>
    <w:p>
      <w:pPr>
        <w:pStyle w:val="TextBody"/>
        <w:bidi w:val="0"/>
        <w:spacing w:before="0" w:after="0"/>
        <w:ind w:left="0" w:right="0" w:hanging="0"/>
        <w:jc w:val="both"/>
        <w:rPr>
          <w:caps w:val="false"/>
          <w:smallCaps w:val="false"/>
        </w:rPr>
      </w:pPr>
      <w:r>
        <w:rPr>
          <w:caps w:val="false"/>
          <w:smallCaps w:val="false"/>
        </w:rPr>
        <w:t> </w:t>
      </w:r>
    </w:p>
    <w:tbl>
      <w:tblPr>
        <w:tblW w:w="5485" w:type="dxa"/>
        <w:jc w:val="left"/>
        <w:tblInd w:w="0" w:type="dxa"/>
        <w:tblLayout w:type="fixed"/>
        <w:tblCellMar>
          <w:top w:w="0" w:type="dxa"/>
          <w:left w:w="0" w:type="dxa"/>
          <w:bottom w:w="0" w:type="dxa"/>
          <w:right w:w="0" w:type="dxa"/>
        </w:tblCellMar>
      </w:tblPr>
      <w:tblGrid>
        <w:gridCol w:w="185"/>
        <w:gridCol w:w="5300"/>
      </w:tblGrid>
      <w:tr>
        <w:trPr/>
        <w:tc>
          <w:tcPr>
            <w:tcW w:w="185" w:type="dxa"/>
            <w:tcBorders/>
            <w:vAlign w:val="center"/>
          </w:tcPr>
          <w:p>
            <w:pPr>
              <w:pStyle w:val="TableContents"/>
              <w:bidi w:val="0"/>
              <w:spacing w:before="0" w:after="283"/>
              <w:jc w:val="left"/>
              <w:rPr>
                <w:sz w:val="20"/>
              </w:rPr>
            </w:pPr>
            <w:r>
              <w:rPr>
                <w:sz w:val="20"/>
              </w:rPr>
              <w:t>1.</w:t>
            </w:r>
          </w:p>
        </w:tc>
        <w:tc>
          <w:tcPr>
            <w:tcW w:w="5300" w:type="dxa"/>
            <w:tcBorders/>
            <w:vAlign w:val="center"/>
          </w:tcPr>
          <w:p>
            <w:pPr>
              <w:pStyle w:val="TableContents"/>
              <w:bidi w:val="0"/>
              <w:spacing w:before="0" w:after="283"/>
              <w:jc w:val="both"/>
              <w:rPr>
                <w:sz w:val="20"/>
              </w:rPr>
            </w:pPr>
            <w:r>
              <w:rPr>
                <w:sz w:val="20"/>
              </w:rPr>
              <w:t>I have reviewed this quarterly report on Form 10-Q of authID Inc;</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7"/>
        <w:gridCol w:w="10048"/>
      </w:tblGrid>
      <w:tr>
        <w:trPr/>
        <w:tc>
          <w:tcPr>
            <w:tcW w:w="157" w:type="dxa"/>
            <w:tcBorders/>
            <w:vAlign w:val="center"/>
          </w:tcPr>
          <w:p>
            <w:pPr>
              <w:pStyle w:val="TableContents"/>
              <w:bidi w:val="0"/>
              <w:spacing w:before="0" w:after="283"/>
              <w:jc w:val="left"/>
              <w:rPr>
                <w:sz w:val="20"/>
              </w:rPr>
            </w:pPr>
            <w:r>
              <w:rPr>
                <w:sz w:val="20"/>
              </w:rPr>
              <w:t>2.</w:t>
            </w:r>
          </w:p>
        </w:tc>
        <w:tc>
          <w:tcPr>
            <w:tcW w:w="10048" w:type="dxa"/>
            <w:tcBorders/>
            <w:vAlign w:val="center"/>
          </w:tcPr>
          <w:p>
            <w:pPr>
              <w:pStyle w:val="TableContents"/>
              <w:bidi w:val="0"/>
              <w:spacing w:before="0" w:after="283"/>
              <w:jc w:val="both"/>
              <w:rPr>
                <w:sz w:val="20"/>
              </w:rPr>
            </w:pPr>
            <w:r>
              <w:rPr>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9"/>
        <w:gridCol w:w="10046"/>
      </w:tblGrid>
      <w:tr>
        <w:trPr/>
        <w:tc>
          <w:tcPr>
            <w:tcW w:w="159" w:type="dxa"/>
            <w:tcBorders/>
            <w:vAlign w:val="center"/>
          </w:tcPr>
          <w:p>
            <w:pPr>
              <w:pStyle w:val="TableContents"/>
              <w:bidi w:val="0"/>
              <w:spacing w:before="0" w:after="283"/>
              <w:jc w:val="left"/>
              <w:rPr>
                <w:sz w:val="20"/>
              </w:rPr>
            </w:pPr>
            <w:r>
              <w:rPr>
                <w:sz w:val="20"/>
              </w:rPr>
              <w:t>3.</w:t>
            </w:r>
          </w:p>
        </w:tc>
        <w:tc>
          <w:tcPr>
            <w:tcW w:w="10046" w:type="dxa"/>
            <w:tcBorders/>
            <w:vAlign w:val="center"/>
          </w:tcPr>
          <w:p>
            <w:pPr>
              <w:pStyle w:val="TableContents"/>
              <w:bidi w:val="0"/>
              <w:spacing w:before="0" w:after="283"/>
              <w:jc w:val="both"/>
              <w:rPr>
                <w:sz w:val="20"/>
              </w:rPr>
            </w:pPr>
            <w:r>
              <w:rPr>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6"/>
        <w:gridCol w:w="10049"/>
      </w:tblGrid>
      <w:tr>
        <w:trPr/>
        <w:tc>
          <w:tcPr>
            <w:tcW w:w="156" w:type="dxa"/>
            <w:tcBorders/>
            <w:vAlign w:val="center"/>
          </w:tcPr>
          <w:p>
            <w:pPr>
              <w:pStyle w:val="TableContents"/>
              <w:bidi w:val="0"/>
              <w:spacing w:before="0" w:after="283"/>
              <w:jc w:val="left"/>
              <w:rPr>
                <w:sz w:val="20"/>
              </w:rPr>
            </w:pPr>
            <w:r>
              <w:rPr>
                <w:sz w:val="20"/>
              </w:rPr>
              <w:t>4.</w:t>
            </w:r>
          </w:p>
        </w:tc>
        <w:tc>
          <w:tcPr>
            <w:tcW w:w="10049" w:type="dxa"/>
            <w:tcBorders/>
            <w:vAlign w:val="center"/>
          </w:tcPr>
          <w:p>
            <w:pPr>
              <w:pStyle w:val="TableContents"/>
              <w:bidi w:val="0"/>
              <w:spacing w:before="0" w:after="283"/>
              <w:jc w:val="both"/>
              <w:rPr>
                <w:sz w:val="20"/>
              </w:rPr>
            </w:pPr>
            <w:r>
              <w:rPr>
                <w:sz w:val="20"/>
              </w:rPr>
              <w:t>The registrant’s other certifying officers and I are responsible for establishing and maintaining disclosure controls and procedures (as defined in Exchange Act Rules 13a-15(e) and 15d-15(e)) and internal controls over financial reporting (as defined in Exchange Act Rules 13a-15(f) and 15d-15(f)) for the registrant) and have: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9"/>
        <w:gridCol w:w="10001"/>
      </w:tblGrid>
      <w:tr>
        <w:trPr/>
        <w:tc>
          <w:tcPr>
            <w:tcW w:w="75"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sz w:val="20"/>
              </w:rPr>
            </w:pPr>
            <w:r>
              <w:rPr>
                <w:sz w:val="20"/>
              </w:rPr>
              <w:t>a)</w:t>
            </w:r>
          </w:p>
        </w:tc>
        <w:tc>
          <w:tcPr>
            <w:tcW w:w="10001" w:type="dxa"/>
            <w:tcBorders/>
            <w:vAlign w:val="center"/>
          </w:tcPr>
          <w:p>
            <w:pPr>
              <w:pStyle w:val="TableContents"/>
              <w:bidi w:val="0"/>
              <w:spacing w:before="0" w:after="283"/>
              <w:jc w:val="both"/>
              <w:rPr>
                <w:sz w:val="20"/>
              </w:rPr>
            </w:pPr>
            <w:r>
              <w:rPr>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4"/>
        <w:gridCol w:w="9986"/>
      </w:tblGrid>
      <w:tr>
        <w:trPr/>
        <w:tc>
          <w:tcPr>
            <w:tcW w:w="75"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sz w:val="20"/>
              </w:rPr>
            </w:pPr>
            <w:r>
              <w:rPr>
                <w:sz w:val="20"/>
              </w:rPr>
              <w:t>b)</w:t>
            </w:r>
          </w:p>
        </w:tc>
        <w:tc>
          <w:tcPr>
            <w:tcW w:w="9986" w:type="dxa"/>
            <w:tcBorders/>
            <w:vAlign w:val="center"/>
          </w:tcPr>
          <w:p>
            <w:pPr>
              <w:pStyle w:val="TableContents"/>
              <w:bidi w:val="0"/>
              <w:spacing w:before="0" w:after="283"/>
              <w:jc w:val="both"/>
              <w:rPr>
                <w:sz w:val="20"/>
              </w:rPr>
            </w:pPr>
            <w:r>
              <w:rPr>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5"/>
        <w:gridCol w:w="9995"/>
      </w:tblGrid>
      <w:tr>
        <w:trPr/>
        <w:tc>
          <w:tcPr>
            <w:tcW w:w="7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sz w:val="20"/>
              </w:rPr>
            </w:pPr>
            <w:r>
              <w:rPr>
                <w:sz w:val="20"/>
              </w:rPr>
              <w:t>c)</w:t>
            </w:r>
          </w:p>
        </w:tc>
        <w:tc>
          <w:tcPr>
            <w:tcW w:w="9995" w:type="dxa"/>
            <w:tcBorders/>
            <w:vAlign w:val="center"/>
          </w:tcPr>
          <w:p>
            <w:pPr>
              <w:pStyle w:val="TableContents"/>
              <w:bidi w:val="0"/>
              <w:spacing w:before="0" w:after="283"/>
              <w:jc w:val="both"/>
              <w:rPr>
                <w:sz w:val="20"/>
              </w:rPr>
            </w:pPr>
            <w:r>
              <w:rPr>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9"/>
        <w:gridCol w:w="9981"/>
      </w:tblGrid>
      <w:tr>
        <w:trPr/>
        <w:tc>
          <w:tcPr>
            <w:tcW w:w="75"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sz w:val="20"/>
              </w:rPr>
            </w:pPr>
            <w:r>
              <w:rPr>
                <w:sz w:val="20"/>
              </w:rPr>
              <w:t>d)</w:t>
            </w:r>
          </w:p>
        </w:tc>
        <w:tc>
          <w:tcPr>
            <w:tcW w:w="9981" w:type="dxa"/>
            <w:tcBorders/>
            <w:vAlign w:val="center"/>
          </w:tcPr>
          <w:p>
            <w:pPr>
              <w:pStyle w:val="TableContents"/>
              <w:bidi w:val="0"/>
              <w:spacing w:before="0" w:after="283"/>
              <w:jc w:val="both"/>
              <w:rPr>
                <w:sz w:val="20"/>
              </w:rPr>
            </w:pPr>
            <w:r>
              <w:rPr>
                <w:sz w:val="20"/>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tc>
      </w:tr>
    </w:tbl>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9"/>
        <w:gridCol w:w="10046"/>
      </w:tblGrid>
      <w:tr>
        <w:trPr/>
        <w:tc>
          <w:tcPr>
            <w:tcW w:w="159" w:type="dxa"/>
            <w:tcBorders/>
            <w:vAlign w:val="center"/>
          </w:tcPr>
          <w:p>
            <w:pPr>
              <w:pStyle w:val="TableContents"/>
              <w:bidi w:val="0"/>
              <w:spacing w:before="0" w:after="283"/>
              <w:jc w:val="left"/>
              <w:rPr>
                <w:sz w:val="20"/>
              </w:rPr>
            </w:pPr>
            <w:r>
              <w:rPr>
                <w:sz w:val="20"/>
              </w:rPr>
              <w:t>5.</w:t>
            </w:r>
          </w:p>
        </w:tc>
        <w:tc>
          <w:tcPr>
            <w:tcW w:w="10046" w:type="dxa"/>
            <w:tcBorders/>
            <w:vAlign w:val="center"/>
          </w:tcPr>
          <w:p>
            <w:pPr>
              <w:pStyle w:val="TableContents"/>
              <w:bidi w:val="0"/>
              <w:spacing w:before="0" w:after="283"/>
              <w:jc w:val="both"/>
              <w:rPr>
                <w:sz w:val="20"/>
              </w:rPr>
            </w:pPr>
            <w:r>
              <w:rPr>
                <w:sz w:val="20"/>
              </w:rPr>
              <w:t>The registrant’s other certifying officer and I have disclosed, based on our most recent evaluation of internal controls over financial reporting, to the registrant’s auditors and the audit committee of registrant’s board of directors (or persons performing the equivalent function):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6"/>
        <w:gridCol w:w="9994"/>
      </w:tblGrid>
      <w:tr>
        <w:trPr/>
        <w:tc>
          <w:tcPr>
            <w:tcW w:w="75"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sz w:val="20"/>
              </w:rPr>
            </w:pPr>
            <w:r>
              <w:rPr>
                <w:sz w:val="20"/>
              </w:rPr>
              <w:t>a)</w:t>
            </w:r>
          </w:p>
        </w:tc>
        <w:tc>
          <w:tcPr>
            <w:tcW w:w="9994" w:type="dxa"/>
            <w:tcBorders/>
            <w:vAlign w:val="center"/>
          </w:tcPr>
          <w:p>
            <w:pPr>
              <w:pStyle w:val="TableContents"/>
              <w:bidi w:val="0"/>
              <w:spacing w:before="0" w:after="283"/>
              <w:jc w:val="both"/>
              <w:rPr>
                <w:sz w:val="20"/>
              </w:rPr>
            </w:pPr>
            <w:r>
              <w:rPr>
                <w:sz w:val="20"/>
              </w:rPr>
              <w:t>All significant deficiencies and material weaknesses in the design or operation of internal controls over financial reporting which are reasonably likely to adversely affect the registrant’s ability to record, process, summarize and report financial data information; and</w:t>
            </w:r>
          </w:p>
        </w:tc>
      </w:tr>
    </w:tbl>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67"/>
        <w:gridCol w:w="9963"/>
      </w:tblGrid>
      <w:tr>
        <w:trPr/>
        <w:tc>
          <w:tcPr>
            <w:tcW w:w="75"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sz w:val="20"/>
              </w:rPr>
            </w:pPr>
            <w:r>
              <w:rPr>
                <w:sz w:val="20"/>
              </w:rPr>
              <w:t>b)</w:t>
            </w:r>
          </w:p>
        </w:tc>
        <w:tc>
          <w:tcPr>
            <w:tcW w:w="9963" w:type="dxa"/>
            <w:tcBorders/>
            <w:vAlign w:val="center"/>
          </w:tcPr>
          <w:p>
            <w:pPr>
              <w:pStyle w:val="TableContents"/>
              <w:bidi w:val="0"/>
              <w:spacing w:before="0" w:after="283"/>
              <w:jc w:val="both"/>
              <w:rPr>
                <w:sz w:val="20"/>
              </w:rPr>
            </w:pPr>
            <w:r>
              <w:rPr>
                <w:sz w:val="20"/>
              </w:rPr>
              <w:t>Any fraud, whether or not material, that involves management or other employees who have a significant role in the registrant’s internal controls over financial reporting.</w:t>
            </w:r>
          </w:p>
        </w:tc>
      </w:tr>
    </w:tbl>
    <w:p>
      <w:pPr>
        <w:pStyle w:val="TextBody"/>
        <w:bidi w:val="0"/>
        <w:spacing w:before="0" w:after="0"/>
        <w:ind w:left="360" w:right="0" w:hanging="0"/>
        <w:jc w:val="both"/>
        <w:rPr>
          <w:caps w:val="false"/>
          <w:smallCaps w:val="false"/>
        </w:rPr>
      </w:pPr>
      <w:r>
        <w:rPr>
          <w:caps w:val="false"/>
          <w:smallCaps w:val="false"/>
        </w:rPr>
        <w:t> </w:t>
      </w:r>
    </w:p>
    <w:tbl>
      <w:tblPr>
        <w:tblW w:w="4015" w:type="dxa"/>
        <w:jc w:val="left"/>
        <w:tblInd w:w="0" w:type="dxa"/>
        <w:tblLayout w:type="fixed"/>
        <w:tblCellMar>
          <w:top w:w="0" w:type="dxa"/>
          <w:left w:w="0" w:type="dxa"/>
          <w:bottom w:w="0" w:type="dxa"/>
          <w:right w:w="0" w:type="dxa"/>
        </w:tblCellMar>
      </w:tblPr>
      <w:tblGrid>
        <w:gridCol w:w="1655"/>
        <w:gridCol w:w="2360"/>
      </w:tblGrid>
      <w:tr>
        <w:trPr/>
        <w:tc>
          <w:tcPr>
            <w:tcW w:w="1655" w:type="dxa"/>
            <w:tcBorders/>
            <w:shd w:fill="FFFFFF" w:val="clear"/>
            <w:vAlign w:val="center"/>
          </w:tcPr>
          <w:p>
            <w:pPr>
              <w:pStyle w:val="TableContents"/>
              <w:bidi w:val="0"/>
              <w:spacing w:before="0" w:after="283"/>
              <w:jc w:val="left"/>
              <w:rPr>
                <w:sz w:val="20"/>
              </w:rPr>
            </w:pPr>
            <w:r>
              <w:rPr>
                <w:sz w:val="20"/>
              </w:rPr>
              <w:t>Date: May 15, 2024</w:t>
            </w:r>
          </w:p>
        </w:tc>
        <w:tc>
          <w:tcPr>
            <w:tcW w:w="2360" w:type="dxa"/>
            <w:tcBorders>
              <w:bottom w:val="single" w:sz="12" w:space="0" w:color="000000"/>
            </w:tcBorders>
            <w:shd w:fill="FFFFFF" w:val="clear"/>
            <w:tcMar>
              <w:bottom w:w="28" w:type="dxa"/>
            </w:tcMar>
            <w:vAlign w:val="center"/>
          </w:tcPr>
          <w:p>
            <w:pPr>
              <w:pStyle w:val="TableContents"/>
              <w:bidi w:val="0"/>
              <w:spacing w:before="0" w:after="283"/>
              <w:jc w:val="left"/>
              <w:rPr>
                <w:sz w:val="20"/>
              </w:rPr>
            </w:pPr>
            <w:r>
              <w:rPr>
                <w:sz w:val="20"/>
              </w:rPr>
              <w:t>/s/ Rhoniel Daguro</w:t>
            </w:r>
          </w:p>
        </w:tc>
      </w:tr>
      <w:tr>
        <w:trPr/>
        <w:tc>
          <w:tcPr>
            <w:tcW w:w="1655"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left"/>
              <w:rPr>
                <w:sz w:val="20"/>
              </w:rPr>
            </w:pPr>
            <w:r>
              <w:rPr>
                <w:sz w:val="20"/>
              </w:rPr>
              <w:t>Rhoniel Daguro</w:t>
            </w:r>
          </w:p>
        </w:tc>
      </w:tr>
      <w:tr>
        <w:trPr/>
        <w:tc>
          <w:tcPr>
            <w:tcW w:w="1655"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r>
    </w:tbl>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3" w:name="ea020525801ex31-2_authidinc.htm"/>
      <w:bookmarkStart w:id="24" w:name="ksea020525801ex312_authidinc"/>
      <w:bookmarkEnd w:id="23"/>
      <w:bookmarkEnd w:id="24"/>
      <w:r>
        <w:rPr>
          <w:rFonts w:ascii="Times New Roman;Times;Serif" w:hAnsi="Times New Roman;Times;Serif"/>
          <w:b/>
          <w:i w:val="false"/>
          <w:caps w:val="false"/>
          <w:smallCaps w:val="false"/>
          <w:sz w:val="20"/>
        </w:rPr>
        <w:t>Exhibit 31.2</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PRINCIPAL FINANCIAL AND ACCOUNTING OFFICER</w:t>
        <w:br/>
        <w:t>PURSUANT TO SECTION 302 OF THE</w:t>
        <w:br/>
        <w:t>SARBANES-OXLEY ACT OF 2002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Edward Sellitto Chief Financial Officer, certify that:</w:t>
      </w:r>
    </w:p>
    <w:p>
      <w:pPr>
        <w:pStyle w:val="TextBody"/>
        <w:bidi w:val="0"/>
        <w:spacing w:before="0" w:after="0"/>
        <w:ind w:left="0" w:right="0" w:hanging="0"/>
        <w:jc w:val="both"/>
        <w:rPr>
          <w:caps w:val="false"/>
          <w:smallCaps w:val="false"/>
        </w:rPr>
      </w:pPr>
      <w:r>
        <w:rPr>
          <w:caps w:val="false"/>
          <w:smallCaps w:val="false"/>
        </w:rPr>
        <w:t> </w:t>
      </w:r>
    </w:p>
    <w:tbl>
      <w:tblPr>
        <w:tblW w:w="5530" w:type="dxa"/>
        <w:jc w:val="left"/>
        <w:tblInd w:w="0" w:type="dxa"/>
        <w:tblLayout w:type="fixed"/>
        <w:tblCellMar>
          <w:top w:w="0" w:type="dxa"/>
          <w:left w:w="0" w:type="dxa"/>
          <w:bottom w:w="0" w:type="dxa"/>
          <w:right w:w="0" w:type="dxa"/>
        </w:tblCellMar>
      </w:tblPr>
      <w:tblGrid>
        <w:gridCol w:w="185"/>
        <w:gridCol w:w="5345"/>
      </w:tblGrid>
      <w:tr>
        <w:trPr/>
        <w:tc>
          <w:tcPr>
            <w:tcW w:w="185" w:type="dxa"/>
            <w:tcBorders/>
            <w:vAlign w:val="center"/>
          </w:tcPr>
          <w:p>
            <w:pPr>
              <w:pStyle w:val="TableContents"/>
              <w:bidi w:val="0"/>
              <w:spacing w:before="0" w:after="283"/>
              <w:jc w:val="left"/>
              <w:rPr>
                <w:sz w:val="20"/>
              </w:rPr>
            </w:pPr>
            <w:r>
              <w:rPr>
                <w:sz w:val="20"/>
              </w:rPr>
              <w:t>1.</w:t>
            </w:r>
          </w:p>
        </w:tc>
        <w:tc>
          <w:tcPr>
            <w:tcW w:w="5345" w:type="dxa"/>
            <w:tcBorders/>
            <w:vAlign w:val="center"/>
          </w:tcPr>
          <w:p>
            <w:pPr>
              <w:pStyle w:val="TableContents"/>
              <w:bidi w:val="0"/>
              <w:spacing w:before="0" w:after="283"/>
              <w:jc w:val="both"/>
              <w:rPr>
                <w:sz w:val="20"/>
              </w:rPr>
            </w:pPr>
            <w:r>
              <w:rPr>
                <w:sz w:val="20"/>
              </w:rPr>
              <w:t>I have reviewed this quarterly report on Form 10-Q of authID Inc.;</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7"/>
        <w:gridCol w:w="10048"/>
      </w:tblGrid>
      <w:tr>
        <w:trPr/>
        <w:tc>
          <w:tcPr>
            <w:tcW w:w="157" w:type="dxa"/>
            <w:tcBorders/>
            <w:vAlign w:val="center"/>
          </w:tcPr>
          <w:p>
            <w:pPr>
              <w:pStyle w:val="TableContents"/>
              <w:bidi w:val="0"/>
              <w:spacing w:before="0" w:after="283"/>
              <w:jc w:val="left"/>
              <w:rPr>
                <w:sz w:val="20"/>
              </w:rPr>
            </w:pPr>
            <w:r>
              <w:rPr>
                <w:sz w:val="20"/>
              </w:rPr>
              <w:t>2.</w:t>
            </w:r>
          </w:p>
        </w:tc>
        <w:tc>
          <w:tcPr>
            <w:tcW w:w="10048" w:type="dxa"/>
            <w:tcBorders/>
            <w:vAlign w:val="center"/>
          </w:tcPr>
          <w:p>
            <w:pPr>
              <w:pStyle w:val="TableContents"/>
              <w:bidi w:val="0"/>
              <w:spacing w:before="0" w:after="283"/>
              <w:jc w:val="both"/>
              <w:rPr>
                <w:sz w:val="20"/>
              </w:rPr>
            </w:pPr>
            <w:r>
              <w:rPr>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9"/>
        <w:gridCol w:w="10046"/>
      </w:tblGrid>
      <w:tr>
        <w:trPr/>
        <w:tc>
          <w:tcPr>
            <w:tcW w:w="159" w:type="dxa"/>
            <w:tcBorders/>
            <w:vAlign w:val="center"/>
          </w:tcPr>
          <w:p>
            <w:pPr>
              <w:pStyle w:val="TableContents"/>
              <w:bidi w:val="0"/>
              <w:spacing w:before="0" w:after="283"/>
              <w:jc w:val="left"/>
              <w:rPr>
                <w:sz w:val="20"/>
              </w:rPr>
            </w:pPr>
            <w:r>
              <w:rPr>
                <w:sz w:val="20"/>
              </w:rPr>
              <w:t>3.</w:t>
            </w:r>
          </w:p>
        </w:tc>
        <w:tc>
          <w:tcPr>
            <w:tcW w:w="10046" w:type="dxa"/>
            <w:tcBorders/>
            <w:vAlign w:val="center"/>
          </w:tcPr>
          <w:p>
            <w:pPr>
              <w:pStyle w:val="TableContents"/>
              <w:bidi w:val="0"/>
              <w:spacing w:before="0" w:after="283"/>
              <w:jc w:val="both"/>
              <w:rPr>
                <w:sz w:val="20"/>
              </w:rPr>
            </w:pPr>
            <w:r>
              <w:rPr>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6"/>
        <w:gridCol w:w="10049"/>
      </w:tblGrid>
      <w:tr>
        <w:trPr/>
        <w:tc>
          <w:tcPr>
            <w:tcW w:w="156" w:type="dxa"/>
            <w:tcBorders/>
            <w:vAlign w:val="center"/>
          </w:tcPr>
          <w:p>
            <w:pPr>
              <w:pStyle w:val="TableContents"/>
              <w:bidi w:val="0"/>
              <w:spacing w:before="0" w:after="283"/>
              <w:jc w:val="left"/>
              <w:rPr>
                <w:sz w:val="20"/>
              </w:rPr>
            </w:pPr>
            <w:r>
              <w:rPr>
                <w:sz w:val="20"/>
              </w:rPr>
              <w:t>4.</w:t>
            </w:r>
          </w:p>
        </w:tc>
        <w:tc>
          <w:tcPr>
            <w:tcW w:w="10049" w:type="dxa"/>
            <w:tcBorders/>
            <w:vAlign w:val="center"/>
          </w:tcPr>
          <w:p>
            <w:pPr>
              <w:pStyle w:val="TableContents"/>
              <w:bidi w:val="0"/>
              <w:spacing w:before="0" w:after="283"/>
              <w:jc w:val="both"/>
              <w:rPr>
                <w:sz w:val="20"/>
              </w:rPr>
            </w:pPr>
            <w:r>
              <w:rPr>
                <w:sz w:val="20"/>
              </w:rPr>
              <w:t>The registrant’s other certifying officers and I are responsible for establishing and maintaining disclosure controls and procedures (as defined in Exchange Act Rules 13a-15(e) and 15d-15(e)) and internal controls over financial reporting (as defined in Exchange Act Rules 13a-15(f) and 15d-15(f)) for the registrant) and have: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9"/>
        <w:gridCol w:w="10001"/>
      </w:tblGrid>
      <w:tr>
        <w:trPr/>
        <w:tc>
          <w:tcPr>
            <w:tcW w:w="75"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sz w:val="20"/>
              </w:rPr>
            </w:pPr>
            <w:r>
              <w:rPr>
                <w:sz w:val="20"/>
              </w:rPr>
              <w:t>a)</w:t>
            </w:r>
          </w:p>
        </w:tc>
        <w:tc>
          <w:tcPr>
            <w:tcW w:w="10001" w:type="dxa"/>
            <w:tcBorders/>
            <w:vAlign w:val="center"/>
          </w:tcPr>
          <w:p>
            <w:pPr>
              <w:pStyle w:val="TableContents"/>
              <w:bidi w:val="0"/>
              <w:spacing w:before="0" w:after="283"/>
              <w:jc w:val="both"/>
              <w:rPr>
                <w:sz w:val="20"/>
              </w:rPr>
            </w:pPr>
            <w:r>
              <w:rPr>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4"/>
        <w:gridCol w:w="9986"/>
      </w:tblGrid>
      <w:tr>
        <w:trPr/>
        <w:tc>
          <w:tcPr>
            <w:tcW w:w="75"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sz w:val="20"/>
              </w:rPr>
            </w:pPr>
            <w:r>
              <w:rPr>
                <w:sz w:val="20"/>
              </w:rPr>
              <w:t>b)</w:t>
            </w:r>
          </w:p>
        </w:tc>
        <w:tc>
          <w:tcPr>
            <w:tcW w:w="9986" w:type="dxa"/>
            <w:tcBorders/>
            <w:vAlign w:val="center"/>
          </w:tcPr>
          <w:p>
            <w:pPr>
              <w:pStyle w:val="TableContents"/>
              <w:bidi w:val="0"/>
              <w:spacing w:before="0" w:after="283"/>
              <w:jc w:val="both"/>
              <w:rPr>
                <w:sz w:val="20"/>
              </w:rPr>
            </w:pPr>
            <w:r>
              <w:rPr>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5"/>
        <w:gridCol w:w="9995"/>
      </w:tblGrid>
      <w:tr>
        <w:trPr/>
        <w:tc>
          <w:tcPr>
            <w:tcW w:w="7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sz w:val="20"/>
              </w:rPr>
            </w:pPr>
            <w:r>
              <w:rPr>
                <w:sz w:val="20"/>
              </w:rPr>
              <w:t>c)</w:t>
            </w:r>
          </w:p>
        </w:tc>
        <w:tc>
          <w:tcPr>
            <w:tcW w:w="9995" w:type="dxa"/>
            <w:tcBorders/>
            <w:vAlign w:val="center"/>
          </w:tcPr>
          <w:p>
            <w:pPr>
              <w:pStyle w:val="TableContents"/>
              <w:bidi w:val="0"/>
              <w:spacing w:before="0" w:after="283"/>
              <w:jc w:val="both"/>
              <w:rPr>
                <w:sz w:val="20"/>
              </w:rPr>
            </w:pPr>
            <w:r>
              <w:rPr>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9"/>
        <w:gridCol w:w="9981"/>
      </w:tblGrid>
      <w:tr>
        <w:trPr/>
        <w:tc>
          <w:tcPr>
            <w:tcW w:w="75"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sz w:val="20"/>
              </w:rPr>
            </w:pPr>
            <w:r>
              <w:rPr>
                <w:sz w:val="20"/>
              </w:rPr>
              <w:t>d)</w:t>
            </w:r>
          </w:p>
        </w:tc>
        <w:tc>
          <w:tcPr>
            <w:tcW w:w="9981" w:type="dxa"/>
            <w:tcBorders/>
            <w:vAlign w:val="center"/>
          </w:tcPr>
          <w:p>
            <w:pPr>
              <w:pStyle w:val="TableContents"/>
              <w:bidi w:val="0"/>
              <w:spacing w:before="0" w:after="283"/>
              <w:jc w:val="both"/>
              <w:rPr>
                <w:sz w:val="20"/>
              </w:rPr>
            </w:pPr>
            <w:r>
              <w:rPr>
                <w:sz w:val="20"/>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tc>
      </w:tr>
    </w:tbl>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9"/>
        <w:gridCol w:w="10046"/>
      </w:tblGrid>
      <w:tr>
        <w:trPr/>
        <w:tc>
          <w:tcPr>
            <w:tcW w:w="159" w:type="dxa"/>
            <w:tcBorders/>
            <w:vAlign w:val="center"/>
          </w:tcPr>
          <w:p>
            <w:pPr>
              <w:pStyle w:val="TableContents"/>
              <w:bidi w:val="0"/>
              <w:spacing w:before="0" w:after="283"/>
              <w:jc w:val="left"/>
              <w:rPr>
                <w:sz w:val="20"/>
              </w:rPr>
            </w:pPr>
            <w:r>
              <w:rPr>
                <w:sz w:val="20"/>
              </w:rPr>
              <w:t>5.</w:t>
            </w:r>
          </w:p>
        </w:tc>
        <w:tc>
          <w:tcPr>
            <w:tcW w:w="10046" w:type="dxa"/>
            <w:tcBorders/>
            <w:vAlign w:val="center"/>
          </w:tcPr>
          <w:p>
            <w:pPr>
              <w:pStyle w:val="TableContents"/>
              <w:bidi w:val="0"/>
              <w:spacing w:before="0" w:after="283"/>
              <w:jc w:val="both"/>
              <w:rPr>
                <w:sz w:val="20"/>
              </w:rPr>
            </w:pPr>
            <w:r>
              <w:rPr>
                <w:sz w:val="20"/>
              </w:rPr>
              <w:t>The registrant’s other certifying officer and I have disclosed, based on our most recent evaluation of internal controls over financial reporting, to the registrant’s auditors and the audit committee of registrant’s board of directors (or persons performing the equivalent function):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6"/>
        <w:gridCol w:w="9994"/>
      </w:tblGrid>
      <w:tr>
        <w:trPr/>
        <w:tc>
          <w:tcPr>
            <w:tcW w:w="75"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sz w:val="20"/>
              </w:rPr>
            </w:pPr>
            <w:r>
              <w:rPr>
                <w:sz w:val="20"/>
              </w:rPr>
              <w:t>a)</w:t>
            </w:r>
          </w:p>
        </w:tc>
        <w:tc>
          <w:tcPr>
            <w:tcW w:w="9994" w:type="dxa"/>
            <w:tcBorders/>
            <w:vAlign w:val="center"/>
          </w:tcPr>
          <w:p>
            <w:pPr>
              <w:pStyle w:val="TableContents"/>
              <w:bidi w:val="0"/>
              <w:spacing w:before="0" w:after="283"/>
              <w:jc w:val="both"/>
              <w:rPr>
                <w:sz w:val="20"/>
              </w:rPr>
            </w:pPr>
            <w:r>
              <w:rPr>
                <w:sz w:val="20"/>
              </w:rPr>
              <w:t>All significant deficiencies and material weaknesses in the design or operation of internal controls over financial reporting which are reasonably likely to adversely affect the registrant’s ability to record, process, summarize and report financial data information; and</w:t>
            </w:r>
          </w:p>
        </w:tc>
      </w:tr>
    </w:tbl>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67"/>
        <w:gridCol w:w="9963"/>
      </w:tblGrid>
      <w:tr>
        <w:trPr/>
        <w:tc>
          <w:tcPr>
            <w:tcW w:w="75"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sz w:val="20"/>
              </w:rPr>
            </w:pPr>
            <w:r>
              <w:rPr>
                <w:sz w:val="20"/>
              </w:rPr>
              <w:t>b)</w:t>
            </w:r>
          </w:p>
        </w:tc>
        <w:tc>
          <w:tcPr>
            <w:tcW w:w="9963" w:type="dxa"/>
            <w:tcBorders/>
            <w:vAlign w:val="center"/>
          </w:tcPr>
          <w:p>
            <w:pPr>
              <w:pStyle w:val="TableContents"/>
              <w:bidi w:val="0"/>
              <w:spacing w:before="0" w:after="283"/>
              <w:jc w:val="both"/>
              <w:rPr>
                <w:sz w:val="20"/>
              </w:rPr>
            </w:pPr>
            <w:r>
              <w:rPr>
                <w:sz w:val="20"/>
              </w:rPr>
              <w:t>Any fraud, whether or not material, that involves management or other employees who have a significant role in the registrant’s internal controls over financial reporting.</w:t>
            </w:r>
          </w:p>
        </w:tc>
      </w:tr>
    </w:tbl>
    <w:p>
      <w:pPr>
        <w:pStyle w:val="TextBody"/>
        <w:bidi w:val="0"/>
        <w:spacing w:before="0" w:after="0"/>
        <w:ind w:left="0" w:right="0" w:hanging="0"/>
        <w:jc w:val="left"/>
        <w:rPr>
          <w:caps w:val="false"/>
          <w:smallCaps w:val="false"/>
        </w:rPr>
      </w:pPr>
      <w:r>
        <w:rPr>
          <w:caps w:val="false"/>
          <w:smallCaps w:val="false"/>
        </w:rPr>
        <w:t> </w:t>
      </w:r>
    </w:p>
    <w:tbl>
      <w:tblPr>
        <w:tblW w:w="5305" w:type="dxa"/>
        <w:jc w:val="left"/>
        <w:tblInd w:w="0" w:type="dxa"/>
        <w:tblLayout w:type="fixed"/>
        <w:tblCellMar>
          <w:top w:w="0" w:type="dxa"/>
          <w:left w:w="0" w:type="dxa"/>
          <w:bottom w:w="0" w:type="dxa"/>
          <w:right w:w="0" w:type="dxa"/>
        </w:tblCellMar>
      </w:tblPr>
      <w:tblGrid>
        <w:gridCol w:w="1655"/>
        <w:gridCol w:w="3650"/>
      </w:tblGrid>
      <w:tr>
        <w:trPr/>
        <w:tc>
          <w:tcPr>
            <w:tcW w:w="1655" w:type="dxa"/>
            <w:tcBorders/>
            <w:shd w:fill="FFFFFF" w:val="clear"/>
            <w:vAlign w:val="center"/>
          </w:tcPr>
          <w:p>
            <w:pPr>
              <w:pStyle w:val="TableContents"/>
              <w:bidi w:val="0"/>
              <w:spacing w:before="0" w:after="283"/>
              <w:jc w:val="left"/>
              <w:rPr>
                <w:sz w:val="20"/>
              </w:rPr>
            </w:pPr>
            <w:r>
              <w:rPr>
                <w:sz w:val="20"/>
              </w:rPr>
              <w:t>Date: May 15, 2024</w:t>
            </w:r>
          </w:p>
        </w:tc>
        <w:tc>
          <w:tcPr>
            <w:tcW w:w="3650" w:type="dxa"/>
            <w:tcBorders>
              <w:bottom w:val="single" w:sz="12" w:space="0" w:color="000000"/>
            </w:tcBorders>
            <w:shd w:fill="FFFFFF" w:val="clear"/>
            <w:tcMar>
              <w:bottom w:w="28" w:type="dxa"/>
            </w:tcMar>
            <w:vAlign w:val="center"/>
          </w:tcPr>
          <w:p>
            <w:pPr>
              <w:pStyle w:val="TableContents"/>
              <w:bidi w:val="0"/>
              <w:spacing w:before="0" w:after="283"/>
              <w:jc w:val="left"/>
              <w:rPr>
                <w:sz w:val="20"/>
              </w:rPr>
            </w:pPr>
            <w:r>
              <w:rPr>
                <w:sz w:val="20"/>
              </w:rPr>
              <w:t>/s/ Ed Sellitto</w:t>
            </w:r>
          </w:p>
        </w:tc>
      </w:tr>
      <w:tr>
        <w:trPr/>
        <w:tc>
          <w:tcPr>
            <w:tcW w:w="1655" w:type="dxa"/>
            <w:tcBorders/>
            <w:vAlign w:val="center"/>
          </w:tcPr>
          <w:p>
            <w:pPr>
              <w:pStyle w:val="TableContents"/>
              <w:bidi w:val="0"/>
              <w:spacing w:before="0" w:after="283"/>
              <w:jc w:val="left"/>
              <w:rPr/>
            </w:pPr>
            <w:r>
              <w:rPr/>
              <w:t> </w:t>
            </w:r>
          </w:p>
        </w:tc>
        <w:tc>
          <w:tcPr>
            <w:tcW w:w="3650" w:type="dxa"/>
            <w:tcBorders/>
            <w:vAlign w:val="center"/>
          </w:tcPr>
          <w:p>
            <w:pPr>
              <w:pStyle w:val="TableContents"/>
              <w:bidi w:val="0"/>
              <w:spacing w:before="0" w:after="283"/>
              <w:jc w:val="left"/>
              <w:rPr>
                <w:sz w:val="20"/>
              </w:rPr>
            </w:pPr>
            <w:r>
              <w:rPr>
                <w:sz w:val="20"/>
              </w:rPr>
              <w:t>Ed Sellitto</w:t>
            </w:r>
          </w:p>
        </w:tc>
      </w:tr>
      <w:tr>
        <w:trPr/>
        <w:tc>
          <w:tcPr>
            <w:tcW w:w="1655" w:type="dxa"/>
            <w:tcBorders/>
            <w:vAlign w:val="center"/>
          </w:tcPr>
          <w:p>
            <w:pPr>
              <w:pStyle w:val="TableContents"/>
              <w:bidi w:val="0"/>
              <w:spacing w:before="0" w:after="283"/>
              <w:jc w:val="left"/>
              <w:rPr/>
            </w:pPr>
            <w:r>
              <w:rPr/>
              <w:t> </w:t>
            </w:r>
          </w:p>
        </w:tc>
        <w:tc>
          <w:tcPr>
            <w:tcW w:w="365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and Accounting Officer)</w:t>
            </w:r>
          </w:p>
        </w:tc>
      </w:tr>
    </w:tbl>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5" w:name="ea020525801ex32-1_authidinc.htm"/>
      <w:bookmarkStart w:id="26" w:name="ksea020525801ex321_authidinc"/>
      <w:bookmarkEnd w:id="25"/>
      <w:bookmarkEnd w:id="26"/>
      <w:r>
        <w:rPr>
          <w:rFonts w:ascii="Times New Roman;Times;Serif" w:hAnsi="Times New Roman;Times;Serif"/>
          <w:b/>
          <w:i w:val="false"/>
          <w:caps w:val="false"/>
          <w:smallCaps w:val="false"/>
          <w:sz w:val="20"/>
        </w:rPr>
        <w:t>Exhibit 32.1</w:t>
      </w:r>
      <w:r>
        <w:br w:type="page"/>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PURSUANT TO 18 U.S.C. SECTION 1350,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 SECTION 906 OF THE SARBANES-OXLEY ACT OF 2002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Quarterly Report of authID Inc. (the “Company”) on Form 10-Q for the quarter ended March 31, 2024 as filed with the Securities and Exchange Commission (the “Report”), I, Rhoniel Daguro, Chief Executive Officer of the Company, and, Edward Sellitto, Chief Financial Officer of the Company, certify, pursuant to 18 U.S.C. SS. 1350, as adopted pursuant to SS. 906 of the Sarbanes-Oxley Act of 2002, that:</w:t>
      </w:r>
    </w:p>
    <w:p>
      <w:pPr>
        <w:pStyle w:val="TextBody"/>
        <w:bidi w:val="0"/>
        <w:spacing w:before="0" w:after="0"/>
        <w:ind w:left="0" w:right="0" w:hanging="0"/>
        <w:jc w:val="both"/>
        <w:rPr>
          <w:caps w:val="false"/>
          <w:smallCaps w:val="false"/>
        </w:rPr>
      </w:pPr>
      <w:r>
        <w:rPr>
          <w:caps w:val="false"/>
          <w:smallCaps w:val="false"/>
        </w:rPr>
        <w:t> </w:t>
      </w:r>
    </w:p>
    <w:tbl>
      <w:tblPr>
        <w:tblW w:w="9850" w:type="dxa"/>
        <w:jc w:val="left"/>
        <w:tblInd w:w="0" w:type="dxa"/>
        <w:tblLayout w:type="fixed"/>
        <w:tblCellMar>
          <w:top w:w="0" w:type="dxa"/>
          <w:left w:w="0" w:type="dxa"/>
          <w:bottom w:w="0" w:type="dxa"/>
          <w:right w:w="0" w:type="dxa"/>
        </w:tblCellMar>
      </w:tblPr>
      <w:tblGrid>
        <w:gridCol w:w="75"/>
        <w:gridCol w:w="170"/>
        <w:gridCol w:w="96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20"/>
              </w:rPr>
            </w:pPr>
            <w:r>
              <w:rPr>
                <w:sz w:val="20"/>
              </w:rPr>
              <w:t>1.</w:t>
            </w:r>
          </w:p>
        </w:tc>
        <w:tc>
          <w:tcPr>
            <w:tcW w:w="9605" w:type="dxa"/>
            <w:tcBorders/>
            <w:vAlign w:val="center"/>
          </w:tcPr>
          <w:p>
            <w:pPr>
              <w:pStyle w:val="TableContents"/>
              <w:bidi w:val="0"/>
              <w:spacing w:before="0" w:after="283"/>
              <w:jc w:val="both"/>
              <w:rPr>
                <w:sz w:val="20"/>
              </w:rPr>
            </w:pPr>
            <w:r>
              <w:rPr>
                <w:sz w:val="20"/>
              </w:rPr>
              <w:t>The Report fully complies with the requirements of Section 13(a) or 15(d) of the Securities Exchange Act of 1934;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62"/>
        <w:gridCol w:w="9968"/>
      </w:tblGrid>
      <w:tr>
        <w:trPr/>
        <w:tc>
          <w:tcPr>
            <w:tcW w:w="75"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sz w:val="20"/>
              </w:rPr>
            </w:pPr>
            <w:r>
              <w:rPr>
                <w:sz w:val="20"/>
              </w:rPr>
              <w:t>2.</w:t>
            </w:r>
          </w:p>
        </w:tc>
        <w:tc>
          <w:tcPr>
            <w:tcW w:w="9968" w:type="dxa"/>
            <w:tcBorders/>
            <w:vAlign w:val="center"/>
          </w:tcPr>
          <w:p>
            <w:pPr>
              <w:pStyle w:val="TableContents"/>
              <w:bidi w:val="0"/>
              <w:spacing w:before="0" w:after="283"/>
              <w:jc w:val="both"/>
              <w:rPr>
                <w:sz w:val="20"/>
              </w:rPr>
            </w:pPr>
            <w:r>
              <w:rPr>
                <w:sz w:val="20"/>
              </w:rPr>
              <w:t>The information contained in the Report fairly presents, in all material respects, the financial condition and result of operations of the Company.</w:t>
            </w:r>
          </w:p>
        </w:tc>
      </w:tr>
    </w:tbl>
    <w:p>
      <w:pPr>
        <w:pStyle w:val="TextBody"/>
        <w:bidi w:val="0"/>
        <w:spacing w:before="0" w:after="0"/>
        <w:ind w:left="0" w:right="0" w:hanging="0"/>
        <w:jc w:val="left"/>
        <w:rPr>
          <w:caps w:val="false"/>
          <w:smallCaps w:val="false"/>
        </w:rPr>
      </w:pPr>
      <w:r>
        <w:rPr>
          <w:caps w:val="false"/>
          <w:smallCaps w:val="false"/>
        </w:rPr>
        <w:t> </w:t>
      </w:r>
    </w:p>
    <w:tbl>
      <w:tblPr>
        <w:tblW w:w="3535" w:type="dxa"/>
        <w:jc w:val="left"/>
        <w:tblInd w:w="0" w:type="dxa"/>
        <w:tblLayout w:type="fixed"/>
        <w:tblCellMar>
          <w:top w:w="0" w:type="dxa"/>
          <w:left w:w="0" w:type="dxa"/>
          <w:bottom w:w="0" w:type="dxa"/>
          <w:right w:w="0" w:type="dxa"/>
        </w:tblCellMar>
      </w:tblPr>
      <w:tblGrid>
        <w:gridCol w:w="1175"/>
        <w:gridCol w:w="2360"/>
      </w:tblGrid>
      <w:tr>
        <w:trPr/>
        <w:tc>
          <w:tcPr>
            <w:tcW w:w="1175" w:type="dxa"/>
            <w:tcBorders/>
            <w:vAlign w:val="center"/>
          </w:tcPr>
          <w:p>
            <w:pPr>
              <w:pStyle w:val="TableContents"/>
              <w:bidi w:val="0"/>
              <w:spacing w:before="0" w:after="283"/>
              <w:jc w:val="left"/>
              <w:rPr>
                <w:sz w:val="20"/>
              </w:rPr>
            </w:pPr>
            <w:r>
              <w:rPr>
                <w:sz w:val="20"/>
              </w:rPr>
              <w:t>May 15, 2024</w:t>
            </w:r>
          </w:p>
        </w:tc>
        <w:tc>
          <w:tcPr>
            <w:tcW w:w="2360"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Rhoniel Daguro</w:t>
            </w:r>
          </w:p>
        </w:tc>
      </w:tr>
      <w:tr>
        <w:trPr/>
        <w:tc>
          <w:tcPr>
            <w:tcW w:w="1175"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Rhoniel Daguro</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r>
        <w:trPr/>
        <w:tc>
          <w:tcPr>
            <w:tcW w:w="1175"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left"/>
              <w:rPr>
                <w:sz w:val="20"/>
              </w:rPr>
            </w:pPr>
            <w:r>
              <w:rPr>
                <w:sz w:val="20"/>
              </w:rPr>
              <w:t>(Principal Executive Officer)</w:t>
            </w:r>
          </w:p>
        </w:tc>
      </w:tr>
    </w:tbl>
    <w:p>
      <w:pPr>
        <w:pStyle w:val="TextBody"/>
        <w:bidi w:val="0"/>
        <w:spacing w:before="0" w:after="0"/>
        <w:ind w:left="0" w:right="0" w:hanging="0"/>
        <w:jc w:val="left"/>
        <w:rPr>
          <w:caps w:val="false"/>
          <w:smallCaps w:val="false"/>
        </w:rPr>
      </w:pPr>
      <w:r>
        <w:rPr>
          <w:caps w:val="false"/>
          <w:smallCaps w:val="false"/>
        </w:rPr>
        <w:t> </w:t>
      </w:r>
    </w:p>
    <w:tbl>
      <w:tblPr>
        <w:tblW w:w="4825" w:type="dxa"/>
        <w:jc w:val="left"/>
        <w:tblInd w:w="0" w:type="dxa"/>
        <w:tblLayout w:type="fixed"/>
        <w:tblCellMar>
          <w:top w:w="0" w:type="dxa"/>
          <w:left w:w="0" w:type="dxa"/>
          <w:bottom w:w="0" w:type="dxa"/>
          <w:right w:w="0" w:type="dxa"/>
        </w:tblCellMar>
      </w:tblPr>
      <w:tblGrid>
        <w:gridCol w:w="1175"/>
        <w:gridCol w:w="3650"/>
      </w:tblGrid>
      <w:tr>
        <w:trPr/>
        <w:tc>
          <w:tcPr>
            <w:tcW w:w="1175" w:type="dxa"/>
            <w:tcBorders/>
            <w:vAlign w:val="center"/>
          </w:tcPr>
          <w:p>
            <w:pPr>
              <w:pStyle w:val="TableContents"/>
              <w:bidi w:val="0"/>
              <w:spacing w:before="0" w:after="283"/>
              <w:jc w:val="left"/>
              <w:rPr>
                <w:sz w:val="20"/>
              </w:rPr>
            </w:pPr>
            <w:r>
              <w:rPr>
                <w:sz w:val="20"/>
              </w:rPr>
              <w:t>May 15, 2024</w:t>
            </w:r>
          </w:p>
        </w:tc>
        <w:tc>
          <w:tcPr>
            <w:tcW w:w="3650"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Ed Sellitto</w:t>
            </w:r>
          </w:p>
        </w:tc>
      </w:tr>
      <w:tr>
        <w:trPr/>
        <w:tc>
          <w:tcPr>
            <w:tcW w:w="1175" w:type="dxa"/>
            <w:tcBorders/>
            <w:vAlign w:val="center"/>
          </w:tcPr>
          <w:p>
            <w:pPr>
              <w:pStyle w:val="TableContents"/>
              <w:bidi w:val="0"/>
              <w:spacing w:before="0" w:after="283"/>
              <w:jc w:val="left"/>
              <w:rPr/>
            </w:pPr>
            <w:r>
              <w:rPr/>
              <w:t> </w:t>
            </w:r>
          </w:p>
        </w:tc>
        <w:tc>
          <w:tcPr>
            <w:tcW w:w="3650" w:type="dxa"/>
            <w:tcBorders/>
            <w:vAlign w:val="center"/>
          </w:tcPr>
          <w:p>
            <w:pPr>
              <w:pStyle w:val="TableContents"/>
              <w:bidi w:val="0"/>
              <w:spacing w:before="0" w:after="283"/>
              <w:jc w:val="left"/>
              <w:rPr>
                <w:sz w:val="20"/>
              </w:rPr>
            </w:pPr>
            <w:r>
              <w:rPr>
                <w:sz w:val="20"/>
              </w:rPr>
              <w:t>Ed Sellitto, Chief Financial Officer</w:t>
            </w:r>
          </w:p>
        </w:tc>
      </w:tr>
      <w:tr>
        <w:trPr/>
        <w:tc>
          <w:tcPr>
            <w:tcW w:w="1175" w:type="dxa"/>
            <w:tcBorders/>
            <w:vAlign w:val="center"/>
          </w:tcPr>
          <w:p>
            <w:pPr>
              <w:pStyle w:val="TableContents"/>
              <w:bidi w:val="0"/>
              <w:spacing w:before="0" w:after="283"/>
              <w:jc w:val="left"/>
              <w:rPr/>
            </w:pPr>
            <w:r>
              <w:rPr/>
              <w:t> </w:t>
            </w:r>
          </w:p>
        </w:tc>
        <w:tc>
          <w:tcPr>
            <w:tcW w:w="3650" w:type="dxa"/>
            <w:tcBorders/>
            <w:vAlign w:val="center"/>
          </w:tcPr>
          <w:p>
            <w:pPr>
              <w:pStyle w:val="TableContents"/>
              <w:bidi w:val="0"/>
              <w:spacing w:before="0" w:after="283"/>
              <w:jc w:val="left"/>
              <w:rPr>
                <w:sz w:val="20"/>
              </w:rPr>
            </w:pPr>
            <w:r>
              <w:rPr>
                <w:sz w:val="20"/>
              </w:rPr>
              <w:t>(Principal Financial and Accounting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27" w:name="ea020525801ex99-1_authidinc.htm"/>
      <w:bookmarkStart w:id="28" w:name="ksea020525801ex991_authidinc"/>
      <w:bookmarkEnd w:id="27"/>
      <w:bookmarkEnd w:id="28"/>
      <w:r>
        <w:rPr>
          <w:b/>
        </w:rPr>
        <w:t>Exhibit 99.1</w:t>
      </w:r>
      <w:r>
        <w:br w:type="page"/>
      </w:r>
    </w:p>
    <w:p>
      <w:pPr>
        <w:pStyle w:val="TextBody"/>
        <w:bidi w:val="0"/>
        <w:jc w:val="righ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AUTHID INC. POLICY ON GRANTING EQUITY AWARDS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ADOPTED ON APRIL 19, 2024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 Introduction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(the “Board”) of authID Inc. (the "Company") recognizes the importance of adhering to specific practices and procedures in the granting of equity awards. This policy shall apply to all grants of equity awards by the Company. Equity awards are any compensatory award granted under the Company's equity compensation plans (or otherwise) in the form of the Company’s common stock or any derivative of the Company’s common stock, including, without limitation, stock options, restricted stock, restricted stock units or performance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policy is intended solely to provide guidance with respect to the Company’s equity award granting practices and the Company intends to develop additional administrative procedures to supplement this policy in order to more fully implement the Company’s equity programs, including without limitation, the handling, internal review and dissemination of grant proposals, grant records and the tracking of related award information (including grant details, vesting, cancellation or expiration of awards, tax withholdings compliance with Sections 162(m) and 409A of the Internal Revenue Code of 1986, as amended and Section 16 of the Securities Exchange Act of 1934).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supplemental guidelines may be adopted and/or amended with the approval of the Company’s Chief Financial Officer and General Counsel without ratification by the Compensation Committee to the extent such guidelines do not conflict, in the reasonable judgment of such officers, with the policies and procedures specifically set forth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 Authority to Grant Awards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Only the Compensation Committee of the Board or the Board, as applicable, may grant equity awards. The Compensation Committee of the Board may from time to time grant limited authority to the CEO to offer awards to new hires subject to Compensation Committee ratification.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 Procedure for Granting Awards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Equity award grants to existing employees may only be made by the Compensation Committee. Such awards shall be made on a date when the Company’s insider trading window is “open” (i.e., when the Company is not in possession of material non-public information), and which is at least three business days after the most recent release of the Company’s quarterly or annual earnings, or Form 8-K Current Report that discloses material non-public information. The grant date of broad based equity awards approved at a meeting of the Compensation Committee shall be the date of such meeting. The exercise price for all equity awards will be the closing price on the date of grant.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With respect to grants made to named executive officers (as such term is defined under Item 402 of Regulation S-K), the Company shall not grant and/or price of stock options or other incentive securities under any securities-based compensation arrangement of the Company during the period beginning four (4) business days before and ending one (1) business day after the filing by the Company of a Form 10-Q Quarterly Report, Form 10-K Annual Report or Form 8-K Current Report that discloses material non-public information </w:t>
      </w:r>
      <w:r>
        <w:rPr>
          <w:rFonts w:ascii="Times New Roman;Times;Serif" w:hAnsi="Times New Roman;Times;Serif"/>
          <w:b w:val="false"/>
          <w:i w:val="false"/>
          <w:caps w:val="false"/>
          <w:smallCaps w:val="false"/>
          <w:color w:val="333333"/>
          <w:sz w:val="20"/>
          <w:shd w:fill="FFFFFF" w:val="clear"/>
        </w:rPr>
        <w:t>(other than a current report on Form 8–K disclosing a material new option award grant under Item 5.02(e) of that form)</w:t>
      </w:r>
      <w:r>
        <w:rPr>
          <w:rFonts w:ascii="Times New Roman;Times;Serif" w:hAnsi="Times New Roman;Times;Serif"/>
          <w:b w:val="false"/>
          <w:i w:val="false"/>
          <w:caps w:val="false"/>
          <w:smallCaps w:val="false"/>
          <w:sz w:val="20"/>
        </w:rPr>
        <w:t>. Such awards shall be made on a date which is at least three business days after the most recent release of the Company’s quarterly or annual earnings or Form 8-K Current Report that discloses material non-public information and when the Company’s insider trading window is “open” (i.e., when the Company is not in possession of material non-public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Grants of stock options to new hires (other than to new hires who will be Section 16 officers), or for promotions, retention or other special purposes will be described as subject to the approval of the Compensation Committee at its next scheduled meeting. The grant date of such stock options, if approved by the Compensation Committee, shall be the date of such meeting. The exercise price for all equity awards will be the closing price on the date of grant. Grants of stock options to new hires who will or may be Section 16 officers will be subject to the prior approval of the Compensation Committee at a meeting, which will be held prior to the employment start date of the Section 16 officer. The grant date of such stock options will be the Section 16 officer’s first day of employment (subject that being in an open period in accordance with paragraph (ii) above) and the exercise price will be the closing price on the date of grant.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Annual grants of equity awards to members of the Board (the “Directors”) shall be effective within three business days after the date of the Annual Stockholders Meeting at which such Director is elected or re-elected. For Directors appointed other than at an Annual Stockholders Meeting, initial grants of equity awards shall be effective on the date the Director is appointed (subject that being in an open period in accordance with paragraph (ii) above). The exercise price for all equity awards will be the closing price on the effective date of grant.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The Stock Plan Administrator will upon the instructions of the CEO prepare a list of equity grants to be considered by the Compensation Committee, which list will include the grantee's name, the proposed number of shares or options to be granted, and the vesting terms. This list will be reviewed by the Chief Financial Officer and the General Counsel before submission to the Compensation Committee for approval.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The list will be submitted to the Compensation Committee in advance of the scheduled meeting. The minutes of meetings at which grants of equity awards are made, or written resolutions (as the case may be) must include the names of the grantees, the number of options or shares granted to each grantee, and the vesting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All grants will be made pursuant to a standard form of award agreement previously approved by the Compensation Committee unless the Compensation Committee determines otherwise.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 Error Correction Process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additions or changes to the list of approved equity awards that was submitted to and approved by the Compensation Committee may be made once such list has been approved. In the event that a list contains an omission, the correction will be made by including any omitted grant in the next meeting of the Compensation Committee. If an error or omission occurs, depending on the reason for the error or omission, a decision may be made (but is not required) to adjust the amount of the later grant or the vesting schedule to compensate for the delayed vesting or change in exercise price from the intended grant date to the actual grant date provided all modifications are properly documented and explained.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 Award Packages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Stock Plan Administrator will distribute equity award packages to all grantees promptly. The Stock Plan Administrator will annually review all standard forms of equity grant agreements and will obtain the approval of the Compensation Committee for any proposed modifications.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 Equity Compensation Compliance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has designated the General Counsel as the person charged with equity compensation compliance for purposes of assisting the Compensation Committee with the administration and oversight of this policy. The General Counsel shall periodically report to and update the Compensation Committee regarding the procedures and practices relating to the granting of equity awards and shall perform such other tasks as reasonably requested by the Committee related to the implementation and oversight of this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G. Revisions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or the Compensation Committee shall have the authority to revise this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1534154/000121390021017290/ea138222ex3-1_ipsidyinc.htm" TargetMode="External"/><Relationship Id="rId4" Type="http://schemas.openxmlformats.org/officeDocument/2006/relationships/hyperlink" Target="http://www.sec.gov/Archives/edgar/data/1534154/000121390022040296/ea162935ex3-2_authid.htm" TargetMode="External"/><Relationship Id="rId5" Type="http://schemas.openxmlformats.org/officeDocument/2006/relationships/hyperlink" Target="http://www.sec.gov/Archives/edgar/data/1534154/000121390021032569/ea142763ex3-1_ipsidyinc.htm" TargetMode="External"/><Relationship Id="rId6" Type="http://schemas.openxmlformats.org/officeDocument/2006/relationships/hyperlink" Target="http://www.sec.gov/Archives/edgar/data/1534154/000121390022040296/ea162935ex3-1_authid.htm" TargetMode="External"/><Relationship Id="rId7" Type="http://schemas.openxmlformats.org/officeDocument/2006/relationships/hyperlink" Target="http://www.sec.gov/Archives/edgar/data/1534154/000121390022057553/ea166087ex3-1_authid.htm" TargetMode="External"/><Relationship Id="rId8" Type="http://schemas.openxmlformats.org/officeDocument/2006/relationships/hyperlink" Target="http://www.sec.gov/Archives/edgar/data/1534154/000121390023052128/ea180976ex3-1_authidinc.htm" TargetMode="External"/><Relationship Id="rId9" Type="http://schemas.openxmlformats.org/officeDocument/2006/relationships/hyperlink" Target="http://www.sec.gov/Archives/edgar/data/1534154/000121390021032569/ea142763ex4-1_ipsidyinc.htm" TargetMode="External"/><Relationship Id="rId10" Type="http://schemas.openxmlformats.org/officeDocument/2006/relationships/hyperlink" Target="http://www.sec.gov/Archives/edgar/data/1534154/000121390019026249/f8k121019ex4-3_ipsidy.htm" TargetMode="External"/><Relationship Id="rId11" Type="http://schemas.openxmlformats.org/officeDocument/2006/relationships/hyperlink" Target="http://www.sec.gov/Archives/edgar/data/1534154/000121390020004127/f8k021420ex4-1_ipsidyinc.htm" TargetMode="External"/><Relationship Id="rId12" Type="http://schemas.openxmlformats.org/officeDocument/2006/relationships/hyperlink" Target="http://www.sec.gov/Archives/edgar/data/1534154/000121390020004127/f8k021420ex4-2_ipsidyinc.htm" TargetMode="External"/><Relationship Id="rId13" Type="http://schemas.openxmlformats.org/officeDocument/2006/relationships/hyperlink" Target="http://www.sec.gov/Archives/edgar/data/1534154/000121390020011887/ea121728ex4-1_ipsidyinc.htm" TargetMode="External"/><Relationship Id="rId14" Type="http://schemas.openxmlformats.org/officeDocument/2006/relationships/hyperlink" Target="http://www.sec.gov/Archives/edgar/data/1534154/000121390021024897/f10q0321ex4-15_ipsidyinc.htm" TargetMode="External"/><Relationship Id="rId15" Type="http://schemas.openxmlformats.org/officeDocument/2006/relationships/hyperlink" Target="http://www.sec.gov/Archives/edgar/data/1534154/000121390023024677/f10k2022ex4-7_authidinc.htm" TargetMode="External"/><Relationship Id="rId16" Type="http://schemas.openxmlformats.org/officeDocument/2006/relationships/hyperlink" Target="http://www.sec.gov/Archives/edgar/data/1534154/000121390021032569/ea142763ex10-6_ipsidyinc.htm" TargetMode="External"/><Relationship Id="rId17" Type="http://schemas.openxmlformats.org/officeDocument/2006/relationships/hyperlink" Target="http://www.sec.gov/Archives/edgar/data/1534154/000121390021032569/ea142763ex10-5_ipsidyinc.htm" TargetMode="External"/><Relationship Id="rId18" Type="http://schemas.openxmlformats.org/officeDocument/2006/relationships/hyperlink" Target="http://www.sec.gov/Archives/edgar/data/1534154/000161577418003344/s109839_ex10-27.htm" TargetMode="External"/><Relationship Id="rId19" Type="http://schemas.openxmlformats.org/officeDocument/2006/relationships/hyperlink" Target="http://www.sec.gov/Archives/edgar/data/1534154/000121390021032569/ea142763ex10-1_ipsidyinc.htm" TargetMode="External"/><Relationship Id="rId20" Type="http://schemas.openxmlformats.org/officeDocument/2006/relationships/hyperlink" Target="http://www.sec.gov/Archives/edgar/data/1534154/000121390021032569/ea142763ex10-2_ipsidyinc.htm" TargetMode="External"/><Relationship Id="rId21" Type="http://schemas.openxmlformats.org/officeDocument/2006/relationships/hyperlink" Target="http://www.sec.gov/Archives/edgar/data/1534154/000121390021032569/ea142763ex10-3_ipsidyinc.htm" TargetMode="External"/><Relationship Id="rId22" Type="http://schemas.openxmlformats.org/officeDocument/2006/relationships/hyperlink" Target="http://www.sec.gov/Archives/edgar/data/1534154/000121390021032569/ea142763ex10-4_ipsidyinc.htm" TargetMode="External"/><Relationship Id="rId23" Type="http://schemas.openxmlformats.org/officeDocument/2006/relationships/hyperlink" Target="http://www.sec.gov/Archives/edgar/data/1534154/000121390021057337/f10q0921ex10-11_ipsidyinc.htm" TargetMode="External"/><Relationship Id="rId24" Type="http://schemas.openxmlformats.org/officeDocument/2006/relationships/hyperlink" Target="http://www.sec.gov/Archives/edgar/data/1534154/000121390021057337/f10q0921ex10-12_ipsidyinc.htm" TargetMode="External"/><Relationship Id="rId25" Type="http://schemas.openxmlformats.org/officeDocument/2006/relationships/hyperlink" Target="http://www.sec.gov/Archives/edgar/data/1534154/000121390022004803/ea154748ex4-1_ipsidyinc.htm" TargetMode="External"/><Relationship Id="rId26" Type="http://schemas.openxmlformats.org/officeDocument/2006/relationships/hyperlink" Target="http://www.sec.gov/Archives/edgar/data/1534154/000121390022014214/f10k2021ex10-14_ipsidyinc.htm" TargetMode="External"/><Relationship Id="rId27" Type="http://schemas.openxmlformats.org/officeDocument/2006/relationships/hyperlink" Target="http://www.sec.gov/Archives/edgar/data/1534154/000121390022013739/ea157152ex10-1_ipsidyinc.htm" TargetMode="External"/><Relationship Id="rId28" Type="http://schemas.openxmlformats.org/officeDocument/2006/relationships/hyperlink" Target="http://www.sec.gov/Archives/edgar/data/1534154/000121390022013739/ea157152ex10-2_ipsidyinc.htm" TargetMode="External"/><Relationship Id="rId29" Type="http://schemas.openxmlformats.org/officeDocument/2006/relationships/hyperlink" Target="http://www.sec.gov/Archives/edgar/data/1534154/000121390022013739/ea157152ex10-3_ipsidyinc.htm" TargetMode="External"/><Relationship Id="rId30" Type="http://schemas.openxmlformats.org/officeDocument/2006/relationships/hyperlink" Target="http://www.sec.gov/Archives/edgar/data/1534154/000121390022013739/ea157152ex10-5_ipsidyinc.htm" TargetMode="External"/><Relationship Id="rId31" Type="http://schemas.openxmlformats.org/officeDocument/2006/relationships/hyperlink" Target="http://www.sec.gov/Archives/edgar/data/1534154/000121390022013739/ea157152ex10-6_ipsidyinc.htm" TargetMode="External"/><Relationship Id="rId32" Type="http://schemas.openxmlformats.org/officeDocument/2006/relationships/hyperlink" Target="http://www.sec.gov/Archives/edgar/data/1534154/000121390022013739/ea157152ex10-7_ipsidyinc.htm" TargetMode="External"/><Relationship Id="rId33" Type="http://schemas.openxmlformats.org/officeDocument/2006/relationships/hyperlink" Target="http://www.sec.gov/Archives/edgar/data/1534154/000121390022020476/ea158591ex10-1_ipsidyinc.htm" TargetMode="External"/><Relationship Id="rId34" Type="http://schemas.openxmlformats.org/officeDocument/2006/relationships/hyperlink" Target="http://www.sec.gov/Archives/edgar/data/1534154/000121390022021805/ea158885ex10-1_ipsidyinc.htm" TargetMode="External"/><Relationship Id="rId35" Type="http://schemas.openxmlformats.org/officeDocument/2006/relationships/hyperlink" Target="http://www.sec.gov/Archives/edgar/data/1534154/000121390023018987/ea174977ex10-1_authid.htm" TargetMode="External"/><Relationship Id="rId36" Type="http://schemas.openxmlformats.org/officeDocument/2006/relationships/hyperlink" Target="http://www.sec.gov/Archives/edgar/data/1534154/000121390023018987/ea174977ex10-2_authid.htm" TargetMode="External"/><Relationship Id="rId37" Type="http://schemas.openxmlformats.org/officeDocument/2006/relationships/hyperlink" Target="http://www.sec.gov/Archives/edgar/data/1534154/000121390023018987/ea174977ex10-3_authid.htm" TargetMode="External"/><Relationship Id="rId38" Type="http://schemas.openxmlformats.org/officeDocument/2006/relationships/hyperlink" Target="http://www.sec.gov/Archives/edgar/data/1534154/000121390023018987/ea174977ex10-4_authid.htm" TargetMode="External"/><Relationship Id="rId39" Type="http://schemas.openxmlformats.org/officeDocument/2006/relationships/hyperlink" Target="http://www.sec.gov/Archives/edgar/data/1534154/000121390023023408/ea175837ex10-1_authid.htm" TargetMode="External"/><Relationship Id="rId40" Type="http://schemas.openxmlformats.org/officeDocument/2006/relationships/hyperlink" Target="http://www.sec.gov/Archives/edgar/data/1534154/000121390023023408/ea175837ex10-2_authid.htm" TargetMode="External"/><Relationship Id="rId41" Type="http://schemas.openxmlformats.org/officeDocument/2006/relationships/hyperlink" Target="http://www.sec.gov/Archives/edgar/data/1534154/000121390023023408/ea175837ex10-3_authid.htm" TargetMode="External"/><Relationship Id="rId42" Type="http://schemas.openxmlformats.org/officeDocument/2006/relationships/hyperlink" Target="http://www.sec.gov/Archives/edgar/data/1534154/000121390023030640/ea177091ex10-1_authid.htm" TargetMode="External"/><Relationship Id="rId43" Type="http://schemas.openxmlformats.org/officeDocument/2006/relationships/hyperlink" Target="http://www.sec.gov/Archives/edgar/data/1534154/000121390023030640/ea177091ex10-2_authid.htm" TargetMode="External"/><Relationship Id="rId44" Type="http://schemas.openxmlformats.org/officeDocument/2006/relationships/hyperlink" Target="http://www.sec.gov/Archives/edgar/data/1534154/000121390023040545/ea178743ex10-1_authid.htm" TargetMode="External"/><Relationship Id="rId45" Type="http://schemas.openxmlformats.org/officeDocument/2006/relationships/hyperlink" Target="http://www.sec.gov/Archives/edgar/data/1534154/000121390023043563/ea179371ex10-1_authidinc.htm" TargetMode="External"/><Relationship Id="rId46" Type="http://schemas.openxmlformats.org/officeDocument/2006/relationships/hyperlink" Target="http://www.sec.gov/Archives/edgar/data/1534154/000121390023043563/ea179371ex10-2_authidinc.htm" TargetMode="External"/><Relationship Id="rId47" Type="http://schemas.openxmlformats.org/officeDocument/2006/relationships/hyperlink" Target="http://www.sec.gov/Archives/edgar/data/1534154/000121390023043563/ea179371ex10-3_authidinc.htm" TargetMode="External"/><Relationship Id="rId48" Type="http://schemas.openxmlformats.org/officeDocument/2006/relationships/hyperlink" Target="http://www.sec.gov/Archives/edgar/data/1534154/000121390023043563/ea179371ex10-4_authidinc.htm" TargetMode="External"/><Relationship Id="rId49" Type="http://schemas.openxmlformats.org/officeDocument/2006/relationships/hyperlink" Target="http://www.sec.gov/Archives/edgar/data/1534154/000121390023062781/ea182763ex10-1_authidinc.htm" TargetMode="External"/><Relationship Id="rId50" Type="http://schemas.openxmlformats.org/officeDocument/2006/relationships/hyperlink" Target="http://www.sec.gov/Archives/edgar/data/1534154/000121390023081375/ea187301ex10-1_authid.htm" TargetMode="External"/><Relationship Id="rId51" Type="http://schemas.openxmlformats.org/officeDocument/2006/relationships/hyperlink" Target="https://www.sec.gov/Archives/edgar/data/1534154/000121390023090267/ea189066ex10-1_authidinc.htm" TargetMode="External"/><Relationship Id="rId52" Type="http://schemas.openxmlformats.org/officeDocument/2006/relationships/hyperlink" Target="https://www.sec.gov/Archives/edgar/data/1534154/000121390023090267/ea189066ex10-2_authidinc.htm" TargetMode="External"/><Relationship Id="rId53" Type="http://schemas.openxmlformats.org/officeDocument/2006/relationships/hyperlink" Target="https://www.sec.gov/Archives/edgar/data/1534154/000121390023090267/ea189066ex10-3_authidinc.htm" TargetMode="External"/><Relationship Id="rId54" Type="http://schemas.openxmlformats.org/officeDocument/2006/relationships/hyperlink" Target="https://www.sec.gov/Archives/edgar/data/1534154/000121390023097744/ea190517ex10-1_authidinc.htm" TargetMode="External"/><Relationship Id="rId55" Type="http://schemas.openxmlformats.org/officeDocument/2006/relationships/hyperlink" Target="http://www.sec.gov/Archives/edgar/data/1534154/000121390024026066/ea020260501ex10-1_authidinc.htm" TargetMode="External"/><Relationship Id="rId56" Type="http://schemas.openxmlformats.org/officeDocument/2006/relationships/hyperlink" Target="https://www.sec.gov/Archives/edgar/data/1534154/000121390023084806/f10q0923ex14-1_authidinc.htm" TargetMode="External"/><Relationship Id="rId57" Type="http://schemas.openxmlformats.org/officeDocument/2006/relationships/hyperlink" Target="http://www.sec.gov/Archives/edgar/data/1534154/000121390023038588/f10q0323ex21-1_authidinc.htm" TargetMode="External"/><Relationship Id="rId58" Type="http://schemas.openxmlformats.org/officeDocument/2006/relationships/hyperlink" Target="https://www.sec.gov/Archives/edgar/data/1534154/000121390023084806/f10q0923ex99-1_authidinc.htm" TargetMode="External"/><Relationship Id="rId59" Type="http://schemas.openxmlformats.org/officeDocument/2006/relationships/fontTable" Target="fontTable.xml"/><Relationship Id="rId6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12869</Words>
  <Characters>71045</Characters>
  <CharactersWithSpaces>84745</CharactersWithSpaces>
  <Paragraphs>3449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