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1700" w:hanging="211"/>
        <w:spacing w:after="0"/>
        <w:tabs>
          <w:tab w:leader="none" w:pos="1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UNDER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1380" w:hanging="204"/>
        <w:spacing w:after="0"/>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382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40255" cy="1585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1585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8"/>
              </w:rPr>
              <w:t>Delaware</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46-2069547</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1580 North Logan Street, Suite 660, Unit 51767,</w:t>
            </w:r>
          </w:p>
        </w:tc>
        <w:tc>
          <w:tcPr>
            <w:tcW w:w="3560" w:type="dxa"/>
            <w:vAlign w:val="bottom"/>
          </w:tcPr>
          <w:p>
            <w:pPr>
              <w:spacing w:after="0"/>
              <w:rPr>
                <w:sz w:val="24"/>
                <w:szCs w:val="24"/>
                <w:color w:val="auto"/>
              </w:rPr>
            </w:pPr>
          </w:p>
        </w:tc>
      </w:tr>
      <w:tr>
        <w:trPr>
          <w:trHeight w:val="216"/>
        </w:trPr>
        <w:tc>
          <w:tcPr>
            <w:tcW w:w="768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9"/>
              </w:rPr>
              <w:t>Denver, CO 80203</w:t>
            </w:r>
          </w:p>
        </w:tc>
        <w:tc>
          <w:tcPr>
            <w:tcW w:w="3560" w:type="dxa"/>
            <w:vAlign w:val="bottom"/>
          </w:tcPr>
          <w:p>
            <w:pPr>
              <w:spacing w:after="0"/>
              <w:rPr>
                <w:sz w:val="18"/>
                <w:szCs w:val="18"/>
                <w:color w:val="auto"/>
              </w:rPr>
            </w:pPr>
          </w:p>
        </w:tc>
      </w:tr>
      <w:tr>
        <w:trPr>
          <w:trHeight w:val="23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516-274-8700</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7"/>
              </w:rPr>
              <w:t>AUID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5360" w:hanging="203"/>
        <w:spacing w:after="0" w:line="207" w:lineRule="exact"/>
        <w:tabs>
          <w:tab w:leader="none" w:pos="5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5360" w:hanging="203"/>
        <w:spacing w:after="0" w:line="207" w:lineRule="exact"/>
        <w:tabs>
          <w:tab w:leader="none" w:pos="5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040" w:space="720"/>
            <w:col w:w="4480"/>
          </w:cols>
          <w:pgMar w:left="320" w:top="513" w:right="339" w:bottom="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513"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at November 5, 2024</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10,920,909 shares</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Documents incorporated by reference: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198"/>
        </w:trPr>
        <w:tc>
          <w:tcPr>
            <w:tcW w:w="5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453"/>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11"/>
          </w:tcPr>
          <w:p>
            <w:pPr>
              <w:ind w:left="1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96"/>
        </w:trPr>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60" w:type="dxa"/>
            <w:vAlign w:val="bottom"/>
            <w:gridSpan w:val="12"/>
            <w:shd w:val="clear" w:color="auto" w:fill="CCEEFF"/>
          </w:tcPr>
          <w:p>
            <w:pPr>
              <w:jc w:val="center"/>
              <w:ind w:right="3600"/>
              <w:spacing w:after="0" w:line="162"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10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(unaudited) and December 31,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2024 and 2023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93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Loss for the Three and Nine Months Ended September 30, 2024 and 2023</w:t>
            </w:r>
          </w:p>
        </w:tc>
        <w:tc>
          <w:tcPr>
            <w:tcW w:w="86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6"/>
        </w:trPr>
        <w:tc>
          <w:tcPr>
            <w:tcW w:w="160" w:type="dxa"/>
            <w:vAlign w:val="bottom"/>
            <w:shd w:val="clear" w:color="auto" w:fill="CCEEFF"/>
          </w:tcPr>
          <w:p>
            <w:pPr>
              <w:spacing w:after="0"/>
              <w:rPr>
                <w:sz w:val="18"/>
                <w:szCs w:val="18"/>
                <w:color w:val="auto"/>
              </w:rPr>
            </w:pPr>
          </w:p>
        </w:tc>
        <w:tc>
          <w:tcPr>
            <w:tcW w:w="10080" w:type="dxa"/>
            <w:vAlign w:val="bottom"/>
            <w:gridSpan w:val="21"/>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Nine Months Ended September 30, 2024 and 2023</w:t>
            </w:r>
          </w:p>
        </w:tc>
        <w:tc>
          <w:tcPr>
            <w:tcW w:w="1000" w:type="dxa"/>
            <w:vAlign w:val="bottom"/>
            <w:shd w:val="clear" w:color="auto" w:fill="CCEEFF"/>
          </w:tcPr>
          <w:p>
            <w:pPr>
              <w:spacing w:after="0"/>
              <w:rPr>
                <w:sz w:val="15"/>
                <w:szCs w:val="15"/>
                <w:color w:val="auto"/>
              </w:rPr>
            </w:pPr>
          </w:p>
        </w:tc>
      </w:tr>
      <w:tr>
        <w:trPr>
          <w:trHeight w:val="217"/>
        </w:trPr>
        <w:tc>
          <w:tcPr>
            <w:tcW w:w="160" w:type="dxa"/>
            <w:vAlign w:val="bottom"/>
            <w:tcBorders>
              <w:top w:val="single" w:sz="8" w:color="0000EE"/>
            </w:tcBorders>
            <w:shd w:val="clear" w:color="auto" w:fill="CCEEFF"/>
          </w:tcPr>
          <w:p>
            <w:pPr>
              <w:spacing w:after="0"/>
              <w:rPr>
                <w:sz w:val="18"/>
                <w:szCs w:val="18"/>
                <w:color w:val="auto"/>
              </w:rPr>
            </w:pPr>
          </w:p>
        </w:tc>
        <w:tc>
          <w:tcPr>
            <w:tcW w:w="9220" w:type="dxa"/>
            <w:vAlign w:val="bottom"/>
            <w:tcBorders>
              <w:top w:val="single" w:sz="8" w:color="0000EE"/>
            </w:tcBorders>
            <w:gridSpan w:val="1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6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 2023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13–19</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0" w:type="dxa"/>
            <w:vAlign w:val="bottom"/>
            <w:gridSpan w:val="11"/>
            <w:shd w:val="clear" w:color="auto" w:fill="CCEEFF"/>
          </w:tcPr>
          <w:p>
            <w:pPr>
              <w:jc w:val="center"/>
              <w:ind w:right="374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10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2023 and our other filings with the Securities and Exchange Commission. Some examples of risk factors which may affect our business are as follows:</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significant revenues, positive cash flow and history of losses,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 for existing and new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maintain and update our technology and product and service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software and developers;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network or IT security and presentation attacks;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additional talent;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under acceptable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 or the loss of some of our intellectual property rights through costly litigation or administrative proceedings;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non-US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wars in Ukraine and the Middle East;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market volatility and the risk of securities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government regulation;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access to capital.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PERTINENT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specifically set forth to the contrary, when used in this report the terms “authID” the “Company,” “we,” “our,” “us,” and similar terms refer to authID Inc., a Delaware corporation and its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which appears on our website www.authID.ai is not part of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authID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11,718,392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10,177,099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223,606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686,382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476,004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342,544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13,073,091</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10,901,680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213,373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327,001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4,183,232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4,183,232</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17,469,696</w:t>
            </w:r>
          </w:p>
        </w:tc>
        <w:tc>
          <w:tcPr>
            <w:tcW w:w="2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15,411,913</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984,397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1,408,965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329,343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 liability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severance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net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236,769</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1,875,509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224,424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severance liability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150,000,000 and 250,000,000 shares authorized; 10,920,909 and 9,450,220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September 30, 2024 and December 31, 2023,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184,800,174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172,714,712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(169,214,154)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(159,530,535)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comprehensive income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15,594,187</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13,197,746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17,469,696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15,411,913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234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248,920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43,389</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686,736</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118,387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2,102,549</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3,013,554</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6,334,070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5,853,218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1,615,970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701,495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4,213,041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43,798</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60,416</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131,210</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212,450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3,762,317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3,775,465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10,678,321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7,591,391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(3,513,397)</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(3,732,076)</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(9,991,585)</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(7,473,004)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(12,712)</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(13,138)</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(36,219)</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(1,095,320)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161,308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29,511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344,185</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30,671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(380,741)</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expense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(7,476,000)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148,596</w:t>
            </w:r>
          </w:p>
        </w:tc>
        <w:tc>
          <w:tcPr>
            <w:tcW w:w="2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16,373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307,966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(8,921,390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(3,364,801)</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(3,715,703)</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(9,683,619)</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(16,394,394)</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(3,255)</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(3,364,801</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(3,715,703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(9,683,619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(16,397,649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from discontinued operations</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(1,915)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discontinued operations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gain (loss) from discontinued operations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217,593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(3,364,801</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(3,717,618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(9,683,619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(16,180,056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 - Basic and Diluted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1"/>
              <w:spacing w:after="0" w:line="256" w:lineRule="exact"/>
              <w:rPr>
                <w:sz w:val="20"/>
                <w:szCs w:val="20"/>
                <w:color w:val="auto"/>
              </w:rPr>
            </w:pPr>
            <w:r>
              <w:rPr>
                <w:rFonts w:ascii="Times New Roman" w:cs="Times New Roman" w:eastAsia="Times New Roman" w:hAnsi="Times New Roman"/>
                <w:sz w:val="16"/>
                <w:szCs w:val="16"/>
                <w:color w:val="auto"/>
              </w:rPr>
              <w:t>(0.31</w:t>
            </w:r>
            <w:r>
              <w:rPr>
                <w:rFonts w:ascii="Times New Roman" w:cs="Times New Roman" w:eastAsia="Times New Roman" w:hAnsi="Times New Roman"/>
                <w:sz w:val="29"/>
                <w:szCs w:val="29"/>
                <w:color w:val="auto"/>
                <w:vertAlign w:val="superscript"/>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(0.47</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(0.97</w:t>
            </w:r>
            <w:r>
              <w:rPr>
                <w:rFonts w:ascii="Times New Roman" w:cs="Times New Roman" w:eastAsia="Times New Roman" w:hAnsi="Times New Roman"/>
                <w:sz w:val="29"/>
                <w:szCs w:val="29"/>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(3.05</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10,920,872</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7,874,962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9,961,110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5,376,821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9"/>
                <w:szCs w:val="19"/>
                <w:color w:val="auto"/>
              </w:rPr>
            </w:pPr>
          </w:p>
        </w:tc>
        <w:tc>
          <w:tcPr>
            <w:tcW w:w="232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23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(3,364,801)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(3,717,618)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(9,683,619)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(16,180,056)</w:t>
            </w:r>
          </w:p>
        </w:tc>
      </w:tr>
      <w:tr>
        <w:trPr>
          <w:trHeight w:val="27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20" w:type="dxa"/>
            <w:vAlign w:val="bottom"/>
          </w:tcPr>
          <w:p>
            <w:pPr>
              <w:spacing w:after="0"/>
              <w:rPr>
                <w:sz w:val="24"/>
                <w:szCs w:val="24"/>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12,592</w:t>
            </w:r>
          </w:p>
        </w:tc>
        <w:tc>
          <w:tcPr>
            <w:tcW w:w="22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(5,549)</w:t>
            </w: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(143,545)</w:t>
            </w:r>
          </w:p>
        </w:tc>
      </w:tr>
      <w:tr>
        <w:trPr>
          <w:trHeight w:val="223"/>
        </w:trPr>
        <w:tc>
          <w:tcPr>
            <w:tcW w:w="598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(3,363,834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(3,705,026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(9,689,168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(16,323,601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232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32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122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10,920,851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$ 184,164,638</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(165,849,353)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595,536</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595,536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 of offering costs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stock option exercise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(3,364,801)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(3,364,801)</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7"/>
        </w:trPr>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2024</w:t>
            </w: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10,920,909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1,092</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184,800,174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(169,214,154</w:t>
            </w:r>
          </w:p>
        </w:tc>
        <w:tc>
          <w:tcPr>
            <w:tcW w:w="2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15,594,187</w:t>
            </w:r>
          </w:p>
        </w:tc>
        <w:tc>
          <w:tcPr>
            <w:tcW w:w="0" w:type="dxa"/>
            <w:vAlign w:val="bottom"/>
          </w:tcPr>
          <w:p>
            <w:pPr>
              <w:spacing w:after="0"/>
              <w:rPr>
                <w:sz w:val="1"/>
                <w:szCs w:val="1"/>
                <w:color w:val="auto"/>
              </w:rPr>
            </w:pPr>
          </w:p>
        </w:tc>
      </w:tr>
      <w:tr>
        <w:trPr>
          <w:trHeight w:val="21"/>
        </w:trPr>
        <w:tc>
          <w:tcPr>
            <w:tcW w:w="3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9,450,220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$ 172,714,712</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6"/>
              </w:rPr>
              <w:t>$ (159,530,535)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13,197,746</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2,044,210</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2,044,210</w:t>
            </w: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 of common stock for cash, net of offering</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1,464,965</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10,041,253</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10,041,399</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stock option exercise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5,724</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(9,683,619)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(9,683,619)</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7"/>
        </w:trPr>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2024</w:t>
            </w: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10,920,909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1,092</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184,800,174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(169,214,154</w:t>
            </w:r>
          </w:p>
        </w:tc>
        <w:tc>
          <w:tcPr>
            <w:tcW w:w="2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15,594,187</w:t>
            </w:r>
          </w:p>
        </w:tc>
        <w:tc>
          <w:tcPr>
            <w:tcW w:w="0" w:type="dxa"/>
            <w:vAlign w:val="bottom"/>
          </w:tcPr>
          <w:p>
            <w:pPr>
              <w:spacing w:after="0"/>
              <w:rPr>
                <w:sz w:val="1"/>
                <w:szCs w:val="1"/>
                <w:color w:val="auto"/>
              </w:rPr>
            </w:pPr>
          </w:p>
        </w:tc>
      </w:tr>
      <w:tr>
        <w:trPr>
          <w:trHeight w:val="21"/>
        </w:trPr>
        <w:tc>
          <w:tcPr>
            <w:tcW w:w="3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7,874,962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$ 162,155,308</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6"/>
              </w:rPr>
              <w:t>$ (152,592,597)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9,563,289</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1,519,952</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1,519,952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Incremental offering costs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(62,149)</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(62,149)</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(3,717,618)</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(3,717,618)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12,592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September 30, 2023</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80" w:type="dxa"/>
            <w:vAlign w:val="bottom"/>
            <w:vMerge w:val="continue"/>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7,874,962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786</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$ 163,613,111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(156,310,215</w:t>
            </w:r>
          </w:p>
        </w:tc>
        <w:tc>
          <w:tcPr>
            <w:tcW w:w="200" w:type="dxa"/>
            <w:vAlign w:val="bottom"/>
            <w:vMerge w:val="continue"/>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12,384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7,316,066</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3,179,789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$ 140,257,448</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6"/>
              </w:rPr>
              <w:t>$ (140,130,159)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155,929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283,536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(22,949)</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(22,949)</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issued for services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438,000</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438,000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in lieu of interest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111,516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387,567</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387,578</w:t>
            </w:r>
          </w:p>
        </w:tc>
        <w:tc>
          <w:tcPr>
            <w:tcW w:w="0" w:type="dxa"/>
            <w:vAlign w:val="bottom"/>
          </w:tcPr>
          <w:p>
            <w:pPr>
              <w:spacing w:after="0"/>
              <w:rPr>
                <w:sz w:val="1"/>
                <w:szCs w:val="1"/>
                <w:color w:val="auto"/>
              </w:rPr>
            </w:pPr>
          </w:p>
        </w:tc>
      </w:tr>
      <w:tr>
        <w:trPr>
          <w:trHeight w:val="198"/>
        </w:trPr>
        <w:tc>
          <w:tcPr>
            <w:tcW w:w="3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convertible notes into common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2,348,347</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15,331,775</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15,332,010</w:t>
            </w: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credit facility borrowings into</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245,634</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899,976</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198"/>
        </w:trPr>
        <w:tc>
          <w:tcPr>
            <w:tcW w:w="3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 of common stock for cash, net of offering</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1,989,676</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6,321,294</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6,321,492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(16,180,056)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(16,180,056)</w:t>
            </w: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(143,545)</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(143,545)</w:t>
            </w:r>
          </w:p>
        </w:tc>
        <w:tc>
          <w:tcPr>
            <w:tcW w:w="0" w:type="dxa"/>
            <w:vAlign w:val="bottom"/>
          </w:tcPr>
          <w:p>
            <w:pPr>
              <w:spacing w:after="0"/>
              <w:rPr>
                <w:sz w:val="1"/>
                <w:szCs w:val="1"/>
                <w:color w:val="auto"/>
              </w:rPr>
            </w:pPr>
          </w:p>
        </w:tc>
      </w:tr>
      <w:tr>
        <w:trPr>
          <w:trHeight w:val="27"/>
        </w:trPr>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2023</w:t>
            </w: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7,874,962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$ 163,613,111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(156,310,215</w:t>
            </w:r>
          </w:p>
        </w:tc>
        <w:tc>
          <w:tcPr>
            <w:tcW w:w="2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7,316,066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authID INC. AND SUBSIDIARIES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2560" w:type="dxa"/>
            <w:vAlign w:val="bottom"/>
            <w:gridSpan w:val="4"/>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8680" w:type="dxa"/>
            <w:vAlign w:val="bottom"/>
          </w:tcPr>
          <w:p>
            <w:pPr>
              <w:spacing w:after="0"/>
              <w:rPr>
                <w:sz w:val="21"/>
                <w:szCs w:val="21"/>
                <w:color w:val="auto"/>
              </w:rPr>
            </w:pPr>
          </w:p>
        </w:tc>
        <w:tc>
          <w:tcPr>
            <w:tcW w:w="2560" w:type="dxa"/>
            <w:vAlign w:val="bottom"/>
            <w:gridSpan w:val="4"/>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(9,683,619)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(16,180,056)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with cash flows from operations: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2,044,210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131,210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212,450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doubtful collection of other receivable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12,345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693,420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recruiting fees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438,000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in lieu of interest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387,578</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from sale of discontinued operation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380,741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 expense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7,476,000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(132,329)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212,977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contract costs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(69,017)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(66,300)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(552,922)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66,676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(424,961)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(178,428)</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197,715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21,734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290,000</w:t>
            </w: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relating to discontinued operations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110,064</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flows from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(8,477,368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(6,224,162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582"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3620"/>
        <w:spacing w:after="0" w:line="255" w:lineRule="auto"/>
        <w:rPr>
          <w:sz w:val="20"/>
          <w:szCs w:val="20"/>
          <w:color w:val="auto"/>
        </w:rPr>
      </w:pPr>
      <w:r>
        <w:rPr>
          <w:rFonts w:ascii="Times New Roman" w:cs="Times New Roman" w:eastAsia="Times New Roman" w:hAnsi="Times New Roman"/>
          <w:sz w:val="18"/>
          <w:szCs w:val="18"/>
          <w:color w:val="auto"/>
        </w:rPr>
        <w:t>Proceeds from sale of discontinued operations, net of selling costs Purchase of intangible assets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380" w:hanging="89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91,751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(17,582)(16,601)</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(17,582)75,150</w:t>
      </w:r>
    </w:p>
    <w:p>
      <w:pPr>
        <w:spacing w:after="0" w:line="200" w:lineRule="exact"/>
        <w:rPr>
          <w:sz w:val="20"/>
          <w:szCs w:val="20"/>
          <w:color w:val="auto"/>
        </w:rPr>
      </w:pPr>
    </w:p>
    <w:p>
      <w:pPr>
        <w:sectPr>
          <w:pgSz w:w="11900" w:h="16838" w:orient="portrait"/>
          <w:cols w:equalWidth="0" w:num="2">
            <w:col w:w="8540" w:space="720"/>
            <w:col w:w="1980"/>
          </w:cols>
          <w:pgMar w:left="320" w:top="873" w:right="339" w:bottom="582"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net of offering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10,041,399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6,321,492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facility drawdown, net of issuance costs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543,760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flows from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10,041,399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6,865,251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Currencies</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(5,156)</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(145,035)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1,541,293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10,177,099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3,237,106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 - Discontinued Operations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the Period - Discontinued Operations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End of the Period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11,718,392</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3,811,014</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 - discontinued operations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 - discontinued operations</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Schedule of Non-cash Investing and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 payable and accrued interest to common stock</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7,856,011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Conversion of credit facility borrowings into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Warrants for services with the sale of common stock</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725,889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Cashless option and warrant exercises</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82" w:gutter="0" w:footer="0" w:header="0"/>
          <w:type w:val="continuous"/>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2023. The results of operations for the three and nine months ended September 30, 2024 are not necessarily indicative of the results to be expected for future periods or the full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authID Inc. and its wholly-owned subsidiaries MultiPay S.A.S., ID Solutions, Inc., FIN Holdings Inc., Ipsidy Enterprises Limited and authID Gaming Inc. (collectively the “Company”). All significant intercompany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an accumulated deficit of approximately $169.2 million. For the three and nine months ended September 30, 2024, the Company earned revenue from continuing operations of approximately $0.25 million and $0.69 million, used approximately $2.7 million and $8.5 million to fund its operations, and incurred a net loss of approximately $3.4 million and $9.7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In June 2024, the Company raised approximately $10.0 million after expenses from existing and new stockholders through the sale of Common Stock pursuant to a registered direct offering.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prior year expenses have been reclassified for consistency with the current year presentation. These reclassifications had no effect on the previously reported loss from continuing operations and management does not believe that this reclassification is material to the consolidated financial statements taken as a whole. Specifically, for the three and nine months ended September 30, 2023, we reclassified approximately $48,000 and $141,000, respectively, in expenses from research and development expenses to general and administrative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and nine months ended September 30, 2024 and 2023 because their effect was antidilutive: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697,446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488,018</w:t>
            </w: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1,991,048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1,685,570</w:t>
            </w:r>
          </w:p>
        </w:tc>
        <w:tc>
          <w:tcPr>
            <w:tcW w:w="80" w:type="dxa"/>
            <w:vAlign w:val="bottom"/>
            <w:shd w:val="clear" w:color="auto" w:fill="CCEEFF"/>
          </w:tcPr>
          <w:p>
            <w:pPr>
              <w:spacing w:after="0"/>
              <w:rPr>
                <w:sz w:val="21"/>
                <w:szCs w:val="21"/>
                <w:color w:val="auto"/>
              </w:rPr>
            </w:pPr>
          </w:p>
        </w:tc>
      </w:tr>
      <w:tr>
        <w:trPr>
          <w:trHeight w:val="210"/>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2,696,771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2,181,865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Software License </w:t>
      </w:r>
      <w:r>
        <w:rPr>
          <w:rFonts w:ascii="Times New Roman" w:cs="Times New Roman" w:eastAsia="Times New Roman" w:hAnsi="Times New Roman"/>
          <w:sz w:val="18"/>
          <w:szCs w:val="18"/>
          <w:color w:val="auto"/>
        </w:rPr>
        <w:t>– The Company recognizes revenue based on the identified performance obligations over the performance period for fixed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 or variable fees generated. Variable fees are typically earned over time based on monthly users, transaction volumes or a monthly flat fee rate. We allocate the selling price in a contract which has multiple performance obligations based on the contract selling price that we believe represents a fair market price for the service rendered based on estimated standalone selling price. Transaction fees are billed monthly and are constrained to transactions incurred within the month.</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contracts with minimum annual fees, the Company generally recognizes the amount of revenue ratably over the contract year and records contract assets for the amount in excess of monthly contract billings relating to variable contract consideration. For certain contracts, the Company enters into an agreement which stipulates a minimum annual fee which is generally due at the end of the contract year, in excess of the amount of monthly billings. The Company may also require milestone payments of the minimum annual fee. The amount of any billed fees in excess of revenue recognized is recorded as deferred revenue. The company accounts for any price concessions granted to a customer as reductions to consideration under each respective contract and subsequently recognizes revenue up to the amount of the revised consideration after the concession is provided.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usage-based fees in excess of the minimum contract amount are charged to the customer and allocated to the annual period in which they are earned under the contract. At the beginning of each annual period in the contract, the Company estimates the variable amounts for the annual period subject to the constrained variable consideration (usage-based fees) and recognizes that amount on a time-elapsed basis over the annual period. At each reporting date within an annual period, the Company reassesses its estimate of the excess variable amounts for the annual period and updates the amount recognized on a time-elapsed basis over the remainder of the annual period.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deferred revenue contract liabilities of approximately $329,000 and $132,000 as of September 30, 2024 and December 31, 2023, respectively, for certain revenue that will be earned in future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Revenue and Accounts Receivable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two customers represented 64% of revenue. For the nine months ended September 30, 2023, one customer represented 49% of revenue. For the three months ended September 30, 2024, three customers represented 84% of revenue. For the three months ended September 30, 2023, one customer represented 53% of revenue. As of September 30, 2024, three customers accounted for 71%, of accounts receivable. As of December 31, 2023, two customers accounted for 67%, of accounts receivable.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2024, the Company’s Remaining Performance Obligation (RPO) was $3.83 million, of which $0.33 million is recorded as deferred revenue and $3.50 million is related to other non-cancellable contracted amounts. The Company expects approximately 27% of the RPO to be recognized as revenue over the twelve months ending September 30, 2025, based on contractual commitments and expected usage patterns. However, the amount and timing of revenue recognition are generally dependent upon customers’ future consumption, which is inherently variable at customers’ discretion. Furthermore, the Company does not have sufficient historical information to estimate the recognition of revenue due to its current operations and has approximated such amount based on discussions with the contracted parties.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2024, the Company evaluated the rollout timelines for several customers who have delayed go-live adoption dates due to their respective corporate processes and timelines. The Company expects to amend an agreement with certain customers (who comprises $1.4 million of the Company’s RPO as of September 30, 2024) to modify the terms of their contract and defer the timing of their minimum payment obligations. The Company expects these modification agreements to be finalized during the quarter ending December 31, 2024, resulting in a reduction in the future periodic recognition of the revenue associated with this performance obligation through the end of the modified contract period, December 31, 2027. The proposed modifications are not expected to affect the overall RPO associated with the customer contracts.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Deferred Contract Costs </w:t>
      </w:r>
      <w:r>
        <w:rPr>
          <w:rFonts w:ascii="Times New Roman" w:cs="Times New Roman" w:eastAsia="Times New Roman" w:hAnsi="Times New Roman"/>
          <w:sz w:val="18"/>
          <w:szCs w:val="18"/>
          <w:color w:val="auto"/>
        </w:rPr>
        <w:t>– We defer the portion of sales commission that is considered a cost of obtaining a new contract with a customer and amortize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deferred costs over the period of benefit. We expense the remaining sales commissions as incurred. Reversals recorded in the nine months ending September 30, 2024 reflect commission clawbacks for certain bookings that were adjusted in the quarter, per our corporate policy. The following table summarizes deferred contract cost activity for the nine months ended September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(71,500)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(16,205)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September 30, 2024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 – OTHER CURRENT ASSETS</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at September 30, 2024 (unaudited) and December 31, 2023: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225,604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184,492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third-party and related party services</w:t>
            </w:r>
          </w:p>
        </w:tc>
        <w:tc>
          <w:tcPr>
            <w:tcW w:w="240" w:type="dxa"/>
            <w:vAlign w:val="bottom"/>
          </w:tcPr>
          <w:p>
            <w:pPr>
              <w:spacing w:after="0"/>
              <w:rPr>
                <w:sz w:val="20"/>
                <w:szCs w:val="20"/>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460,778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291,512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686,382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INTANGIBLE ASSETS, NET (OTHER THAN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assets primarily consist of acquired and developed software that is being amortized over their estimated useful lives as indicated below. The following is a summary of activity related to intangible assets for the nine months ended September 30, 2024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Acquired 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Useful Lives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 Years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2023</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212,798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327,001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17,582</w:t>
            </w:r>
          </w:p>
        </w:tc>
        <w:tc>
          <w:tcPr>
            <w:tcW w:w="0" w:type="dxa"/>
            <w:vAlign w:val="bottom"/>
          </w:tcPr>
          <w:p>
            <w:pPr>
              <w:spacing w:after="0"/>
              <w:rPr>
                <w:sz w:val="1"/>
                <w:szCs w:val="1"/>
                <w:color w:val="auto"/>
              </w:rPr>
            </w:pPr>
          </w:p>
        </w:tc>
      </w:tr>
      <w:tr>
        <w:trPr>
          <w:trHeight w:val="24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(117,878)</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(13,332)</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(131,210)</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Carrying Value at September 30, 2024</w:t>
            </w:r>
          </w:p>
        </w:tc>
        <w:tc>
          <w:tcPr>
            <w:tcW w:w="31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94,920</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118,453</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213,373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314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4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as of September 30, 2024 (unaudited):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Acquired and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1,734,662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182,196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(1,639,742)</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(63,743)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(1,703,485)</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September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totaled approximately $131,000 and $212,000 for the nine months ended September 30, 2024, and 2023,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Future expected amortization of intangible assets is as follows: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71,089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20,986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18,219</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41,013</w:t>
            </w:r>
          </w:p>
        </w:tc>
      </w:tr>
      <w:tr>
        <w:trPr>
          <w:trHeight w:val="223"/>
        </w:trPr>
        <w:tc>
          <w:tcPr>
            <w:tcW w:w="100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indicators noted with respect to the Company’s long-lived assets, including intangible assets, as of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 as of September 30, 2024 (unaudited)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347,762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235,606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obligations</w:t>
            </w:r>
          </w:p>
        </w:tc>
        <w:tc>
          <w:tcPr>
            <w:tcW w:w="24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202,730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707,317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163,696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104,226</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Pr>
          <w:p>
            <w:pPr>
              <w:spacing w:after="0"/>
              <w:rPr>
                <w:sz w:val="20"/>
                <w:szCs w:val="20"/>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270,209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361,816</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984,397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2024, Mr. Joe Trelin tendered his resignation as Chairman and a Director of the Company, effective immediately. On February 20, 2024, the board of directors of the Company (the “Board”) accepted his resignation and agreed to vest the unvested portion of an option granted to Mr. Trelin on June 28, 2023, amounting to 6,511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25, 2024, Mr. Kunal Mehta was appointed as a Director of the Company, upon the standard terms for non-employee Directors. On May 20, 2024, Mr. Mehta was granted an option to purchase 13,282 shares of common stock at an exercise price of $7.78 per share. 12,500 of the shares vest annually in equal amounts over a three-year period commencing in 2025 and 782 shares vested monthly in equal amounts over a three-month period commencing March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13, 2024, the Company granted 15,627 options each at the exercise price of $8.67 per share to Messrs. Michael Koehneman, Michael Thompson, Ken Jisser, Kunal Mehta and Ms. Jacqueline White, in accordance with the Company’s compensation policy for non-employee directors. Each such option vests over a period of twelve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Commercial Agreements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As of September 30, 2024, the Company held a balance of approximately $117,000 in prepaid expenses related to this service agreement. In June 2024, the agreement with TPG was renewed for an additional year at a reduced fee rate of $70,000 per month. Total expense incurred under this contract during the three and nine months ended September 30, 2024 was approximately $210,000 and $752,000, respectively. Total expense incurred under this contract during the three and nine months ended September 30, 2023 was approximately $141,000 and $260,000,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June 2023, the Company has employed Dale Daguro, the brother of our CEO, Rhon Daguro as a VP Sales. Dale Daguro’s employment is at will and may be terminated at any time, with or without cause. Dale’s compensation is commensurate with other executives employed by the Company at a similar level of seniority and experience. During the nine months ended September 30, 2024, Dale Daguro earned approximately $201,000 in base salary and sales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Common Stock</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27, 2024, Michael Thompson, a Director of the Company purchased 12,254 shares of the Company’s common stock at an aggregate price of $100,000, as part of the Company’s Registered Direct offering (See Note 6 –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27, 2024, pursuant to Securities Purchase Agreements in a Registered Direct Offering, the Company issued 1,464,965 shares of common stock for cash gross proceeds of approximately $11.0 million (or approximately $10.0 million, net of offering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the Company issued 5,724 shares of common stock, upon the cashless exercise of 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2023, shares of common stock were issued as a result of the following transactions:</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2023, pursuant to Securities Purchase Agreements, the Company issued 1,989,676 shares of common stock for cash gross proceeds of approximately $7.3 million (or approximately $6.4 million, net of offering costs).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2023, pursuant to a Securities Purchase Agreement, Mr. Garchik capitalized the outstanding principal balance of $900,000 under the Initial Promissory Note, into 245,634 shares of common stock.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2023, pursuant to an exchange agreement with Holders of Convertible Notes payable, the Company issued 2,348,347 shares of common stock in exchange for Convertible Notes in the gross principal amount of approximately $8.9 million (approximately $7.9 million, net of debt issuance costs and discount). In addition, the Company recorded approximately $7.5 million of expense on conversion of convertible notes.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111,516 shares of common stock for approximately $388,000 of interest accrued under the Convertible Notes and Credit Facility.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27, 2024, in connection with their placement agent services, the Company issued 102,547 common stock warrants to the placement agent, with a term of 5 years and an exercise price of $7.50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2023, warrants were issued as a result of the following transactions:</w:t>
      </w:r>
    </w:p>
    <w:p>
      <w:pPr>
        <w:spacing w:after="0" w:line="225" w:lineRule="exact"/>
        <w:rPr>
          <w:sz w:val="20"/>
          <w:szCs w:val="20"/>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2023, in connection with their placement agent services, the Company issued 156,712 common stock warrants to the placement agent, with a term of 5 years and an exercise price of $3.664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2023, in connection with certain recruitment services, the Company issued 187,500 common stock warrants to the placement agent with a term of 5 years and an exercise price of $3.164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warrant activity for the nine months ended September 30, 2024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29"/>
        </w:trPr>
        <w:tc>
          <w:tcPr>
            <w:tcW w:w="732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598,267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102,547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 Years</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21.12</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September 30, 2024</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697,446</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3.6 Years</w:t>
            </w: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directors a total of 91,417 options at exercise prices ranging from $7.78 to $8.67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granted 220,000 options to certain new employees at exercise prices ranging from $7.99 to $9.61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accelerate the vesting of 6,511 options for Mr. Joe Trelin under the terms of his resignation with an exercise price of $5.48 per share. These accelerated options would not otherwise have vested prior to termination of service according to their Service conditions. Therefore, the Company recalculated the fair value of these options as of his resignation date of February 20, 2024 using the Black Scholes method.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stock option holders exercised their stock options and were issued approximately 5,724 shares of our common stock.</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grant date fair value of options granted for the nine months ended September 30, 2024, using the Black Scholes Method, as applicable,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118 – 123%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3.49% - 4.46%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Activity related to stock options for the nine months ended September 30, 2024 (unaudited), is summarized as follows:</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Term (Yrs.)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3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1,796,743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25.20</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3,630,733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311,417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3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(101,237)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39.04</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2024</w:t>
            </w:r>
          </w:p>
        </w:tc>
        <w:tc>
          <w:tcPr>
            <w:tcW w:w="3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1,184,263</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4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 summarizes stock option information as of September 30, 2024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 (Yrs.)</w:t>
            </w: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Exercisable</w:t>
            </w:r>
          </w:p>
        </w:tc>
      </w:tr>
      <w:tr>
        <w:trPr>
          <w:trHeight w:val="216"/>
        </w:trPr>
        <w:tc>
          <w:tcPr>
            <w:tcW w:w="520" w:type="dxa"/>
            <w:vAlign w:val="bottom"/>
            <w:tcBorders>
              <w:top w:val="single" w:sz="8" w:color="auto"/>
            </w:tcBorders>
          </w:tcPr>
          <w:p>
            <w:pPr>
              <w:spacing w:after="0"/>
              <w:rPr>
                <w:sz w:val="18"/>
                <w:szCs w:val="18"/>
                <w:color w:val="auto"/>
              </w:rPr>
            </w:pPr>
          </w:p>
        </w:tc>
        <w:tc>
          <w:tcPr>
            <w:tcW w:w="6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$2.64 – $5.00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344,379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193,339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$5.01 – $10.00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828,272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257,490</w:t>
            </w:r>
          </w:p>
        </w:tc>
        <w:tc>
          <w:tcPr>
            <w:tcW w:w="8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w:t>
            </w: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43,078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43,078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$15.01</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252,084</w:t>
            </w:r>
          </w:p>
        </w:tc>
        <w:tc>
          <w:tcPr>
            <w:tcW w:w="80" w:type="dxa"/>
            <w:vAlign w:val="bottom"/>
          </w:tcPr>
          <w:p>
            <w:pPr>
              <w:spacing w:after="0"/>
              <w:rPr>
                <w:sz w:val="18"/>
                <w:szCs w:val="18"/>
                <w:color w:val="auto"/>
              </w:rPr>
            </w:pPr>
          </w:p>
        </w:tc>
      </w:tr>
      <w:tr>
        <w:trPr>
          <w:trHeight w:val="250"/>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$20.01</w:t>
            </w: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$121.28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523,235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438,272</w:t>
            </w:r>
          </w:p>
        </w:tc>
        <w:tc>
          <w:tcPr>
            <w:tcW w:w="80" w:type="dxa"/>
            <w:vAlign w:val="bottom"/>
            <w:shd w:val="clear" w:color="auto" w:fill="CCEEFF"/>
          </w:tcPr>
          <w:p>
            <w:pPr>
              <w:spacing w:after="0"/>
              <w:rPr>
                <w:sz w:val="21"/>
                <w:szCs w:val="21"/>
                <w:color w:val="auto"/>
              </w:rPr>
            </w:pPr>
          </w:p>
        </w:tc>
      </w:tr>
      <w:tr>
        <w:trPr>
          <w:trHeight w:val="210"/>
        </w:trPr>
        <w:tc>
          <w:tcPr>
            <w:tcW w:w="520" w:type="dxa"/>
            <w:vAlign w:val="bottom"/>
            <w:tcBorders>
              <w:top w:val="single" w:sz="8" w:color="CCEEFF"/>
            </w:tcBorders>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1,991,048</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1,184,263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recognized approximately $2.1 million of stock option-based compensation expense. As of September 30, 2024, there was approximately $2.6 million of unrecognized compensation costs related to stock options outstanding that will be expensed through 2027.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24, 2024, the Board of Directors adopted the 2024 Equity Incentive Plan (the “2024 Plan”). On June 26, 2024, the stockholders approved and ratified the 2024 Plan and the allocation of 395,000 shares of Common Stock to the 2024 Plan, in addition to the remaining shares not allocated to awards under the 2021 Equity Incentive Plan and any shares, which become available as a result of the forfeiture, or cancellation of any previous awards. As of September 30, 2024, there were 447,523 shares allocated to and available for issuance of awards under the 2024 Plan.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also issued 140,000 options to purchase common stock and agreed to grant 100,000 options to newly hired employees as inducement grants under Nasdaq Listing Rule 5635(c)(4), which are not included in the totals for the 2024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“Management’s Discussion and Analysis of Financial Condition and Results of Operation,” except where the context otherwise requires, the term “we,” “us,” “our,” “authID” or “the Company,” refers to the business of authID Inc.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authID ensures cyber-savvy enterprises “Know Who’s Behind the Device”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for every customer or employee login and transaction. Through its easy-to-integrate, patented, biometric identity platform, authID quickly and accurately verifies a user’s identity, eliminating any assumption of ‘who’ is behind a device and preventing cybercriminals from taking over accounts. authID combines digital onboarding, biometric passwordless authentication and account recovery, with a fast, accurate, user-friendly experience – delivering identity verification in 700ms. Establishing a biometric root of trust for each user that is bound to their accounts, or provisioned devices, authID stops fraud at onboarding, eliminates password risks and costs, and provides the faster, frictionless, and more accurate user identity experience demanded by operators of today’s digital ecosystems.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Verified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cloud-based platform was developed with internally developed software as well as acquired and licensed technology and provides the following core services:</w:t>
      </w:r>
    </w:p>
    <w:p>
      <w:pPr>
        <w:spacing w:after="0" w:line="19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Biometric Identity Verification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Biometric Identity Authentication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 Access Recovery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FIDO Passkey binding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Biometric Identity Verification</w:t>
      </w:r>
    </w:p>
    <w:p>
      <w:pPr>
        <w:spacing w:after="0" w:line="2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are, in real time. authID’s Proof</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identity verification product eliminates the need for costly and less accurate face-to-face, in-person ID checks and instead provides a verified identity in seconds. In a digital, online world of increasing fraud and security threats, Proof speeds up onboarding and offers our customers confidence in the identities of consumers, employees or third-party vendors.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Biometric Identity Authentication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 Access and Recovery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authID’s Verified biometric identity authentication solution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FIDO Passkey Binding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FIDO Passkey Binding enables enterprises and their users to bind biometrically verified user identities to FIDO2 passkeys, enabling strong authentication for device-based passwordless login and transaction authentication that is tied to a trusted identity. This solution establishes a digital chain of trust between biometrically verified individuals, their accounts, and their devices, thus eliminating passwords and protecting users and systems against fraud attacks.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Customer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solution allows our enterprise customers to:</w:t>
      </w:r>
    </w:p>
    <w:p>
      <w:pPr>
        <w:spacing w:after="0" w:line="223" w:lineRule="exact"/>
        <w:rPr>
          <w:sz w:val="20"/>
          <w:szCs w:val="20"/>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Verify and Authenticate users. </w:t>
      </w:r>
      <w:r>
        <w:rPr>
          <w:rFonts w:ascii="Times New Roman" w:cs="Times New Roman" w:eastAsia="Times New Roman" w:hAnsi="Times New Roman"/>
          <w:sz w:val="18"/>
          <w:szCs w:val="18"/>
          <w:color w:val="auto"/>
        </w:rPr>
        <w:t>Customers can use the authID platform not only to verify the identity of new users, but also to authenticate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users seamlessly on an ongoing basis to enable quick, secure logins and transaction authentications.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 from high-speed processing</w:t>
      </w:r>
      <w:r>
        <w:rPr>
          <w:rFonts w:ascii="Times New Roman" w:cs="Times New Roman" w:eastAsia="Times New Roman" w:hAnsi="Times New Roman"/>
          <w:sz w:val="18"/>
          <w:szCs w:val="18"/>
          <w:color w:val="auto"/>
        </w:rPr>
        <w:t>. Our solution returns a very low-latency response, key to enabling high-volume use cases (such as logins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high-value transactions) and providing a frictionless user experience.</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Precisely and accurately identify their consumers and employees, giving the enterprise complete confidence in who is accessing their digital assets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a seamless user experience in terms of speed and self-guided flow, so that even users who are not tech-savvy are easily able to complete the identity verification and authentication processes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 a wide variety of devices</w:t>
      </w:r>
      <w:r>
        <w:rPr>
          <w:rFonts w:ascii="Times New Roman" w:cs="Times New Roman" w:eastAsia="Times New Roman" w:hAnsi="Times New Roman"/>
          <w:sz w:val="18"/>
          <w:szCs w:val="18"/>
          <w:color w:val="auto"/>
        </w:rPr>
        <w:t>. Our cloud-based service is device agnostic and may be used to verify or authenticate users on any device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camera, including shared devices, digital kiosks, etc.</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 quickly and easily. </w:t>
      </w:r>
      <w:r>
        <w:rPr>
          <w:rFonts w:ascii="Times New Roman" w:cs="Times New Roman" w:eastAsia="Times New Roman" w:hAnsi="Times New Roman"/>
          <w:sz w:val="18"/>
          <w:szCs w:val="18"/>
          <w:color w:val="auto"/>
        </w:rPr>
        <w:t>We offer pre-integrated OIDC connections as well as integrations with several leading Identity and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solutions.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broad identity document coverage. </w:t>
      </w:r>
      <w:r>
        <w:rPr>
          <w:rFonts w:ascii="Times New Roman" w:cs="Times New Roman" w:eastAsia="Times New Roman" w:hAnsi="Times New Roman"/>
          <w:sz w:val="18"/>
          <w:szCs w:val="18"/>
          <w:color w:val="auto"/>
        </w:rPr>
        <w:t>We can verify identities using a wide spectrum of government-issued documents from around the world.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Key Trends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our financial results will be impacted by several market trends in the identity verification and authentication markets, as well as expanding digital transformation efforts across a wide range of market segments. These trends include:</w:t>
      </w:r>
    </w:p>
    <w:p>
      <w:pPr>
        <w:spacing w:after="0" w:line="162"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concerns over identity theft, fraud and account takeover, resulting from the acceleration of digital transformation, for example online shopping and remote working and the growth in AI assisted fraud;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in the sharing economy;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electronic payments and alternative money transfer solutions provided by both bank and non-bank entities. The key drivers for these alternative payment methods are consumer demands for safe, convenient payment transactions, with less friction.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are also impacted by the changes in levels of spending on identity verification, management and security methods, and thus, negative trends in the global economy and other factors which negatively impact such spending may negatively impact the growth in our revenue from those products. The global economy has been undergoing a period of political and economic uncertainty and stock markets are experiencing high levels of volatility, and it is difficult to predict how long this uncertainty and volatility will continue.</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plan to grow our business by increasing the use of our services by our existing customers, by adding new customers through our direct salesforce, channel partners and by expanding into new markets and innovation. If we are successful in these efforts, we would expect our revenue to continue to grow.</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incorporated in the State of Delaware on September 21, 2011, and changed our name from Ipsidy Inc. to authID Inc. on July 18, 2022. Our corporate headquarters is located at 1580 North Logan Street, Suite 660, Unit 51767, Denver, CO 80203 and our main phone number is (516) 274-8700. Our website address is www.authid.ai. The information contained on, or that can be accessed through, our website is not incorporated by reference into this Form 10-Q and you should not consider information on our website to be part of this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included in this Quarterly Report have been prepared in accordance with United States GAAP assuming the Company will continue on a going concern basis, which implies the Company will continue to meet its obligations and continue its operations for the next year following the issuance date of these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 had an accumulated deficit of approximately $169.2 million. For the nine months ended September 30, 2024, the Company earned revenue from continuing operations of approximately $0.7 million, used approximately $8.5 million to fund its operations, and incurred a net loss of approximately $9.6 million. 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/or acquiring new clients to generate revenues and cash flows. In June 2024, the Company raised approximately $10.0 million after expenses from existing and new stockholders through the sale of Common Stock pursuant to a registered direct offering.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 Adjusted EBITDA is a non-GAAP financial measure that represents GAAP net income (loss) adjusted to exclude (1) interest expense and debt discount and debt issuance costs amortization expense, (2) interest income, (3) provision for income taxes, (4) depreciation and amortization, (5) stock-based compensation expense (stock options) and (6) loss on debt extinguishment, and conversion expense on exchange of Convertible Notes and certain other items management believes affect the comparability of operating results. 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Adjusted EBITDA has limitations as an analytical tool, and you should not consider it in isolation from, or as a substitute for, analysis of our results as reported under GAAP. Some of these limitations are:</w:t>
      </w:r>
    </w:p>
    <w:p>
      <w:pPr>
        <w:spacing w:after="0" w:line="19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include the impact of certain charges or gains resulting from matters we consider not to be indicative of our ongoing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Reconciliation of Loss from Continuing Operations to Adjusted EBITDA Continuing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32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23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(3,364,801)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(3,715,703)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(9,683,619)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(16,397,649)</w:t>
            </w: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Addback:</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12,712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36,219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1,095,320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(161,308)</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(29,511)</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(344,185)</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(30,671)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380,741</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expense</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7,476,000</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49,390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14,251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878,348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43,798</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60,416</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131,210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212,450</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recruiting fees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595,536</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1,519,952</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2,044,210</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(22,949)</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Adjusted EBITDA continuing operations (Non-GAAP)</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(2,874,063</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(2,102,318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(7,801,914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(5,967,155</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September 30, 2023 –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Company’s revenues were approximately $249,000 and $687,000, respectively, compared to approximately $43,000 and $118,000, respectively, in the three and nine months ended September 30, 2023, principally due to the recognition of revenue from new customer contracts signed in the second half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compared to the three and nine months ended September 30, 2023, general and administrative expense decreased by approximately $0.9 million and increased by $0.5 million, respectively. The decrease for the three month period was driven by lower stock-based compensation expense, while the increase for the nine month period reflected a one-time event in 2023, representing an approximately $2.5 million reversal of stock-based compensation in Q1 2023 on stock awards with market vesting conditions resulting from Q1 2023 terminations, which was not repeated in 2024. This increase was partially offset by the reduction in employee-related expense due to cost savings from the 2023 restructuring initiative.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compared to the three and nine months ended September 30, 2023, research and development expenses increased by approximately $0.9 million and $2.7 million, respectively. The increase was comprised of re-investment in employees and contractors following the 2023 restructuring as well as $0.8 million from the one-time reversal of stock-based compensation in Q1 2023 on stock awards with market vesting conditions resulting from Q1 2023 terminations, which was not repeated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compared to September 30, 2023, depreciation and amortization expense was approximately $0.02 million and $0.08 million less, respectively, as the Company reduced the value of certain legacy business asset values.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includes interest expense, debt issuance and discount amortization expense. Interest expense remained flat and increased $1.1 million, respectively, during the three and nine months ended September 30, 2024 compared to September 30, 2023 principally due to the exchange of Convertible Notes for common stock in May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September 30, 2023 – Discontinued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4, 2022, the Board approved a plan to exit from certain non-core activities comprising the MultiPay correspondent bank, payments services in Colombia.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auto"/>
        </w:rPr>
        <w:t>MultiPay business in Colombia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2023, MultiPay finalized the sale of the Company’s proprietary software to its major customer for approximately $96,000. As a result, the Company recognized a gain of approximately $216,000 which included the release of a foreign currency translation gain of approximately $155,000.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the Company exited the MultiPay business in Colombia, it still maintains an authID customer support and operations team in Bogota which performs essential functions to support the global operations of our Verified and Proof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Multipay entity has been dissolved as of August 2,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approximately $11.7 million of cash on hand and approximately $11.2 million of working capital as of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operating activities was approximately $8.5 million and $6.2 million in the nine months ended September 30, 2024 and 2023,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2024 was approximately $18,000, compared with $17,000 for the nine months ended September 30, 2023, for purchases of intangible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 the nine months ended September 30, 2024 consisted of approximately $10.0 million in proceeds from the sale of common stock, net of offering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 the nine months ended September 30, 2023 consisted of approximately $6.3 million in proceeds from the sale of common stock, net of offering costs, and $0.5 million initial drawdown net of debt issuance costs under the Company’s A&amp;R Facility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the Company will need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Ukraine and the Middle East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 in Ukraine and the Middle East may impact the Company and its operations in a number of different ways, which are yet to be fully assessed and are therefore uncertain. The Company’s principal concern is for the safety of the personnel who support us from those regions. The Company works with third party sub-contractors for outsourced services, including software engineering and development, some of whom are based in Eastern Europe. The Company also works with outsourced engineers and developers and third-party providers in other parts of the world, including the United States, Europe, India, and Latin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The uncertainty impacting and potential interruption in energy and other supply chains resulting from military hostilities in Europe and the Middle East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multiple threat actors, including state-sponsored organizations may prompt enterprises to adopt additional security measures such as those offered by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 long as the hostilities continue and perhaps even thereafter as the situation in Europe and the Middle East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recent material accounting policies that may be the most critical to understanding of the financial results and conditions are discussed in Note 1 of the unaudited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September 30, 2024,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nine months ended September 30, 2024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factors describing the major risks to our business can be found under Item 1A, “Risk Factors”, in our Annual Report on Form 10-K for the year ended December 31, 2023. There has been no material change in our risk factors from those previously discussed in the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a total of 220,000 options to certain new employees at exercise prices ranging from $6.29 to $9.61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Mehta, a director of the Company, was granted an option to purchase 13,282 shares of common stock at an exercise price of $7.78 per share. 12,500 of the shares vest annually in equal amounts over a three-year period commencing in 2025 and 782 shares vested monthly in equal amounts over a three-month period commencing March 2024. Mr. Mehta and the remaining non-employee directors were each granted options to purchase 15,627 shares of common stock at an exercise price of $8.67 per share.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non-employee director received an option grant of 15,627 shares, on August 13, 2024, at an exercise price of $8.67, which was equal to the closing price of the common stock on the NASDAQ Stock Market on that day.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5,724 shares of common stock in connection with the cashless exercise of stock options by employees.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the above securities is exempt from the registration requirements under Rule 4(a)(2) of the Securities Act of 1933, as amended, and/or Rule 506 as promulgated under Regulation 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to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for Non-employee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the Board adopted a new policy on compensation for non-employee directors, which is summarized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non-employee director will receive:</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compensation equal to $125,000, payable in cash and equity.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compensation of $8,000, or $10,000 if they are a committee chair, payable quarterly in arrear.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left="660" w:hanging="328"/>
        <w:spacing w:after="0" w:line="25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compensation of $117,000 by way of an option grant to purchase common stock. The number of shares which will be the subject of each grant shall be determined by reference to the Black Scholes value of the grant based on the closing price of the common stock, as reported by the NASDAQ Stock Market (or such other principal securities exchange or market system on which the common stock is then listed,) on the date of the Annual Meeting, at which the director is re-elected by the stockholders to serve on the Board. Each stock option shall be a non-qualified stock option with a term of 10 years and shall become fully vested on the first anniversary of the grant date, with equal monthly vesting over a 12 month period, provided that such non-employee director remains as a director of the Company during such 12 month period. Each such option shall have an exercise price equal to the closing price of the common stock, as reported by the NASDAQ Stock Market, on the grant date. The grant date may be deferred in accordance with the Company’s Policy on Granting Equity Awards, if the Annual Meeting is held during a closed trading window.</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this new policy, each non-employee director received an option grant of 15,627 shares, on August 13, 2024, at an exercise price of $8.67, which was equal to the closing price of the common stock on the NASDAQ Stock Market on that day.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Mr. Soto.</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23, 2024, Mr. Erick Soto was hired as Chief Product Officer of the Company in consideration of an initial annual salary of $325,000. Mr. Soto and the CEO will mutually agree as to the performance targets for Mr. Soto to earn an annual bonus of up to 20% of his annual base salary. Additionally, the Company agreed to provide Mr. Soto with a grant of options to purchase 100,000 shares of common stock, for a period of ten years, vesting monthly over 36 months, subject to continued service. The grant date has been deferred in accordance with the Company’s Policy on Granting Equity Awards, until after the announcement of the Company’s results for the period ended September 30,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entered an Executive Retention Agreement with Mr. Soto, pursuant to which the Company agreed to provide specified severance amounts and to accelerate the vesting on his equity awards upon termination upon a change of control or an involuntary termination, as each term is defined in the agreement. In the event of a termination upon a change of control or an involuntary termination, Mr. Soto is entitled to receive an amount equal to 12 months of his base salary. In the event of a termination upon a change of control the Company agreed to accelerate the vesting of his equity awards. Further upon termination upon a change of control or an involuntary termination, the exercise period of Mr. Soto’s stock options shall be extended so as to expire the lesser of four years after the date of termination, or the expiration of the relevant options. The Company also entered a standard Director and Officer Indemnification Agreement with Mr. Soto.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37"/>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88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auto"/>
            </w:tcBorders>
            <w:gridSpan w:val="37"/>
            <w:shd w:val="clear" w:color="auto" w:fill="CCEEFF"/>
          </w:tcPr>
          <w:p>
            <w:pPr>
              <w:ind w:left="20"/>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Amended &amp; Restated Certificate of Incorporation</w:t>
              </w:r>
            </w:hyperlink>
          </w:p>
        </w:tc>
      </w:tr>
      <w:tr>
        <w:trPr>
          <w:trHeight w:val="176"/>
        </w:trPr>
        <w:tc>
          <w:tcPr>
            <w:tcW w:w="2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880" w:type="dxa"/>
            <w:vAlign w:val="bottom"/>
            <w:tcBorders>
              <w:top w:val="single" w:sz="8" w:color="CCEEFF"/>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tcPr>
          <w:p>
            <w:pPr>
              <w:spacing w:after="0"/>
              <w:rPr>
                <w:sz w:val="15"/>
                <w:szCs w:val="15"/>
                <w:color w:val="auto"/>
              </w:rPr>
            </w:pPr>
          </w:p>
        </w:tc>
        <w:tc>
          <w:tcPr>
            <w:tcW w:w="3580" w:type="dxa"/>
            <w:vAlign w:val="bottom"/>
            <w:tcBorders>
              <w:top w:val="single" w:sz="8" w:color="0000EE"/>
            </w:tcBorders>
            <w:gridSpan w:val="12"/>
          </w:tcPr>
          <w:p>
            <w:pPr>
              <w:ind w:left="20"/>
              <w:spacing w:after="0" w:line="17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Amended &amp; Restated Bylaws as of July 18, 2022</w:t>
              </w:r>
            </w:hyperlink>
          </w:p>
        </w:tc>
        <w:tc>
          <w:tcPr>
            <w:tcW w:w="6420" w:type="dxa"/>
            <w:vAlign w:val="bottom"/>
            <w:tcBorders>
              <w:top w:val="single" w:sz="8" w:color="CCEEFF"/>
            </w:tcBorders>
            <w:gridSpan w:val="25"/>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88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0000EE"/>
            </w:tcBorders>
            <w:gridSpan w:val="10"/>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Certificate of Amendment dated June 1, 2021</w:t>
              </w:r>
            </w:hyperlink>
          </w:p>
        </w:tc>
        <w:tc>
          <w:tcPr>
            <w:tcW w:w="6700" w:type="dxa"/>
            <w:vAlign w:val="bottom"/>
            <w:tcBorders>
              <w:bottom w:val="single" w:sz="8" w:color="CCEEFF"/>
            </w:tcBorders>
            <w:gridSpan w:val="27"/>
            <w:shd w:val="clear" w:color="auto" w:fill="CCEEFF"/>
          </w:tcPr>
          <w:p>
            <w:pPr>
              <w:spacing w:after="0"/>
              <w:rPr>
                <w:sz w:val="17"/>
                <w:szCs w:val="17"/>
                <w:color w:val="auto"/>
              </w:rPr>
            </w:pPr>
          </w:p>
        </w:tc>
      </w:tr>
      <w:tr>
        <w:trPr>
          <w:trHeight w:val="175"/>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Certificate of Amendment to Amended and Restated Certificate of Incorporation as of July 18, 2022</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88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7700" w:type="dxa"/>
            <w:vAlign w:val="bottom"/>
            <w:tcBorders>
              <w:bottom w:val="single" w:sz="8" w:color="0000EE"/>
            </w:tcBorders>
            <w:gridSpan w:val="28"/>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Certificate of Amendment to Amended and Restated Certificate of Incorporation as of September 21, 2022</w:t>
              </w:r>
            </w:hyperlink>
          </w:p>
        </w:tc>
        <w:tc>
          <w:tcPr>
            <w:tcW w:w="2300" w:type="dxa"/>
            <w:vAlign w:val="bottom"/>
            <w:tcBorders>
              <w:bottom w:val="single" w:sz="8" w:color="CCEEFF"/>
            </w:tcBorders>
            <w:gridSpan w:val="9"/>
            <w:shd w:val="clear" w:color="auto" w:fill="CCEEFF"/>
          </w:tcPr>
          <w:p>
            <w:pPr>
              <w:spacing w:after="0"/>
              <w:rPr>
                <w:sz w:val="17"/>
                <w:szCs w:val="17"/>
                <w:color w:val="auto"/>
              </w:rPr>
            </w:pPr>
          </w:p>
        </w:tc>
      </w:tr>
      <w:tr>
        <w:trPr>
          <w:trHeight w:val="176"/>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Certificate of Amendment to the Amended and Restated Certificate of Incorporation dated June 26, 2023</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3.7(31)</w:t>
            </w:r>
          </w:p>
        </w:tc>
        <w:tc>
          <w:tcPr>
            <w:tcW w:w="100" w:type="dxa"/>
            <w:vAlign w:val="bottom"/>
            <w:tcBorders>
              <w:bottom w:val="single" w:sz="8" w:color="CCEEFF"/>
            </w:tcBorders>
            <w:shd w:val="clear" w:color="auto" w:fill="CCEEFF"/>
          </w:tcPr>
          <w:p>
            <w:pPr>
              <w:spacing w:after="0"/>
              <w:rPr>
                <w:sz w:val="17"/>
                <w:szCs w:val="17"/>
                <w:color w:val="auto"/>
              </w:rPr>
            </w:pPr>
          </w:p>
        </w:tc>
        <w:tc>
          <w:tcPr>
            <w:tcW w:w="4380" w:type="dxa"/>
            <w:vAlign w:val="bottom"/>
            <w:tcBorders>
              <w:bottom w:val="single" w:sz="8" w:color="0000EE"/>
            </w:tcBorders>
            <w:gridSpan w:val="14"/>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Certificate of Amendment to the Certificate of Incorporation</w:t>
              </w:r>
            </w:hyperlink>
          </w:p>
        </w:tc>
        <w:tc>
          <w:tcPr>
            <w:tcW w:w="5620" w:type="dxa"/>
            <w:vAlign w:val="bottom"/>
            <w:tcBorders>
              <w:bottom w:val="single" w:sz="8" w:color="CCEEFF"/>
            </w:tcBorders>
            <w:gridSpan w:val="23"/>
            <w:shd w:val="clear" w:color="auto" w:fill="CCEEFF"/>
          </w:tcPr>
          <w:p>
            <w:pPr>
              <w:spacing w:after="0"/>
              <w:rPr>
                <w:sz w:val="17"/>
                <w:szCs w:val="17"/>
                <w:color w:val="auto"/>
              </w:rPr>
            </w:pPr>
          </w:p>
        </w:tc>
      </w:tr>
      <w:tr>
        <w:trPr>
          <w:trHeight w:val="176"/>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Stock Option</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10000" w:type="dxa"/>
            <w:vAlign w:val="bottom"/>
            <w:gridSpan w:val="37"/>
            <w:shd w:val="clear" w:color="auto" w:fill="CCEEFF"/>
          </w:tcPr>
          <w:p>
            <w:pPr>
              <w:ind w:left="20"/>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of 8.0% Convertible Note</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15.0% Convertible Note</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10000" w:type="dxa"/>
            <w:vAlign w:val="bottom"/>
            <w:gridSpan w:val="37"/>
            <w:shd w:val="clear" w:color="auto" w:fill="CCEEFF"/>
          </w:tcPr>
          <w:p>
            <w:pPr>
              <w:ind w:left="20"/>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and Restated Promissory Note issued to The Theodore Stern Revocable Trust</w:t>
              </w:r>
            </w:hyperlink>
          </w:p>
        </w:tc>
      </w:tr>
      <w:tr>
        <w:trPr>
          <w:trHeight w:val="176"/>
        </w:trPr>
        <w:tc>
          <w:tcPr>
            <w:tcW w:w="2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880" w:type="dxa"/>
            <w:vAlign w:val="bottom"/>
            <w:tcBorders>
              <w:top w:val="single" w:sz="8" w:color="CCEEFF"/>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tcPr>
          <w:p>
            <w:pPr>
              <w:spacing w:after="0"/>
              <w:rPr>
                <w:sz w:val="15"/>
                <w:szCs w:val="15"/>
                <w:color w:val="auto"/>
              </w:rPr>
            </w:pPr>
          </w:p>
        </w:tc>
        <w:tc>
          <w:tcPr>
            <w:tcW w:w="6320" w:type="dxa"/>
            <w:vAlign w:val="bottom"/>
            <w:tcBorders>
              <w:top w:val="single" w:sz="8" w:color="0000EE"/>
            </w:tcBorders>
            <w:gridSpan w:val="21"/>
          </w:tcPr>
          <w:p>
            <w:pPr>
              <w:ind w:left="20"/>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Paycheck Protection Program Term Note dated May 6, 2020</w:t>
              </w:r>
            </w:hyperlink>
          </w:p>
        </w:tc>
        <w:tc>
          <w:tcPr>
            <w:tcW w:w="3680" w:type="dxa"/>
            <w:vAlign w:val="bottom"/>
            <w:tcBorders>
              <w:top w:val="single" w:sz="8" w:color="CCEEFF"/>
            </w:tcBorders>
            <w:gridSpan w:val="16"/>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88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4680" w:type="dxa"/>
            <w:vAlign w:val="bottom"/>
            <w:tcBorders>
              <w:bottom w:val="single" w:sz="8" w:color="0000EE"/>
            </w:tcBorders>
            <w:gridSpan w:val="15"/>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Paycheck Protection Program Term Note dated February 1, 2021</w:t>
              </w:r>
            </w:hyperlink>
          </w:p>
        </w:tc>
        <w:tc>
          <w:tcPr>
            <w:tcW w:w="5320" w:type="dxa"/>
            <w:vAlign w:val="bottom"/>
            <w:tcBorders>
              <w:bottom w:val="single" w:sz="8" w:color="CCEEFF"/>
            </w:tcBorders>
            <w:gridSpan w:val="22"/>
            <w:shd w:val="clear" w:color="auto" w:fill="CCEEFF"/>
          </w:tcPr>
          <w:p>
            <w:pPr>
              <w:spacing w:after="0"/>
              <w:rPr>
                <w:sz w:val="17"/>
                <w:szCs w:val="17"/>
                <w:color w:val="auto"/>
              </w:rPr>
            </w:pPr>
          </w:p>
        </w:tc>
      </w:tr>
      <w:tr>
        <w:trPr>
          <w:trHeight w:val="176"/>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Description of the Registrant’s Securities</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 (2)</w:t>
            </w:r>
          </w:p>
        </w:tc>
        <w:tc>
          <w:tcPr>
            <w:tcW w:w="100" w:type="dxa"/>
            <w:vAlign w:val="bottom"/>
            <w:shd w:val="clear" w:color="auto" w:fill="CCEEFF"/>
          </w:tcPr>
          <w:p>
            <w:pPr>
              <w:spacing w:after="0"/>
              <w:rPr>
                <w:sz w:val="15"/>
                <w:szCs w:val="15"/>
                <w:color w:val="auto"/>
              </w:rPr>
            </w:pPr>
          </w:p>
        </w:tc>
        <w:tc>
          <w:tcPr>
            <w:tcW w:w="10000" w:type="dxa"/>
            <w:vAlign w:val="bottom"/>
            <w:gridSpan w:val="37"/>
            <w:shd w:val="clear" w:color="auto" w:fill="CCEEFF"/>
          </w:tcPr>
          <w:p>
            <w:pPr>
              <w:ind w:left="20"/>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Director Agreement</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10.2 (2)</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Indemnification Agreement</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 (7)</w:t>
            </w:r>
          </w:p>
        </w:tc>
        <w:tc>
          <w:tcPr>
            <w:tcW w:w="100" w:type="dxa"/>
            <w:vAlign w:val="bottom"/>
            <w:shd w:val="clear" w:color="auto" w:fill="CCEEFF"/>
          </w:tcPr>
          <w:p>
            <w:pPr>
              <w:spacing w:after="0"/>
              <w:rPr>
                <w:sz w:val="15"/>
                <w:szCs w:val="15"/>
                <w:color w:val="auto"/>
              </w:rPr>
            </w:pPr>
          </w:p>
        </w:tc>
        <w:tc>
          <w:tcPr>
            <w:tcW w:w="10000" w:type="dxa"/>
            <w:vAlign w:val="bottom"/>
            <w:gridSpan w:val="37"/>
            <w:shd w:val="clear" w:color="auto" w:fill="CCEEFF"/>
          </w:tcPr>
          <w:p>
            <w:pPr>
              <w:ind w:left="20"/>
              <w:spacing w:after="0" w:line="17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2017 Incentive Stock Plan</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10.7 (2)</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Executive Retention Agreement entered between the Company and Thomas L. Thimot dated June 14, 2021</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 (2)</w:t>
            </w:r>
          </w:p>
        </w:tc>
        <w:tc>
          <w:tcPr>
            <w:tcW w:w="100" w:type="dxa"/>
            <w:vAlign w:val="bottom"/>
            <w:tcBorders>
              <w:bottom w:val="single" w:sz="8" w:color="CCEEFF"/>
            </w:tcBorders>
            <w:shd w:val="clear" w:color="auto" w:fill="CCEEFF"/>
          </w:tcPr>
          <w:p>
            <w:pPr>
              <w:spacing w:after="0"/>
              <w:rPr>
                <w:sz w:val="17"/>
                <w:szCs w:val="17"/>
                <w:color w:val="auto"/>
              </w:rPr>
            </w:pPr>
          </w:p>
        </w:tc>
        <w:tc>
          <w:tcPr>
            <w:tcW w:w="7680" w:type="dxa"/>
            <w:vAlign w:val="bottom"/>
            <w:tcBorders>
              <w:bottom w:val="single" w:sz="8" w:color="0000EE"/>
            </w:tcBorders>
            <w:gridSpan w:val="2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Executive Retention Agreement entered between the Company and Cecil N. Smith III dated June 14, 2021</w:t>
              </w:r>
            </w:hyperlink>
          </w:p>
        </w:tc>
        <w:tc>
          <w:tcPr>
            <w:tcW w:w="2320" w:type="dxa"/>
            <w:vAlign w:val="bottom"/>
            <w:tcBorders>
              <w:bottom w:val="single" w:sz="8" w:color="CCEEFF"/>
            </w:tcBorders>
            <w:gridSpan w:val="10"/>
            <w:shd w:val="clear" w:color="auto" w:fill="CCEEFF"/>
          </w:tcPr>
          <w:p>
            <w:pPr>
              <w:spacing w:after="0"/>
              <w:rPr>
                <w:sz w:val="17"/>
                <w:szCs w:val="17"/>
                <w:color w:val="auto"/>
              </w:rPr>
            </w:pPr>
          </w:p>
        </w:tc>
      </w:tr>
      <w:tr>
        <w:trPr>
          <w:trHeight w:val="175"/>
        </w:trPr>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10.9 (2)</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Letter Agreement between the Company and Thomas L. Thimot dated June 14, 2021</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6080" w:type="dxa"/>
            <w:vAlign w:val="bottom"/>
            <w:tcBorders>
              <w:bottom w:val="single" w:sz="8" w:color="0000EE"/>
            </w:tcBorders>
            <w:gridSpan w:val="18"/>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Letter Agreement between the Company and Cecil N. Smith III dated June 14, 2021</w:t>
              </w:r>
            </w:hyperlink>
          </w:p>
        </w:tc>
        <w:tc>
          <w:tcPr>
            <w:tcW w:w="3920" w:type="dxa"/>
            <w:vAlign w:val="bottom"/>
            <w:tcBorders>
              <w:bottom w:val="single" w:sz="8" w:color="CCEEFF"/>
            </w:tcBorders>
            <w:gridSpan w:val="19"/>
            <w:shd w:val="clear" w:color="auto" w:fill="CCEEFF"/>
          </w:tcPr>
          <w:p>
            <w:pPr>
              <w:spacing w:after="0"/>
              <w:rPr>
                <w:sz w:val="17"/>
                <w:szCs w:val="17"/>
                <w:color w:val="auto"/>
              </w:rPr>
            </w:pPr>
          </w:p>
        </w:tc>
      </w:tr>
      <w:tr>
        <w:trPr>
          <w:trHeight w:val="175"/>
        </w:trPr>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10.11 (8)</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Letter Agreement between the Company and Phillip L. Kumnick dated as November 5, 2021</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7"/>
                <w:szCs w:val="17"/>
                <w:color w:val="auto"/>
              </w:rPr>
            </w:pPr>
          </w:p>
        </w:tc>
        <w:tc>
          <w:tcPr>
            <w:tcW w:w="10000" w:type="dxa"/>
            <w:vAlign w:val="bottom"/>
            <w:gridSpan w:val="37"/>
            <w:shd w:val="clear" w:color="auto" w:fill="CCEEFF"/>
          </w:tcPr>
          <w:p>
            <w:pPr>
              <w:ind w:left="20"/>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Letter Agreement between the Company and Philip R. Broenniman dated as November 5, 2021</w:t>
              </w:r>
            </w:hyperlink>
          </w:p>
        </w:tc>
      </w:tr>
      <w:tr>
        <w:trPr>
          <w:trHeight w:val="175"/>
        </w:trPr>
        <w:tc>
          <w:tcPr>
            <w:tcW w:w="4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7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rPr>
                <w:sz w:val="15"/>
                <w:szCs w:val="15"/>
                <w:color w:val="auto"/>
              </w:rPr>
            </w:pPr>
          </w:p>
        </w:tc>
        <w:tc>
          <w:tcPr>
            <w:tcW w:w="6880" w:type="dxa"/>
            <w:vAlign w:val="bottom"/>
            <w:tcBorders>
              <w:top w:val="single" w:sz="8" w:color="0000EE"/>
            </w:tcBorders>
            <w:gridSpan w:val="23"/>
          </w:tcPr>
          <w:p>
            <w:pPr>
              <w:ind w:left="20"/>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AuthID Inc. 2021 Equity Incentive Plan</w:t>
              </w:r>
            </w:hyperlink>
          </w:p>
        </w:tc>
        <w:tc>
          <w:tcPr>
            <w:tcW w:w="3120" w:type="dxa"/>
            <w:vAlign w:val="bottom"/>
            <w:tcBorders>
              <w:top w:val="single" w:sz="8" w:color="CCEEFF"/>
            </w:tcBorders>
            <w:gridSpan w:val="14"/>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6180" w:type="dxa"/>
            <w:vAlign w:val="bottom"/>
            <w:tcBorders>
              <w:bottom w:val="single" w:sz="8" w:color="0000EE"/>
            </w:tcBorders>
            <w:gridSpan w:val="20"/>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Letter Agreement between AuthID Inc. and Thomas Szoke dated November 19, 2021</w:t>
              </w:r>
            </w:hyperlink>
          </w:p>
        </w:tc>
        <w:tc>
          <w:tcPr>
            <w:tcW w:w="3820" w:type="dxa"/>
            <w:vAlign w:val="bottom"/>
            <w:tcBorders>
              <w:bottom w:val="single" w:sz="8" w:color="CCEEFF"/>
            </w:tcBorders>
            <w:gridSpan w:val="17"/>
            <w:shd w:val="clear" w:color="auto" w:fill="CCEEFF"/>
          </w:tcPr>
          <w:p>
            <w:pPr>
              <w:spacing w:after="0"/>
              <w:rPr>
                <w:sz w:val="17"/>
                <w:szCs w:val="17"/>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Securities Purchase Agreement entered into between the Company and the Note Investors dated March 21, 2022.</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7980" w:type="dxa"/>
            <w:vAlign w:val="bottom"/>
            <w:tcBorders>
              <w:bottom w:val="single" w:sz="8" w:color="0000EE"/>
            </w:tcBorders>
            <w:gridSpan w:val="30"/>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Form of Senior Secured Convertible Note issued by the Company to the Note Investors dated March 21, 2022.</w:t>
              </w:r>
            </w:hyperlink>
          </w:p>
        </w:tc>
        <w:tc>
          <w:tcPr>
            <w:tcW w:w="202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Security and Pledge Agreement entered into between the Company and Stephen J. Garchik as Collateral Agent dated March 21, 2022.</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7"/>
                <w:szCs w:val="17"/>
                <w:color w:val="auto"/>
              </w:rPr>
            </w:pPr>
          </w:p>
        </w:tc>
        <w:tc>
          <w:tcPr>
            <w:tcW w:w="10000" w:type="dxa"/>
            <w:vAlign w:val="bottom"/>
            <w:gridSpan w:val="37"/>
            <w:shd w:val="clear" w:color="auto" w:fill="CCEEFF"/>
          </w:tcPr>
          <w:p>
            <w:pPr>
              <w:ind w:left="20"/>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Registration Rights Agreement entered into between the Company and the Note Investors dated March 21, 2022.</w:t>
              </w:r>
            </w:hyperlink>
          </w:p>
        </w:tc>
      </w:tr>
      <w:tr>
        <w:trPr>
          <w:trHeight w:val="175"/>
        </w:trPr>
        <w:tc>
          <w:tcPr>
            <w:tcW w:w="4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7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tcPr>
          <w:p>
            <w:pPr>
              <w:spacing w:after="0"/>
              <w:rPr>
                <w:sz w:val="15"/>
                <w:szCs w:val="15"/>
                <w:color w:val="auto"/>
              </w:rPr>
            </w:pPr>
          </w:p>
        </w:tc>
        <w:tc>
          <w:tcPr>
            <w:tcW w:w="8760" w:type="dxa"/>
            <w:vAlign w:val="bottom"/>
            <w:tcBorders>
              <w:top w:val="single" w:sz="8" w:color="0000EE"/>
            </w:tcBorders>
            <w:gridSpan w:val="33"/>
          </w:tcPr>
          <w:p>
            <w:pPr>
              <w:ind w:left="20"/>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Facility Agreement entered into between the Company and Stephen J. Garchik dated March 21, 2022.</w:t>
              </w:r>
            </w:hyperlink>
          </w:p>
        </w:tc>
        <w:tc>
          <w:tcPr>
            <w:tcW w:w="1240" w:type="dxa"/>
            <w:vAlign w:val="bottom"/>
            <w:tcBorders>
              <w:top w:val="single" w:sz="8" w:color="CCEEFF"/>
            </w:tcBorders>
            <w:gridSpan w:val="4"/>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7"/>
                <w:szCs w:val="17"/>
                <w:color w:val="auto"/>
              </w:rPr>
            </w:pPr>
          </w:p>
        </w:tc>
        <w:tc>
          <w:tcPr>
            <w:tcW w:w="10000" w:type="dxa"/>
            <w:vAlign w:val="bottom"/>
            <w:gridSpan w:val="37"/>
            <w:shd w:val="clear" w:color="auto" w:fill="CCEEFF"/>
          </w:tcPr>
          <w:p>
            <w:pPr>
              <w:ind w:left="20"/>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Subscription Agreement entered into between the Company and the PIPE Investors dated March 21, 2022.</w:t>
              </w:r>
            </w:hyperlink>
          </w:p>
        </w:tc>
      </w:tr>
      <w:tr>
        <w:trPr>
          <w:trHeight w:val="176"/>
        </w:trPr>
        <w:tc>
          <w:tcPr>
            <w:tcW w:w="4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7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rPr>
                <w:sz w:val="15"/>
                <w:szCs w:val="15"/>
                <w:color w:val="auto"/>
              </w:rPr>
            </w:pPr>
          </w:p>
        </w:tc>
        <w:tc>
          <w:tcPr>
            <w:tcW w:w="8300" w:type="dxa"/>
            <w:vAlign w:val="bottom"/>
            <w:tcBorders>
              <w:top w:val="single" w:sz="8" w:color="0000EE"/>
            </w:tcBorders>
            <w:gridSpan w:val="32"/>
          </w:tcPr>
          <w:p>
            <w:pPr>
              <w:ind w:left="20"/>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Letter Agreement between Joseph Trelin and AuthID Inc. dated April 18, 2022</w:t>
              </w:r>
            </w:hyperlink>
          </w:p>
        </w:tc>
        <w:tc>
          <w:tcPr>
            <w:tcW w:w="1700" w:type="dxa"/>
            <w:vAlign w:val="bottom"/>
            <w:tcBorders>
              <w:top w:val="single" w:sz="8" w:color="CCEEFF"/>
            </w:tcBorders>
            <w:gridSpan w:val="5"/>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5"/>
                <w:szCs w:val="15"/>
                <w:color w:val="auto"/>
              </w:rPr>
            </w:pPr>
          </w:p>
        </w:tc>
        <w:tc>
          <w:tcPr>
            <w:tcW w:w="10000" w:type="dxa"/>
            <w:vAlign w:val="bottom"/>
            <w:gridSpan w:val="37"/>
            <w:shd w:val="clear" w:color="auto" w:fill="CCEEFF"/>
          </w:tcPr>
          <w:p>
            <w:pPr>
              <w:ind w:left="20"/>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Letter Agreement between Annie Pham and AuthID Inc. dated April 25, 2022</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Amended and Restated Facility Agreement between the Company and Stephen J. Garchik dated March 8, 2023.</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6180" w:type="dxa"/>
            <w:vAlign w:val="bottom"/>
            <w:tcBorders>
              <w:bottom w:val="single" w:sz="8" w:color="0000EE"/>
            </w:tcBorders>
            <w:gridSpan w:val="20"/>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Promissory Note between the Company and Stephen J. Garchik dated March 9, 2023.</w:t>
              </w:r>
            </w:hyperlink>
          </w:p>
        </w:tc>
        <w:tc>
          <w:tcPr>
            <w:tcW w:w="3820" w:type="dxa"/>
            <w:vAlign w:val="bottom"/>
            <w:tcBorders>
              <w:bottom w:val="single" w:sz="8" w:color="CCEEFF"/>
            </w:tcBorders>
            <w:gridSpan w:val="17"/>
            <w:shd w:val="clear" w:color="auto" w:fill="CCEEFF"/>
          </w:tcPr>
          <w:p>
            <w:pPr>
              <w:spacing w:after="0"/>
              <w:rPr>
                <w:sz w:val="17"/>
                <w:szCs w:val="17"/>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5"/>
                <w:szCs w:val="15"/>
                <w:color w:val="auto"/>
              </w:rPr>
            </w:pPr>
          </w:p>
        </w:tc>
        <w:tc>
          <w:tcPr>
            <w:tcW w:w="10000" w:type="dxa"/>
            <w:vAlign w:val="bottom"/>
            <w:gridSpan w:val="37"/>
          </w:tcPr>
          <w:p>
            <w:pPr>
              <w:ind w:left="20"/>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Guaranty Agreement by FIN Holdings Inc., Innovation in Motion, Inc. and ID Solutions, Inc. in favor of Stephen J. Garchik dated March</w:t>
              </w:r>
            </w:hyperlink>
          </w:p>
        </w:tc>
      </w:t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95"/>
              </w:rPr>
            </w:pPr>
            <w:hyperlink r:id="rId69">
              <w:r>
                <w:rPr>
                  <w:rFonts w:ascii="Times New Roman" w:cs="Times New Roman" w:eastAsia="Times New Roman" w:hAnsi="Times New Roman"/>
                  <w:sz w:val="18"/>
                  <w:szCs w:val="18"/>
                  <w:color w:val="0000EE"/>
                  <w:w w:val="95"/>
                </w:rPr>
                <w:t>9, 2023.</w:t>
              </w:r>
            </w:hyperlink>
          </w:p>
        </w:tc>
        <w:tc>
          <w:tcPr>
            <w:tcW w:w="10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689"/>
        </w:trPr>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15"/>
          </w:tcPr>
          <w:p>
            <w:pPr>
              <w:ind w:left="430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10.27</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10000" w:type="dxa"/>
            <w:vAlign w:val="bottom"/>
            <w:gridSpan w:val="27"/>
            <w:shd w:val="clear" w:color="auto" w:fill="CCEEFF"/>
          </w:tcPr>
          <w:p>
            <w:pPr>
              <w:ind w:left="20"/>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Release Agreement between the Company and Stephen J. Garchik dated March 9, 2023.</w:t>
              </w:r>
            </w:hyperlink>
          </w:p>
        </w:tc>
      </w:tr>
      <w:tr>
        <w:trPr>
          <w:trHeight w:val="176"/>
        </w:trPr>
        <w:tc>
          <w:tcPr>
            <w:tcW w:w="4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8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6360" w:type="dxa"/>
            <w:vAlign w:val="bottom"/>
            <w:tcBorders>
              <w:top w:val="single" w:sz="8" w:color="0000EE"/>
            </w:tcBorders>
            <w:gridSpan w:val="14"/>
          </w:tcPr>
          <w:p>
            <w:pPr>
              <w:ind w:left="20"/>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Letter Agreement between Rhoniel Daguro and AuthID Inc. dated March 23, 2023</w:t>
              </w:r>
            </w:hyperlink>
          </w:p>
        </w:tc>
        <w:tc>
          <w:tcPr>
            <w:tcW w:w="3640" w:type="dxa"/>
            <w:vAlign w:val="bottom"/>
            <w:tcBorders>
              <w:top w:val="single" w:sz="8" w:color="CCEEFF"/>
            </w:tcBorders>
            <w:gridSpan w:val="13"/>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000" w:type="dxa"/>
            <w:vAlign w:val="bottom"/>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Executive Retention Agreement between Rhoniel Daguro and AuthID Inc. dated March 23, 2023</w:t>
              </w:r>
            </w:hyperlink>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Confidential Separation Agreement and General Release between Thomas Thimot and authID Inc. Dated March 23, 2023</w:t>
              </w:r>
            </w:hyperlink>
          </w:p>
        </w:tc>
      </w:tr>
      <w:tr>
        <w:trPr>
          <w:trHeight w:val="21"/>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8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5800" w:type="dxa"/>
            <w:vAlign w:val="bottom"/>
            <w:tcBorders>
              <w:bottom w:val="single" w:sz="8" w:color="0000EE"/>
            </w:tcBorders>
            <w:gridSpan w:val="8"/>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Letter Agreement between Thomas Szoke and AuthID Inc. dated April 12, 2023</w:t>
              </w:r>
            </w:hyperlink>
          </w:p>
        </w:tc>
        <w:tc>
          <w:tcPr>
            <w:tcW w:w="4200" w:type="dxa"/>
            <w:vAlign w:val="bottom"/>
            <w:tcBorders>
              <w:bottom w:val="single" w:sz="8" w:color="CCEEFF"/>
            </w:tcBorders>
            <w:gridSpan w:val="19"/>
            <w:shd w:val="clear" w:color="auto" w:fill="CCEEFF"/>
          </w:tcPr>
          <w:p>
            <w:pPr>
              <w:spacing w:after="0"/>
              <w:rPr>
                <w:sz w:val="17"/>
                <w:szCs w:val="17"/>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Executive Retention Agreement between Thomas Szoke and AuthID Inc. dated April 12, 2023</w:t>
              </w:r>
            </w:hyperlink>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8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6600" w:type="dxa"/>
            <w:vAlign w:val="bottom"/>
            <w:tcBorders>
              <w:bottom w:val="single" w:sz="8" w:color="0000EE"/>
            </w:tcBorders>
            <w:gridSpan w:val="16"/>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Executive Retention Agreement between Annie Pham and AuthID Inc. dated May 11, 2023</w:t>
              </w:r>
            </w:hyperlink>
          </w:p>
        </w:tc>
        <w:tc>
          <w:tcPr>
            <w:tcW w:w="3400" w:type="dxa"/>
            <w:vAlign w:val="bottom"/>
            <w:tcBorders>
              <w:bottom w:val="single" w:sz="8" w:color="CCEEFF"/>
            </w:tcBorders>
            <w:gridSpan w:val="11"/>
            <w:shd w:val="clear" w:color="auto" w:fill="CCEEFF"/>
          </w:tcPr>
          <w:p>
            <w:pPr>
              <w:spacing w:after="0"/>
              <w:rPr>
                <w:sz w:val="17"/>
                <w:szCs w:val="17"/>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Securities Purchase Agreement dated as of May 23, 2023 between the Company and accredited investors</w:t>
              </w:r>
            </w:hyperlink>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000" w:type="dxa"/>
            <w:vAlign w:val="bottom"/>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Engagement Agreement dated as of April 20, 2023 between the Company and Madison Global Partners LLC</w:t>
              </w:r>
            </w:hyperlink>
          </w:p>
        </w:tc>
      </w:tr>
      <w:tr>
        <w:trPr>
          <w:trHeight w:val="175"/>
        </w:trPr>
        <w:tc>
          <w:tcPr>
            <w:tcW w:w="4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8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7860" w:type="dxa"/>
            <w:vAlign w:val="bottom"/>
            <w:tcBorders>
              <w:top w:val="single" w:sz="8" w:color="0000EE"/>
            </w:tcBorders>
            <w:gridSpan w:val="22"/>
          </w:tcPr>
          <w:p>
            <w:pPr>
              <w:ind w:left="20"/>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Stock Purchase Warrant dated May 26, 2023 issued to Madison Global Partners LLC</w:t>
              </w:r>
            </w:hyperlink>
          </w:p>
        </w:tc>
        <w:tc>
          <w:tcPr>
            <w:tcW w:w="2140" w:type="dxa"/>
            <w:vAlign w:val="bottom"/>
            <w:tcBorders>
              <w:top w:val="single" w:sz="8" w:color="CCEEFF"/>
            </w:tcBorders>
            <w:gridSpan w:val="5"/>
          </w:tcPr>
          <w:p>
            <w:pPr>
              <w:spacing w:after="0"/>
              <w:rPr>
                <w:sz w:val="15"/>
                <w:szCs w:val="15"/>
                <w:color w:val="auto"/>
              </w:rPr>
            </w:pPr>
          </w:p>
        </w:tc>
      </w:tr>
      <w:tr>
        <w:trPr>
          <w:trHeight w:val="21"/>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8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7180" w:type="dxa"/>
            <w:vAlign w:val="bottom"/>
            <w:tcBorders>
              <w:bottom w:val="single" w:sz="8" w:color="0000EE"/>
            </w:tcBorders>
            <w:gridSpan w:val="20"/>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of Exchange Agreement dated as of May 23, 2023 between the Company and certain Holders</w:t>
              </w:r>
            </w:hyperlink>
          </w:p>
        </w:tc>
        <w:tc>
          <w:tcPr>
            <w:tcW w:w="2820" w:type="dxa"/>
            <w:vAlign w:val="bottom"/>
            <w:tcBorders>
              <w:bottom w:val="single" w:sz="8" w:color="CCEEFF"/>
            </w:tcBorders>
            <w:gridSpan w:val="7"/>
            <w:shd w:val="clear" w:color="auto" w:fill="CCEEFF"/>
          </w:tcPr>
          <w:p>
            <w:pPr>
              <w:spacing w:after="0"/>
              <w:rPr>
                <w:sz w:val="17"/>
                <w:szCs w:val="17"/>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Letter Agreement between Edward Sellitto and authID Inc. dated July 31, 2023</w:t>
              </w:r>
            </w:hyperlink>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000" w:type="dxa"/>
            <w:vAlign w:val="bottom"/>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Agreement dated October 25, 2023 between The Pipeline Group, Inc. and authID Inc.</w:t>
              </w:r>
            </w:hyperlink>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Securities Purchase Agreement dated as of November 20, 2023 between the Company and accredited investor</w:t>
              </w:r>
            </w:hyperlink>
          </w:p>
        </w:tc>
      </w:tr>
      <w:tr>
        <w:trPr>
          <w:trHeight w:val="21"/>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8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8200" w:type="dxa"/>
            <w:vAlign w:val="bottom"/>
            <w:tcBorders>
              <w:bottom w:val="single" w:sz="8" w:color="0000EE"/>
            </w:tcBorders>
            <w:gridSpan w:val="24"/>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Engagement Agreement dated as of November 2, 2023 between the Company and Madison Global Partners, LLC</w:t>
              </w:r>
            </w:hyperlink>
          </w:p>
        </w:tc>
        <w:tc>
          <w:tcPr>
            <w:tcW w:w="180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Stock Purchase Warrant dated November 22, 2023 issued to Madison Global Partners, LLC</w:t>
              </w:r>
            </w:hyperlink>
          </w:p>
        </w:tc>
      </w:tr>
      <w:tr>
        <w:trPr>
          <w:trHeight w:val="21"/>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10000" w:type="dxa"/>
            <w:vAlign w:val="bottom"/>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Agreement dated December 19, 2023 between The Pipeline Group, Inc and authID Inc.</w:t>
              </w:r>
            </w:hyperlink>
          </w:p>
        </w:tc>
      </w:tr>
      <w:tr>
        <w:trPr>
          <w:trHeight w:val="176"/>
        </w:trPr>
        <w:tc>
          <w:tcPr>
            <w:tcW w:w="12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10.43*</w:t>
            </w:r>
          </w:p>
        </w:tc>
        <w:tc>
          <w:tcPr>
            <w:tcW w:w="6300" w:type="dxa"/>
            <w:vAlign w:val="bottom"/>
            <w:tcBorders>
              <w:top w:val="single" w:sz="8" w:color="0000EE"/>
            </w:tcBorders>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Letter Agreement between Kunal Mehta and authID Inc.</w:t>
            </w:r>
          </w:p>
        </w:tc>
        <w:tc>
          <w:tcPr>
            <w:tcW w:w="3700" w:type="dxa"/>
            <w:vAlign w:val="bottom"/>
            <w:tcBorders>
              <w:top w:val="single" w:sz="8" w:color="CCEEFF"/>
            </w:tcBorders>
            <w:gridSpan w:val="14"/>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10.44(31)**</w:t>
            </w:r>
          </w:p>
        </w:tc>
        <w:tc>
          <w:tcPr>
            <w:tcW w:w="8200" w:type="dxa"/>
            <w:vAlign w:val="bottom"/>
            <w:tcBorders>
              <w:bottom w:val="single" w:sz="8" w:color="0000EE"/>
            </w:tcBorders>
            <w:gridSpan w:val="24"/>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Securities Purchase Agreement dated as of June 24, 2024 between the Company and accredited investors</w:t>
              </w:r>
            </w:hyperlink>
          </w:p>
        </w:tc>
        <w:tc>
          <w:tcPr>
            <w:tcW w:w="180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10.45(31)</w:t>
            </w: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Engagement Agreement, dated as of June 24, 2024 between the Company and Madison Global Partners, LLC</w:t>
              </w:r>
            </w:hyperlink>
          </w:p>
        </w:tc>
      </w:tr>
      <w:tr>
        <w:trPr>
          <w:trHeight w:val="21"/>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5"/>
        </w:trPr>
        <w:tc>
          <w:tcPr>
            <w:tcW w:w="1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10.46(31)</w:t>
            </w:r>
          </w:p>
        </w:tc>
        <w:tc>
          <w:tcPr>
            <w:tcW w:w="10000" w:type="dxa"/>
            <w:vAlign w:val="bottom"/>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Stock Purchase Warrant issued to Madison Global Partners LLC</w:t>
              </w:r>
            </w:hyperlink>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10.47*</w:t>
            </w:r>
          </w:p>
        </w:tc>
        <w:tc>
          <w:tcPr>
            <w:tcW w:w="10000" w:type="dxa"/>
            <w:vAlign w:val="bottom"/>
            <w:gridSpan w:val="27"/>
          </w:tcPr>
          <w:p>
            <w:pPr>
              <w:ind w:left="20"/>
              <w:spacing w:after="0" w:line="176" w:lineRule="exact"/>
              <w:rPr>
                <w:sz w:val="20"/>
                <w:szCs w:val="20"/>
                <w:color w:val="auto"/>
              </w:rPr>
            </w:pPr>
            <w:r>
              <w:rPr>
                <w:rFonts w:ascii="Times New Roman" w:cs="Times New Roman" w:eastAsia="Times New Roman" w:hAnsi="Times New Roman"/>
                <w:sz w:val="18"/>
                <w:szCs w:val="18"/>
                <w:color w:val="0000EE"/>
              </w:rPr>
              <w:t>Letter Agreement between Erick Soto and authID Inc. dated September 10, 2024</w:t>
            </w:r>
          </w:p>
        </w:tc>
      </w:tr>
      <w:tr>
        <w:trPr>
          <w:trHeight w:val="21"/>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10.48*</w:t>
            </w:r>
          </w:p>
        </w:tc>
        <w:tc>
          <w:tcPr>
            <w:tcW w:w="6920" w:type="dxa"/>
            <w:vAlign w:val="bottom"/>
            <w:tcBorders>
              <w:bottom w:val="single" w:sz="8" w:color="0000EE"/>
            </w:tcBorders>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Executive Retention Agreement between Erick Soto and AuthID Inc. dated September 10, 2024</w:t>
            </w:r>
          </w:p>
        </w:tc>
        <w:tc>
          <w:tcPr>
            <w:tcW w:w="3080" w:type="dxa"/>
            <w:vAlign w:val="bottom"/>
            <w:tcBorders>
              <w:bottom w:val="single" w:sz="8" w:color="CCEEFF"/>
            </w:tcBorders>
            <w:gridSpan w:val="9"/>
            <w:shd w:val="clear" w:color="auto" w:fill="CCEEFF"/>
          </w:tcPr>
          <w:p>
            <w:pPr>
              <w:spacing w:after="0"/>
              <w:rPr>
                <w:sz w:val="17"/>
                <w:szCs w:val="17"/>
                <w:color w:val="auto"/>
              </w:rPr>
            </w:pPr>
          </w:p>
        </w:tc>
      </w:tr>
      <w:tr>
        <w:trPr>
          <w:trHeight w:val="176"/>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14.1 (26)</w:t>
            </w: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Code of Ethics</w:t>
              </w:r>
            </w:hyperlink>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6"/>
        </w:trPr>
        <w:tc>
          <w:tcPr>
            <w:tcW w:w="1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 (20)</w:t>
            </w:r>
          </w:p>
        </w:tc>
        <w:tc>
          <w:tcPr>
            <w:tcW w:w="10000" w:type="dxa"/>
            <w:vAlign w:val="bottom"/>
            <w:gridSpan w:val="27"/>
            <w:shd w:val="clear" w:color="auto" w:fill="CCEEFF"/>
          </w:tcPr>
          <w:p>
            <w:pPr>
              <w:ind w:left="20"/>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List of Subsidiaries</w:t>
              </w:r>
            </w:hyperlink>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800" w:type="dxa"/>
            <w:vAlign w:val="bottom"/>
          </w:tcPr>
          <w:p>
            <w:pPr>
              <w:spacing w:after="0"/>
              <w:rPr>
                <w:sz w:val="15"/>
                <w:szCs w:val="15"/>
                <w:color w:val="auto"/>
              </w:rPr>
            </w:pPr>
          </w:p>
        </w:tc>
        <w:tc>
          <w:tcPr>
            <w:tcW w:w="10000" w:type="dxa"/>
            <w:vAlign w:val="bottom"/>
            <w:gridSpan w:val="27"/>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of the Securities Exchange Act</w:t>
            </w:r>
          </w:p>
        </w:tc>
      </w:tr>
      <w:tr>
        <w:trPr>
          <w:trHeight w:val="21"/>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5"/>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800" w:type="dxa"/>
            <w:vAlign w:val="bottom"/>
            <w:shd w:val="clear" w:color="auto" w:fill="CCEEFF"/>
          </w:tcPr>
          <w:p>
            <w:pPr>
              <w:spacing w:after="0"/>
              <w:rPr>
                <w:sz w:val="15"/>
                <w:szCs w:val="15"/>
                <w:color w:val="auto"/>
              </w:rPr>
            </w:pPr>
          </w:p>
        </w:tc>
        <w:tc>
          <w:tcPr>
            <w:tcW w:w="10000" w:type="dxa"/>
            <w:vAlign w:val="bottom"/>
            <w:gridSpan w:val="2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13a-14(a)/15d-14(a) of the Securities Exchange Act</w:t>
            </w: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800" w:type="dxa"/>
            <w:vAlign w:val="bottom"/>
          </w:tcPr>
          <w:p>
            <w:pPr>
              <w:spacing w:after="0"/>
              <w:rPr>
                <w:sz w:val="15"/>
                <w:szCs w:val="15"/>
                <w:color w:val="auto"/>
              </w:rPr>
            </w:pPr>
          </w:p>
        </w:tc>
        <w:tc>
          <w:tcPr>
            <w:tcW w:w="10000" w:type="dxa"/>
            <w:vAlign w:val="bottom"/>
            <w:tcBorders>
              <w:bottom w:val="single" w:sz="8" w:color="0000EE"/>
            </w:tcBorders>
            <w:gridSpan w:val="27"/>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§1350, as adopted pursuant to Section 906 of</w:t>
            </w: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1"/>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 (26)</w:t>
            </w:r>
          </w:p>
        </w:tc>
        <w:tc>
          <w:tcPr>
            <w:tcW w:w="6440" w:type="dxa"/>
            <w:vAlign w:val="bottom"/>
            <w:tcBorders>
              <w:bottom w:val="single" w:sz="8" w:color="0000EE"/>
            </w:tcBorders>
            <w:gridSpan w:val="15"/>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Policy for the Recovery of Erroneously Awarded Compensation adopted October 6, 2023</w:t>
              </w:r>
            </w:hyperlink>
          </w:p>
        </w:tc>
        <w:tc>
          <w:tcPr>
            <w:tcW w:w="3560" w:type="dxa"/>
            <w:vAlign w:val="bottom"/>
            <w:tcBorders>
              <w:bottom w:val="single" w:sz="8" w:color="CCEEFF"/>
            </w:tcBorders>
            <w:gridSpan w:val="12"/>
            <w:shd w:val="clear" w:color="auto" w:fill="CCEEFF"/>
          </w:tcPr>
          <w:p>
            <w:pPr>
              <w:spacing w:after="0"/>
              <w:rPr>
                <w:sz w:val="17"/>
                <w:szCs w:val="17"/>
                <w:color w:val="auto"/>
              </w:rPr>
            </w:pPr>
          </w:p>
        </w:tc>
      </w:tr>
      <w:tr>
        <w:trPr>
          <w:trHeight w:val="175"/>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99.1 (30)</w:t>
            </w:r>
          </w:p>
        </w:tc>
        <w:tc>
          <w:tcPr>
            <w:tcW w:w="10000" w:type="dxa"/>
            <w:vAlign w:val="bottom"/>
            <w:gridSpan w:val="27"/>
          </w:tcPr>
          <w:p>
            <w:pPr>
              <w:ind w:left="20"/>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Policy on Granting Equity Awards</w:t>
              </w:r>
            </w:hyperlink>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2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2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2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420" w:firstLine="8"/>
        <w:spacing w:after="0" w:line="489" w:lineRule="auto"/>
        <w:tabs>
          <w:tab w:leader="none" w:pos="12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asterisks because the identified confidential portions</w:t>
      </w:r>
    </w:p>
    <w:p>
      <w:pPr>
        <w:spacing w:after="0" w:line="27" w:lineRule="exact"/>
        <w:rPr>
          <w:rFonts w:ascii="Times New Roman" w:cs="Times New Roman" w:eastAsia="Times New Roman" w:hAnsi="Times New Roman"/>
          <w:sz w:val="18"/>
          <w:szCs w:val="18"/>
          <w:color w:val="auto"/>
        </w:rPr>
      </w:pPr>
    </w:p>
    <w:p>
      <w:pPr>
        <w:ind w:left="340" w:right="20" w:hanging="8"/>
        <w:spacing w:after="0" w:line="260" w:lineRule="auto"/>
        <w:tabs>
          <w:tab w:leader="none" w:pos="56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material and (ii) would be competitively harmful if publicly disclosed. A copy of any omitted portions will be furnished to the SEC upon request.</w:t>
      </w:r>
    </w:p>
    <w:p>
      <w:pPr>
        <w:spacing w:after="0" w:line="181" w:lineRule="exact"/>
        <w:rPr>
          <w:sz w:val="20"/>
          <w:szCs w:val="20"/>
          <w:color w:val="auto"/>
        </w:rPr>
      </w:pPr>
    </w:p>
    <w:p>
      <w:pPr>
        <w:ind w:left="5540" w:right="1780" w:hanging="5532"/>
        <w:spacing w:after="0" w:line="783" w:lineRule="auto"/>
        <w:tabs>
          <w:tab w:leader="none" w:pos="3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23, 2021.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7" w:name="page28"/>
    <w:bookmarkEnd w:id="27"/>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June 15, 2021.</w:t>
      </w:r>
    </w:p>
    <w:p>
      <w:pPr>
        <w:spacing w:after="0" w:line="2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December 16, 2019.</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February 18, 2020.</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May 13, 2020.</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6, 2021.</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4, 2018.</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November 8, 2021.</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Form S-8 Registration Statement filed with the Securities Exchange Commission on February 1, 2022.</w:t>
      </w:r>
    </w:p>
    <w:p>
      <w:pPr>
        <w:spacing w:after="0" w:line="20" w:lineRule="exact"/>
        <w:rPr>
          <w:rFonts w:ascii="Times New Roman" w:cs="Times New Roman" w:eastAsia="Times New Roman" w:hAnsi="Times New Roman"/>
          <w:sz w:val="17"/>
          <w:szCs w:val="17"/>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21, 2022.</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Annual Report filed with the Securities Exchange Commission on March 22, 2022.</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April 18, 2022.</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April 27, 2022.</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July 19, 2022.</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September 21, 2022.</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10,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28,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Annual Report filed with the Securities Exchange Commission on March 30,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April 18,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11,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May 16,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May 26,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June 27,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August 3,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October 26,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November 8,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November 27,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December 21,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26, 2024.</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15, 2024.</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June 27, 2024.</w:t>
      </w:r>
    </w:p>
    <w:p>
      <w:pPr>
        <w:spacing w:after="0" w:line="200" w:lineRule="exact"/>
        <w:rPr>
          <w:sz w:val="20"/>
          <w:szCs w:val="20"/>
          <w:color w:val="auto"/>
        </w:rPr>
      </w:pPr>
    </w:p>
    <w:p>
      <w:pPr>
        <w:spacing w:after="0" w:line="223"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877"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Rhoniel A. Daguro</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Ed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 Sellitto</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ind w:left="10020"/>
        <w:spacing w:after="0"/>
        <w:rPr>
          <w:sz w:val="20"/>
          <w:szCs w:val="20"/>
          <w:color w:val="auto"/>
        </w:rPr>
      </w:pPr>
      <w:r>
        <w:rPr>
          <w:rFonts w:ascii="Times New Roman" w:cs="Times New Roman" w:eastAsia="Times New Roman" w:hAnsi="Times New Roman"/>
          <w:sz w:val="21"/>
          <w:szCs w:val="21"/>
          <w:b w:val="1"/>
          <w:bCs w:val="1"/>
          <w:color w:val="auto"/>
        </w:rPr>
        <w:t>Exhibit 10.43</w:t>
      </w:r>
    </w:p>
    <w:p>
      <w:pPr>
        <w:spacing w:after="0" w:line="254"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Rhoniel A.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76985" cy="960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0">
                      <a:extLst>
                        <a:ext uri="{28A0092B-C50C-407E-A947-70E740481C1C}"/>
                      </a:extLst>
                    </a:blip>
                    <a:srcRect/>
                    <a:stretch>
                      <a:fillRect/>
                    </a:stretch>
                  </pic:blipFill>
                  <pic:spPr bwMode="auto">
                    <a:xfrm>
                      <a:off x="0" y="0"/>
                      <a:ext cx="1276985" cy="960120"/>
                    </a:xfrm>
                    <a:prstGeom prst="rect">
                      <a:avLst/>
                    </a:prstGeom>
                    <a:noFill/>
                  </pic:spPr>
                </pic:pic>
              </a:graphicData>
            </a:graphic>
          </wp:anchor>
        </w:drawing>
      </w:r>
    </w:p>
    <w:p>
      <w:pPr>
        <w:spacing w:after="0" w:line="1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rhondaguro@authid.ai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Kunal Mehta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Re:  Appointment as Non-Executive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Kunal: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am pleased to be writing to you at the direction of the Board of Directors (“Board”) of authID Inc. (the “Company”) to confirm the terms of your appointment as a non-executive director. This letter shall take effect upon the passing of a Board Resolution formally approving your appointment.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initial term of your directorship will extend until the first Annual Meeting of the Company’s Stockholders (“Annual Meeting”) following your appointment, when you will be eligible for re-election by the stockholders, if nominated by the Board or until your earlier resignation.</w:t>
      </w:r>
    </w:p>
    <w:p>
      <w:pPr>
        <w:spacing w:after="0" w:line="158"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and duties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Non-executive directors have the same general legal responsibilities to the Company as any other director. The Board as a whole is collectively responsible for promoting the success of the Company by directing and supervising the Company’s affairs, with a particular focus on strategy, performance and risk. We would also expect you to be an ambassador for the Company and to promote its interests, when appropriate in your daily business activities.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will be required to discharge the following specific functions and duties:</w:t>
      </w:r>
    </w:p>
    <w:p>
      <w:pPr>
        <w:spacing w:after="0" w:line="225" w:lineRule="exact"/>
        <w:rPr>
          <w:sz w:val="20"/>
          <w:szCs w:val="20"/>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quarterly Board meetings and special Board meetings at the Company’s head office, or such other place, or by conference call on dates to be notified to you in advance;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Board and Committee meetings by conference call will be generally available, but it is anticipated that the Board will have two full “in person” meetings per year with all directors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Kunal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31215" cy="626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3">
                      <a:extLst>
                        <a:ext uri="{28A0092B-C50C-407E-A947-70E740481C1C}"/>
                      </a:extLst>
                    </a:blip>
                    <a:srcRect/>
                    <a:stretch>
                      <a:fillRect/>
                    </a:stretch>
                  </pic:blipFill>
                  <pic:spPr bwMode="auto">
                    <a:xfrm>
                      <a:off x="0" y="0"/>
                      <a:ext cx="831215" cy="626110"/>
                    </a:xfrm>
                    <a:prstGeom prst="rect">
                      <a:avLst/>
                    </a:prstGeom>
                    <a:noFill/>
                  </pic:spPr>
                </pic:pic>
              </a:graphicData>
            </a:graphic>
          </wp:anchor>
        </w:drawing>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25, 2024</w:t>
      </w:r>
    </w:p>
    <w:p>
      <w:pPr>
        <w:spacing w:after="0" w:line="200" w:lineRule="exact"/>
        <w:rPr>
          <w:sz w:val="20"/>
          <w:szCs w:val="20"/>
          <w:color w:val="auto"/>
        </w:rPr>
      </w:pPr>
    </w:p>
    <w:p>
      <w:pPr>
        <w:spacing w:after="0" w:line="34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Company’s Annual Meetings and any special meetings of stockholders, which may be called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functions and duties as may reasonably be required of you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director of a Company, which is a reporting Company in accordance with Securities &amp; Exchange Commission (“SEC”) rules, you will be required to file reports of your interests in any securities of the Company and any acquisitions or disposals thereof, as well as various disclosures regarding your position in, agreements with and relations with the Company. The Company and our counsel will work with you to ensure all required reports and disclosures are filed in compliance with SEC rules.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need to establish a filing reference (or CIK) for you with the SEC, as a director a public reporting company and we will send you the applicable form in due course. Once that has been obtained our Edgar filing agent can make all necessary filings on your behalf, with your approval.</w:t>
      </w:r>
    </w:p>
    <w:p>
      <w:pPr>
        <w:spacing w:after="0" w:line="158"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commitment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By accepting this appointment, you have confirmed that you are able to allocate sufficient time to meet the reasonable expectations of your role, including appropriate preparation time ahead of Board (and, if applicable, committee) meetings.</w:t>
      </w:r>
    </w:p>
    <w:p>
      <w:pPr>
        <w:spacing w:after="0" w:line="158"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accepted and acknowledged that you have business interests other than those of the Company and have declared any current conflicts of interest. In the event that you become aware of any potential or actual conflicts of interest these should be disclosed to the Chairman and Corporate Secretary as soon as possible.</w:t>
      </w:r>
    </w:p>
    <w:p>
      <w:pPr>
        <w:spacing w:after="0" w:line="17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Reimbursement of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consideration for the performance of the duties outlined above, you will be entitled to compensation in accordance with the Company’s Compensation Policy for Non-Employee Directors, from time to time in force, including awards under the Company’s Equity Incentive Plans from time to time (“Plans”). At the present time this comprises equity and cash components, as follows:</w:t>
      </w:r>
    </w:p>
    <w:p>
      <w:pPr>
        <w:spacing w:after="0" w:line="176" w:lineRule="exact"/>
        <w:rPr>
          <w:sz w:val="20"/>
          <w:szCs w:val="20"/>
          <w:color w:val="auto"/>
        </w:rPr>
      </w:pPr>
    </w:p>
    <w:p>
      <w:pPr>
        <w:ind w:right="20" w:firstLine="656"/>
        <w:spacing w:after="0" w:line="282" w:lineRule="auto"/>
        <w:tabs>
          <w:tab w:leader="none" w:pos="8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equity award of an option to purchase 12,500 shares of common stock (“Shares”), subject to annual vesting of one-third of the Shares over three years on the date of each Annual Meeting commencing with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Kunal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31215" cy="626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6">
                      <a:extLst>
                        <a:ext uri="{28A0092B-C50C-407E-A947-70E740481C1C}"/>
                      </a:extLst>
                    </a:blip>
                    <a:srcRect/>
                    <a:stretch>
                      <a:fillRect/>
                    </a:stretch>
                  </pic:blipFill>
                  <pic:spPr bwMode="auto">
                    <a:xfrm>
                      <a:off x="0" y="0"/>
                      <a:ext cx="831215" cy="626110"/>
                    </a:xfrm>
                    <a:prstGeom prst="rect">
                      <a:avLst/>
                    </a:prstGeom>
                    <a:noFill/>
                  </pic:spPr>
                </pic:pic>
              </a:graphicData>
            </a:graphic>
          </wp:anchor>
        </w:drawing>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25, 2024</w:t>
      </w:r>
    </w:p>
    <w:p>
      <w:pPr>
        <w:spacing w:after="0" w:line="200" w:lineRule="exact"/>
        <w:rPr>
          <w:sz w:val="20"/>
          <w:szCs w:val="20"/>
          <w:color w:val="auto"/>
        </w:rPr>
      </w:pPr>
    </w:p>
    <w:p>
      <w:pPr>
        <w:spacing w:after="0" w:line="344" w:lineRule="exact"/>
        <w:rPr>
          <w:sz w:val="20"/>
          <w:szCs w:val="20"/>
          <w:color w:val="auto"/>
        </w:rPr>
      </w:pPr>
    </w:p>
    <w:p>
      <w:pPr>
        <w:ind w:firstLine="656"/>
        <w:spacing w:after="0" w:line="282" w:lineRule="auto"/>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equity award of an option to purchase 782 Shares, subject to monthly vesting of one-third of the Shares over three months following the date of your appointment;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following the Company’s 2024 Annual Meeting, assuming you are re-elected to office, an annual equity award in such amount as is determined by the Board to be the annual award for each non-employee director, subject to vesting over twelve months;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 of $2,000 per quarter (or $2,500 per quarter for committee chairs), payable quarterly in arrears.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equity awards are issued subject to the terms of their respective grant and the terms and conditions of the Plans. As the Company is currently in a closed period for dealings in the Shares for insiders, the grant will be made and will be priced on the third trading day after the announcement of the Company’s results for the first quarter of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is a contract for services and not a contract of employment, and as an independent contractor you will be paid your fees on a gross basis. You will be responsible for payment of all applicable Federal, State and local taxes on compensation received and all compensation shall be subject to reporting by the Company on an annual basis on Form 1099, as required by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your fees, you are entitled to be reimbursed any reasonable expenses incurred in attending meetings of the Board or of any committee of the Board, or of stockholder meetings, or otherwise on the business of the Company. The Company may require written evidence of such expenses to be provided and in certain cases prior approval. All expenses are subject to the Company’s expense policy.</w:t>
      </w:r>
    </w:p>
    <w:p>
      <w:pPr>
        <w:spacing w:after="0" w:line="17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are entitled to resign your membership on the Board or on any committee of the Board at any time. In addition, you agree to resign your directorship in the circumstances set forth in Section 6 below. Written notice of any such resignation should be given to the Chairman of the Board.</w:t>
      </w:r>
    </w:p>
    <w:p>
      <w:pPr>
        <w:spacing w:after="0" w:line="162"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This Agreement will automatically terminate, without requirement of notice, upon the date of your resignation from the Board (including any resignation pursuant to Section 6 below), if you are removed from office by a resolution of the stockholders in accordance with the Company’s Bylaws and Delaware law, or if you are not re-nominated or re-elected to the Board, and you will not be entitled to any further compensation following the termination date in any of these events.</w:t>
      </w:r>
    </w:p>
    <w:p>
      <w:pPr>
        <w:spacing w:after="0" w:line="176"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Immediate vacation of office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You agree to resign your office as a director on the Board and on each committee of the Board immediately in the event of any of the following circumstances:</w:t>
      </w:r>
    </w:p>
    <w:p>
      <w:pPr>
        <w:spacing w:after="0" w:line="162"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become prohibited by law from acting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Kunal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31215" cy="626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9">
                      <a:extLst>
                        <a:ext uri="{28A0092B-C50C-407E-A947-70E740481C1C}"/>
                      </a:extLst>
                    </a:blip>
                    <a:srcRect/>
                    <a:stretch>
                      <a:fillRect/>
                    </a:stretch>
                  </pic:blipFill>
                  <pic:spPr bwMode="auto">
                    <a:xfrm>
                      <a:off x="0" y="0"/>
                      <a:ext cx="831215" cy="626110"/>
                    </a:xfrm>
                    <a:prstGeom prst="rect">
                      <a:avLst/>
                    </a:prstGeom>
                    <a:noFill/>
                  </pic:spPr>
                </pic:pic>
              </a:graphicData>
            </a:graphic>
          </wp:anchor>
        </w:drawing>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25, 2024</w:t>
      </w:r>
    </w:p>
    <w:p>
      <w:pPr>
        <w:spacing w:after="0" w:line="200" w:lineRule="exact"/>
        <w:rPr>
          <w:sz w:val="20"/>
          <w:szCs w:val="20"/>
          <w:color w:val="auto"/>
        </w:rPr>
      </w:pPr>
    </w:p>
    <w:p>
      <w:pPr>
        <w:spacing w:after="0" w:line="344" w:lineRule="exact"/>
        <w:rPr>
          <w:sz w:val="20"/>
          <w:szCs w:val="20"/>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convicted of a felony or crime involving moral turpitude (excluding driving offences unless combined with other aggravating circumstances or offenses) or fraud;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engage in gross misconduct which is materially detrimental to the reputation or business of the Company; provided that you shall first be entitled to receive notice from the Board specifying such gross misconduct in reasonable detail, and shall have failed to cure or correct such gross misconduct within thirty (30) days of receiving such notice (unless such misconduct is of a nature that it is unable to be cured or corrected); or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willfully fail to comply in any material respect with the Company’s Confidentiality Agreement, Insider Trading Policy, Code of Ethics, Sexual Harassment Prevention Policy or any other reasonable policies of the Company where non-compliance would be materially detrimental to the Company; provided that you shall first be entitled to receive notice from the Board specifying such noncompliance in reasonable detail, and shall have failed to cure or correct such gross misconduct within thirty (30) days of receiving such notice (unless such non-compliance is of a nature that it is unable to be cured or corrected). I will have our General Counsel provide you with all relevant policies.</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  Confidentiality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acknowledge your duties of confidentiality and loyalty to the Company as a director of a Delaware corporation, and you agree to uphold such duties. In addition, you will be asked to execute a standard Confidentiality Agreement.</w:t>
      </w:r>
    </w:p>
    <w:p>
      <w:pPr>
        <w:spacing w:after="0" w:line="158"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&amp; Insurance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shall be entitled to indemnification by the Company with respect to your services as a director, to the fullest extent permitted by law and under the Company’s Certificate of Incorporation and Bylaws. In addition, upon your appointment the Company will enter into a standard indemnification agreement with you.</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shall be covered under the Company’s directors’ and officers’ insurance policy, for so long as you remain a member of the Board. The Company shall continue to provide coverage to you under such policy for not less than twenty-four (24) months following your termination date on substantially the same terms of the policy in effect immediately prior to the termination date.</w:t>
      </w:r>
    </w:p>
    <w:p>
      <w:pPr>
        <w:spacing w:after="0" w:line="172"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letter shall be governed by and construed in accordance with the law of the State of New York law and the courts, Federal and State, located in the State of New York shall have non-exclusive jurisdiction for all matters arising under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Kunal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31215" cy="6261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2">
                      <a:extLst>
                        <a:ext uri="{28A0092B-C50C-407E-A947-70E740481C1C}"/>
                      </a:extLst>
                    </a:blip>
                    <a:srcRect/>
                    <a:stretch>
                      <a:fillRect/>
                    </a:stretch>
                  </pic:blipFill>
                  <pic:spPr bwMode="auto">
                    <a:xfrm>
                      <a:off x="0" y="0"/>
                      <a:ext cx="831215" cy="626110"/>
                    </a:xfrm>
                    <a:prstGeom prst="rect">
                      <a:avLst/>
                    </a:prstGeom>
                    <a:noFill/>
                  </pic:spPr>
                </pic:pic>
              </a:graphicData>
            </a:graphic>
          </wp:anchor>
        </w:drawing>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25, 2024</w:t>
      </w: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this letter reflects the terms that we have agreed, please sign and return a copy of this letter to me.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authID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Rhoniel A. Daguro</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Rhoniel A. Daguro,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agree to act as a non-executive director of authID Inc. upon the terms contained in the above letter.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Kunal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Kunal Mehta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___March 25, 2024________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0020"/>
        <w:spacing w:after="0"/>
        <w:rPr>
          <w:sz w:val="20"/>
          <w:szCs w:val="20"/>
          <w:color w:val="auto"/>
        </w:rPr>
      </w:pPr>
      <w:r>
        <w:rPr>
          <w:rFonts w:ascii="Times New Roman" w:cs="Times New Roman" w:eastAsia="Times New Roman" w:hAnsi="Times New Roman"/>
          <w:sz w:val="21"/>
          <w:szCs w:val="21"/>
          <w:b w:val="1"/>
          <w:bCs w:val="1"/>
          <w:color w:val="auto"/>
        </w:rPr>
        <w:t>Exhibit 10.47</w:t>
      </w:r>
    </w:p>
    <w:p>
      <w:pPr>
        <w:spacing w:after="0" w:line="254"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Rhoniel A.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17295" cy="916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6">
                      <a:extLst>
                        <a:ext uri="{28A0092B-C50C-407E-A947-70E740481C1C}"/>
                      </a:extLst>
                    </a:blip>
                    <a:srcRect/>
                    <a:stretch>
                      <a:fillRect/>
                    </a:stretch>
                  </pic:blipFill>
                  <pic:spPr bwMode="auto">
                    <a:xfrm>
                      <a:off x="0" y="0"/>
                      <a:ext cx="1217295" cy="916940"/>
                    </a:xfrm>
                    <a:prstGeom prst="rect">
                      <a:avLst/>
                    </a:prstGeom>
                    <a:noFill/>
                  </pic:spPr>
                </pic:pic>
              </a:graphicData>
            </a:graphic>
          </wp:anchor>
        </w:drawing>
      </w:r>
    </w:p>
    <w:p>
      <w:pPr>
        <w:spacing w:after="0" w:line="1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rhondaguro@authid.ai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PRIVATE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Erick Soto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Employment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Erick:</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management of authID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takes pleasure in extending you this offer of employment as Chief Product Officer reporting to the Chief Executive Officer of the Company (“CEO”). As part of your responsibilities, you will be required to provide services to other subsidiaries and affiliates of the Company (together with the Company, collectively referred to as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Job Description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job responsibilities will include the following:</w:t>
      </w:r>
    </w:p>
    <w:p>
      <w:pPr>
        <w:spacing w:after="0" w:line="221" w:lineRule="exact"/>
        <w:rPr>
          <w:sz w:val="20"/>
          <w:szCs w:val="20"/>
          <w:color w:val="auto"/>
        </w:rPr>
      </w:pPr>
    </w:p>
    <w:p>
      <w:pPr>
        <w:ind w:left="980" w:hanging="324"/>
        <w:spacing w:after="0" w:line="28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Strategy</w:t>
      </w:r>
      <w:r>
        <w:rPr>
          <w:rFonts w:ascii="Times New Roman" w:cs="Times New Roman" w:eastAsia="Times New Roman" w:hAnsi="Times New Roman"/>
          <w:sz w:val="18"/>
          <w:szCs w:val="18"/>
          <w:color w:val="auto"/>
        </w:rPr>
        <w:t>: Build a vision for the future of authID that focuses on digital identity innovation and evangelize this vision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partners, employees, and analysts.</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Development &amp; Roadmap:</w:t>
      </w:r>
    </w:p>
    <w:p>
      <w:pPr>
        <w:spacing w:after="0" w:line="256" w:lineRule="exact"/>
        <w:rPr>
          <w:rFonts w:ascii="Times New Roman" w:cs="Times New Roman" w:eastAsia="Times New Roman" w:hAnsi="Times New Roman"/>
          <w:sz w:val="18"/>
          <w:szCs w:val="18"/>
          <w:color w:val="auto"/>
        </w:rPr>
      </w:pPr>
    </w:p>
    <w:p>
      <w:pPr>
        <w:ind w:left="980" w:right="680"/>
        <w:spacing w:after="0" w:line="5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Lead and hold the product and engineering teams accountable for delivering the multi-year roadmap that you will set for authID. o Develop operational, time-bound plans that align team members to deliverables to achieve all product milestones.</w:t>
      </w:r>
    </w:p>
    <w:p>
      <w:pPr>
        <w:spacing w:after="0" w:line="1"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GTM Execution</w:t>
      </w:r>
      <w:r>
        <w:rPr>
          <w:rFonts w:ascii="Times New Roman" w:cs="Times New Roman" w:eastAsia="Times New Roman" w:hAnsi="Times New Roman"/>
          <w:sz w:val="18"/>
          <w:szCs w:val="18"/>
          <w:color w:val="auto"/>
        </w:rPr>
        <w:t>: Develop and execute a go-to-market strategy &amp; plan in collaboration with marketing, sales, sales enablement, partnerships,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success/sales support, and product teams.</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Cross-functional Collaboration</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color w:val="auto"/>
        </w:rPr>
      </w:pPr>
    </w:p>
    <w:p>
      <w:pPr>
        <w:ind w:left="130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Partner with sales and marketing teams to shape the narrative, messaging, and positioning for authID’s existing and new product launches.</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130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Work with marketing and partnerships teams to develop, curate, and present content to enable sellers and partners on new and existing products.</w:t>
      </w:r>
    </w:p>
    <w:p>
      <w:pPr>
        <w:spacing w:after="0" w:line="188"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Collaborate with sales, channel sales, and partnerships to build solutions to drive incremental pipe and ACV.</w:t>
      </w:r>
    </w:p>
    <w:p>
      <w:pPr>
        <w:spacing w:after="0" w:line="248"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&amp; Competitive Intelligence</w:t>
      </w:r>
      <w:r>
        <w:rPr>
          <w:rFonts w:ascii="Times New Roman" w:cs="Times New Roman" w:eastAsia="Times New Roman" w:hAnsi="Times New Roman"/>
          <w:sz w:val="18"/>
          <w:szCs w:val="18"/>
          <w:color w:val="auto"/>
        </w:rPr>
        <w:t>: Gather and leverage market analysis, competitive knowledge, and primary and secondary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to refine product strategy that includes build/buy/partner and ultimately EOS/EOL strategy and execution.</w:t>
      </w:r>
    </w:p>
    <w:p>
      <w:pPr>
        <w:spacing w:after="0" w:line="181"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Engagement</w:t>
      </w:r>
      <w:r>
        <w:rPr>
          <w:rFonts w:ascii="Times New Roman" w:cs="Times New Roman" w:eastAsia="Times New Roman" w:hAnsi="Times New Roman"/>
          <w:sz w:val="18"/>
          <w:szCs w:val="18"/>
          <w:color w:val="auto"/>
        </w:rPr>
        <w:t>: Engage directly with customers as a trusted advisor, during pre-sales and post-sales implementations to ensure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authID products will help them reach their desired business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Erick Soto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31215" cy="6254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9">
                      <a:extLst>
                        <a:ext uri="{28A0092B-C50C-407E-A947-70E740481C1C}"/>
                      </a:extLst>
                    </a:blip>
                    <a:srcRect/>
                    <a:stretch>
                      <a:fillRect/>
                    </a:stretch>
                  </pic:blipFill>
                  <pic:spPr bwMode="auto">
                    <a:xfrm>
                      <a:off x="0" y="0"/>
                      <a:ext cx="831215" cy="62547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367" w:lineRule="exact"/>
        <w:rPr>
          <w:sz w:val="20"/>
          <w:szCs w:val="20"/>
          <w:color w:val="auto"/>
        </w:rPr>
      </w:pPr>
    </w:p>
    <w:p>
      <w:pPr>
        <w:ind w:left="980" w:hanging="324"/>
        <w:spacing w:after="0" w:line="28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Team Management &amp; Development</w:t>
      </w:r>
      <w:r>
        <w:rPr>
          <w:rFonts w:ascii="Times New Roman" w:cs="Times New Roman" w:eastAsia="Times New Roman" w:hAnsi="Times New Roman"/>
          <w:sz w:val="18"/>
          <w:szCs w:val="18"/>
          <w:color w:val="auto"/>
        </w:rPr>
        <w:t>: Build and lead a high-performing product and engineering team and leaders, promoting a culture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improvement; and</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Undertake such other responsibilities and tasks as are reasonably assigned to you from time to time by the CEO.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compensation package shall consist of the following:</w:t>
      </w:r>
    </w:p>
    <w:p>
      <w:pPr>
        <w:spacing w:after="0" w:line="207" w:lineRule="exact"/>
        <w:rPr>
          <w:sz w:val="20"/>
          <w:szCs w:val="20"/>
          <w:color w:val="auto"/>
        </w:rPr>
      </w:pPr>
    </w:p>
    <w:p>
      <w:pPr>
        <w:ind w:left="980"/>
        <w:spacing w:after="0" w:line="282" w:lineRule="auto"/>
        <w:tabs>
          <w:tab w:leader="none" w:pos="12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base salary of $325,000 per annum, which will be payable semi-monthly in arrears, and subject to all applicable deductions required by law. Your salary will be reviewed by the Company from time to time and may thereafter be increased.</w:t>
      </w:r>
    </w:p>
    <w:p>
      <w:pPr>
        <w:spacing w:after="0" w:line="161" w:lineRule="exact"/>
        <w:rPr>
          <w:rFonts w:ascii="Times New Roman" w:cs="Times New Roman" w:eastAsia="Times New Roman" w:hAnsi="Times New Roman"/>
          <w:sz w:val="18"/>
          <w:szCs w:val="18"/>
          <w:color w:val="auto"/>
        </w:rPr>
      </w:pPr>
    </w:p>
    <w:p>
      <w:pPr>
        <w:jc w:val="both"/>
        <w:ind w:left="980"/>
        <w:spacing w:after="0" w:line="266" w:lineRule="auto"/>
        <w:tabs>
          <w:tab w:leader="none" w:pos="12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also be eligible for an annual target bonus equal to twenty percent (20%) of your base salary (pro-rated for 2024 based on length of employment), based on achievement of performance milestones and targets to be mutually agreed between you and the CEO, within 30 days of commencement of your employment.</w:t>
      </w:r>
    </w:p>
    <w:p>
      <w:pPr>
        <w:spacing w:after="0" w:line="175" w:lineRule="exact"/>
        <w:rPr>
          <w:rFonts w:ascii="Times New Roman" w:cs="Times New Roman" w:eastAsia="Times New Roman" w:hAnsi="Times New Roman"/>
          <w:sz w:val="18"/>
          <w:szCs w:val="18"/>
          <w:color w:val="auto"/>
        </w:rPr>
      </w:pPr>
    </w:p>
    <w:p>
      <w:pPr>
        <w:jc w:val="both"/>
        <w:ind w:left="980"/>
        <w:spacing w:after="0" w:line="258" w:lineRule="auto"/>
        <w:tabs>
          <w:tab w:leader="none" w:pos="12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outset of your employment, , you will be provided with an initial grant of options to purchase 100,000 shares of Common Stock of $0.0001 par value in the Company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vesting monthly over the period of 3 years following the commencement of your employment. The grant is subject to approval by the Compensation Committee of the Board of Directors of the Company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The exercise price of the options shall be equal to the closing price of the Common Stock on the Nasdaq Stock Market on the date of grant, the Exercise Period shall be 10 years and the other terms of the options shall be as set forth in the option grant.</w:t>
      </w:r>
    </w:p>
    <w:p>
      <w:pPr>
        <w:spacing w:after="0" w:line="183" w:lineRule="exact"/>
        <w:rPr>
          <w:rFonts w:ascii="Times New Roman" w:cs="Times New Roman" w:eastAsia="Times New Roman" w:hAnsi="Times New Roman"/>
          <w:sz w:val="18"/>
          <w:szCs w:val="18"/>
          <w:color w:val="auto"/>
        </w:rPr>
      </w:pPr>
    </w:p>
    <w:p>
      <w:pPr>
        <w:jc w:val="both"/>
        <w:ind w:left="980"/>
        <w:spacing w:after="0" w:line="261" w:lineRule="auto"/>
        <w:tabs>
          <w:tab w:leader="none" w:pos="12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eligible for discretionary equity incentive grants and cash bonus awards, subject to your continued employment and satisfactory job performance, which may be made from time to time, by the Compensation Committee of the Board of Directors of the Company. Terms and conditions of all your equity incentive grants, will be as determined by the Committee and in accordance with the terms of the Company’s equity incentive plan in effect at the time of each such grant.</w:t>
      </w:r>
    </w:p>
    <w:p>
      <w:pPr>
        <w:spacing w:after="0" w:line="179"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Executive Retention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spacing w:after="0" w:line="282" w:lineRule="auto"/>
        <w:tabs>
          <w:tab w:leader="none" w:pos="12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compensation made under this Agreement shall be subject to deduction of all federal, state, local and other taxes required to be withheld by applicable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additional terms of your employment, the following will apply:</w:t>
      </w:r>
    </w:p>
    <w:p>
      <w:pPr>
        <w:spacing w:after="0" w:line="221" w:lineRule="exact"/>
        <w:rPr>
          <w:sz w:val="20"/>
          <w:szCs w:val="20"/>
          <w:color w:val="auto"/>
        </w:rPr>
      </w:pPr>
    </w:p>
    <w:p>
      <w:pPr>
        <w:jc w:val="both"/>
        <w:ind w:left="340" w:hanging="332"/>
        <w:spacing w:after="0" w:line="257"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 Will Employment; Probationary Period. </w:t>
      </w:r>
      <w:r>
        <w:rPr>
          <w:rFonts w:ascii="Times New Roman" w:cs="Times New Roman" w:eastAsia="Times New Roman" w:hAnsi="Times New Roman"/>
          <w:sz w:val="18"/>
          <w:szCs w:val="18"/>
          <w:color w:val="auto"/>
        </w:rPr>
        <w:t>Your employment will start on September 23, 2024, or such other date as we shall agree. There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initial three (3) month probationary period for initial assessment of your performance and suitability for the role. While we look forward to a long and mutually beneficial relationship, your employment will be “at-will” and may be terminated at any time upon written notice and without prior warning both during and after the probationary period. Further, your participation in any stock option or benefit program are not to be regarded as assuring you of continuing employment for any particular period of time. Any modification or change in your “at-will” employment status may only occur by way of a written employment agreement signed by you and authorized by the Chief Executive Officer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Erick Soto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31215" cy="626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2">
                      <a:extLst>
                        <a:ext uri="{28A0092B-C50C-407E-A947-70E740481C1C}"/>
                      </a:extLst>
                    </a:blip>
                    <a:srcRect/>
                    <a:stretch>
                      <a:fillRect/>
                    </a:stretch>
                  </pic:blipFill>
                  <pic:spPr bwMode="auto">
                    <a:xfrm>
                      <a:off x="0" y="0"/>
                      <a:ext cx="831215" cy="62611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367" w:lineRule="exact"/>
        <w:rPr>
          <w:sz w:val="20"/>
          <w:szCs w:val="20"/>
          <w:color w:val="auto"/>
        </w:rPr>
      </w:pPr>
    </w:p>
    <w:p>
      <w:pPr>
        <w:jc w:val="both"/>
        <w:ind w:left="340" w:hanging="332"/>
        <w:spacing w:after="0" w:line="268"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Location and Travel. </w:t>
      </w:r>
      <w:r>
        <w:rPr>
          <w:rFonts w:ascii="Times New Roman" w:cs="Times New Roman" w:eastAsia="Times New Roman" w:hAnsi="Times New Roman"/>
          <w:sz w:val="18"/>
          <w:szCs w:val="18"/>
          <w:color w:val="auto"/>
        </w:rPr>
        <w:t>You will work remotely at home. As part of your duties you will be required to travel as necessary to perform your duties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including visiting Group’s Head Office and other offices in the locations where they may exist from time to time and attending Group personnel and team meetings from time to time.</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Working Hours</w:t>
      </w:r>
      <w:r>
        <w:rPr>
          <w:rFonts w:ascii="Times New Roman" w:cs="Times New Roman" w:eastAsia="Times New Roman" w:hAnsi="Times New Roman"/>
          <w:sz w:val="18"/>
          <w:szCs w:val="18"/>
          <w:color w:val="auto"/>
        </w:rPr>
        <w:t>. You will be expected to devote your full time and attention to your employment, to the extent necessary to carry out your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Because of the nature of your position, and as an exempt employee you will be required to work outside of usual working hours, where the circumstances and business needs require it. You shall not engage or be involved in any other business activity without the approval of the CEO.</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Paid Time Off. </w:t>
      </w:r>
      <w:r>
        <w:rPr>
          <w:rFonts w:ascii="Times New Roman" w:cs="Times New Roman" w:eastAsia="Times New Roman" w:hAnsi="Times New Roman"/>
          <w:sz w:val="18"/>
          <w:szCs w:val="18"/>
          <w:color w:val="auto"/>
        </w:rPr>
        <w:t>You will be entitled to Paid Time Off in accordance with the provisions of the Company’s Employee Handbook, which has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unlimited reasonable PTO policy, in addition to all public holidays when the office is closed. Vacation may be taken upon reasonable prior notice to the CEO. The Company’s Employee Handbook contains further provisions relating to your entitlement and the taking of Paid Time Off.</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Sick &amp; Personal Days. </w:t>
      </w:r>
      <w:r>
        <w:rPr>
          <w:rFonts w:ascii="Times New Roman" w:cs="Times New Roman" w:eastAsia="Times New Roman" w:hAnsi="Times New Roman"/>
          <w:sz w:val="18"/>
          <w:szCs w:val="18"/>
          <w:color w:val="auto"/>
        </w:rPr>
        <w:t>Paid Time Off may be used for sick or personal days. The Company’s Employee Handbook contains further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taking of sick or personal days.</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Benefits</w:t>
      </w:r>
      <w:r>
        <w:rPr>
          <w:rFonts w:ascii="Times New Roman" w:cs="Times New Roman" w:eastAsia="Times New Roman" w:hAnsi="Times New Roman"/>
          <w:sz w:val="18"/>
          <w:szCs w:val="18"/>
          <w:color w:val="auto"/>
        </w:rPr>
        <w:t>. You will be eligible to participate in all employee benefit plans established by the Company for its employees from time to time.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currently offers the benefits that are detailed in the Employee Handbook.</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Expense Reimbursement. </w:t>
      </w:r>
      <w:r>
        <w:rPr>
          <w:rFonts w:ascii="Times New Roman" w:cs="Times New Roman" w:eastAsia="Times New Roman" w:hAnsi="Times New Roman"/>
          <w:sz w:val="18"/>
          <w:szCs w:val="18"/>
          <w:color w:val="auto"/>
        </w:rPr>
        <w:t>In accordance with Company policies from time to time, we will reimburse you for all reasonable and proper travel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expenses incurred by you in the performance of your duties.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and Assignment of Inventions</w:t>
      </w:r>
      <w:r>
        <w:rPr>
          <w:rFonts w:ascii="Times New Roman" w:cs="Times New Roman" w:eastAsia="Times New Roman" w:hAnsi="Times New Roman"/>
          <w:sz w:val="18"/>
          <w:szCs w:val="18"/>
          <w:color w:val="auto"/>
        </w:rPr>
        <w:t>. As an employee and executive of the Company, you will have access to certain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of the Company and you may, during the course of your employment, develop certain information or inventions that will be the property of the Company. To protect the interests of the Company, you will need to sign the Company’s standard “Employee Invention Assignment and Confidentiality Agreement” in the form attached hereto as Exhibit A as a condition of your employment.</w:t>
      </w:r>
    </w:p>
    <w:p>
      <w:pPr>
        <w:spacing w:after="0" w:line="176"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Covenant Not to Compete. </w:t>
      </w:r>
      <w:r>
        <w:rPr>
          <w:rFonts w:ascii="Times New Roman" w:cs="Times New Roman" w:eastAsia="Times New Roman" w:hAnsi="Times New Roman"/>
          <w:sz w:val="18"/>
          <w:szCs w:val="18"/>
          <w:color w:val="auto"/>
        </w:rPr>
        <w:t>During the term of this Agreement and, with respect to paragraphs 9(b) and (c) only, for the period of six (6) months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termination of your employment by any member of the Group for any reason whatsoever, you shall not directly or indirectly:</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employed, or engaged as an independent contractor, consultant, or in any position where your responsibilities would require you to directly or indirectly support/work on services and/or products that are in competition with the Group’s businesses as they exist during your employment -- the Group’s businesses currently consist of its biometric identity verification and authentication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Erick Soto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31215" cy="6261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5">
                      <a:extLst>
                        <a:ext uri="{28A0092B-C50C-407E-A947-70E740481C1C}"/>
                      </a:extLst>
                    </a:blip>
                    <a:srcRect/>
                    <a:stretch>
                      <a:fillRect/>
                    </a:stretch>
                  </pic:blipFill>
                  <pic:spPr bwMode="auto">
                    <a:xfrm>
                      <a:off x="0" y="0"/>
                      <a:ext cx="831215" cy="62611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371" w:lineRule="exact"/>
        <w:rPr>
          <w:sz w:val="20"/>
          <w:szCs w:val="20"/>
          <w:color w:val="auto"/>
        </w:rPr>
      </w:pPr>
    </w:p>
    <w:p>
      <w:pPr>
        <w:jc w:val="both"/>
        <w:ind w:left="1300" w:hanging="644"/>
        <w:spacing w:after="0" w:line="258"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as an employee, independent contractor, consultant, advisor, or principal, enter into any agreement which is for the provision of services in competition with any of the Group’s businesses, as they exist during your employment or on the date of your separation from the Company, with any entity, which is or was a customer of the Group (or was in negotiation to become a customer of the Group), as of or at any time within six (6) months prior to your separation date, nor cause any such customer to enter into any such agreement for competitive services with any third party.</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on your own behalf or on behalf of any other person or entity (i) directly or indirectly solicit any employee of the Group to discontinue such employment relationship with the Group; or (ii) employ or seek to employ any person who is or was employed by the Group as of or at any time within six (6) months prior to your separation date.</w:t>
      </w:r>
    </w:p>
    <w:p>
      <w:pPr>
        <w:spacing w:after="0" w:line="176"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You acknowledge that the restrictions set forth in this paragraph are reasonable and necessary for the protection of the Group’s legitimate interests, in particular having regard to the sensitive position which you will hold and the high level of confidential and proprietary information regarding the Group’s business operations, systems and customers to which you will have access, during the performance of your duties hereunder.</w:t>
      </w:r>
    </w:p>
    <w:p>
      <w:pPr>
        <w:spacing w:after="0" w:line="172" w:lineRule="exact"/>
        <w:rPr>
          <w:sz w:val="20"/>
          <w:szCs w:val="20"/>
          <w:color w:val="auto"/>
        </w:rPr>
      </w:pPr>
    </w:p>
    <w:p>
      <w:pPr>
        <w:jc w:val="both"/>
        <w:ind w:left="340" w:hanging="332"/>
        <w:spacing w:after="0" w:line="25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Pre-existing obligations. </w:t>
      </w:r>
      <w:r>
        <w:rPr>
          <w:rFonts w:ascii="Times New Roman" w:cs="Times New Roman" w:eastAsia="Times New Roman" w:hAnsi="Times New Roman"/>
          <w:sz w:val="18"/>
          <w:szCs w:val="18"/>
          <w:color w:val="auto"/>
        </w:rPr>
        <w:t>You hereby warrant and represent that you are not subject to any restrictive covenant, or other agreement, which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you from accepting this offer or from performing your obligations hereunder. To the extent that you are subject to confidentiality obligations to a former employer or any third party, you acknowledge and agree that it is your responsibility to ensure that you comply with such obligations on a continuing basis. You acknowledge that the Company is relying upon your warranty, representation and acknowledgement in this paragraph in making this offer to you. In the event of any claim against you or the Group by any third party arising out of a breach of this paragraph, you agree to indemnify and hold the Group (and its directors, officers and employees) harmless from and against all costs, claims and damages arising from such third party’s claim.</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&amp; Jurisdiction. </w:t>
      </w:r>
      <w:r>
        <w:rPr>
          <w:rFonts w:ascii="Times New Roman" w:cs="Times New Roman" w:eastAsia="Times New Roman" w:hAnsi="Times New Roman"/>
          <w:sz w:val="18"/>
          <w:szCs w:val="18"/>
          <w:color w:val="auto"/>
        </w:rPr>
        <w:t>This offer and your employment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Florida. You and the Company agree to submit to the exclusive personal jurisdiction of the federal and state courts located in the State of Florida, in connection with any dispute or proceedings arising out of or relating to this offer and your employment, and each of us hereby submits to the exclusive jurisdiction of such courts.</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No amendment or waiver of any of the provisions hereof shall be effective, unless in writing and signed by each party.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Documents &amp; Training. </w:t>
      </w:r>
      <w:r>
        <w:rPr>
          <w:rFonts w:ascii="Times New Roman" w:cs="Times New Roman" w:eastAsia="Times New Roman" w:hAnsi="Times New Roman"/>
          <w:sz w:val="18"/>
          <w:szCs w:val="18"/>
          <w:color w:val="auto"/>
        </w:rPr>
        <w:t>Your employment is subject to the Employment Handbook and terms and conditions (including benefits)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to employees of the Group, from time to time in force, which are subject to change, amendment, or deletion in the Company’s sole discretion. As a condition of your employment you will also be required to enter into certain standard undertakings and consents regarding security, confidentiality and use of the Group’s facilities and property. As part of our objective of continuous improvement and in order to comply with certain customer and audit requirements, you will also be required to undergo training at least annually on various matters including data security. During the first ninety days of your employment, you will also be required to take and pass the “authID University” training program and certification, providing you with the basic information regarding the Company and its products etc., that you’ll need to enable you to be successful. In accordance with our standard policy this employment offer is subject to our receiving satisfactory references and civil and criminal background checks, and by signing this letter you hereby consent to our undertaking such reference and background checks.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Erick Soto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31215" cy="626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8">
                      <a:extLst>
                        <a:ext uri="{28A0092B-C50C-407E-A947-70E740481C1C}"/>
                      </a:extLst>
                    </a:blip>
                    <a:srcRect/>
                    <a:stretch>
                      <a:fillRect/>
                    </a:stretch>
                  </pic:blipFill>
                  <pic:spPr bwMode="auto">
                    <a:xfrm>
                      <a:off x="0" y="0"/>
                      <a:ext cx="831215" cy="62611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pacing w:after="0" w:line="200" w:lineRule="exact"/>
        <w:rPr>
          <w:sz w:val="20"/>
          <w:szCs w:val="20"/>
          <w:color w:val="auto"/>
        </w:rPr>
      </w:pPr>
    </w:p>
    <w:p>
      <w:pPr>
        <w:spacing w:after="0" w:line="340"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to Work. </w:t>
      </w:r>
      <w:r>
        <w:rPr>
          <w:rFonts w:ascii="Times New Roman" w:cs="Times New Roman" w:eastAsia="Times New Roman" w:hAnsi="Times New Roman"/>
          <w:sz w:val="18"/>
          <w:szCs w:val="18"/>
          <w:color w:val="auto"/>
        </w:rPr>
        <w:t>Please note that because of employer regulations adopted in the Immigration Reform and Control Act of 1986, within three</w:t>
      </w:r>
    </w:p>
    <w:p>
      <w:pPr>
        <w:spacing w:after="0" w:line="31" w:lineRule="exact"/>
        <w:rPr>
          <w:rFonts w:ascii="Times New Roman" w:cs="Times New Roman" w:eastAsia="Times New Roman" w:hAnsi="Times New Roman"/>
          <w:sz w:val="18"/>
          <w:szCs w:val="18"/>
          <w:color w:val="auto"/>
        </w:rPr>
      </w:pPr>
    </w:p>
    <w:p>
      <w:pPr>
        <w:ind w:left="340" w:right="20" w:hanging="8"/>
        <w:spacing w:after="0" w:line="260" w:lineRule="auto"/>
        <w:tabs>
          <w:tab w:leader="none" w:pos="6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starting your new position you will need to present documentation demonstrating that you have authorization to work in the United States.</w:t>
      </w:r>
    </w:p>
    <w:p>
      <w:pPr>
        <w:spacing w:after="0" w:line="177"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letter or the application thereof is held invalid by a court, arbitrator or government agency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you agree that such a determination of invalidity shall not affect other provisions or applications of the letter which can be given effect without the invalid provisions and thus shall remain in full force and effect or application.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terms and the conditions of this letter are acceptable to you, please sign, date and return a copy of this letter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a long and mutually beneficial relationship.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2"/>
          <w:szCs w:val="12"/>
          <w:color w:val="auto"/>
        </w:rPr>
        <w:t>auth</w:t>
      </w:r>
      <w:r>
        <w:rPr>
          <w:rFonts w:ascii="Times New Roman" w:cs="Times New Roman" w:eastAsia="Times New Roman" w:hAnsi="Times New Roman"/>
          <w:sz w:val="17"/>
          <w:szCs w:val="17"/>
          <w:color w:val="auto"/>
        </w:rPr>
        <w:t>ID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Rhoniel A.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Rhoniel A. Daguro,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&amp;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Erick Soto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ERICK SOTO</w:t>
      </w:r>
      <w:r>
        <w:rPr>
          <w:sz w:val="20"/>
          <w:szCs w:val="20"/>
          <w:color w:val="auto"/>
        </w:rPr>
        <w:tab/>
      </w:r>
      <w:r>
        <w:rPr>
          <w:rFonts w:ascii="Times New Roman" w:cs="Times New Roman" w:eastAsia="Times New Roman" w:hAnsi="Times New Roman"/>
          <w:sz w:val="18"/>
          <w:szCs w:val="18"/>
          <w:color w:val="auto"/>
        </w:rPr>
        <w:t>Dated: September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INVENTION ASSIGNMENT AND CONFIDENTIALITY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EMPLOYEE INVENTION ASSIGNMENT AND CONFIDENTIALITY AGREEMENT </w:t>
      </w:r>
      <w:r>
        <w:rPr>
          <w:rFonts w:ascii="Times New Roman" w:cs="Times New Roman" w:eastAsia="Times New Roman" w:hAnsi="Times New Roman"/>
          <w:sz w:val="18"/>
          <w:szCs w:val="18"/>
          <w:color w:val="auto"/>
        </w:rPr>
        <w:t>is entered into as of the date of signature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between I the undersigned </w:t>
      </w:r>
      <w:r>
        <w:rPr>
          <w:rFonts w:ascii="Times New Roman" w:cs="Times New Roman" w:eastAsia="Times New Roman" w:hAnsi="Times New Roman"/>
          <w:sz w:val="18"/>
          <w:szCs w:val="18"/>
          <w:b w:val="1"/>
          <w:bCs w:val="1"/>
          <w:color w:val="auto"/>
        </w:rPr>
        <w:t>ERICK SOTO</w:t>
      </w:r>
      <w:r>
        <w:rPr>
          <w:rFonts w:ascii="Times New Roman" w:cs="Times New Roman" w:eastAsia="Times New Roman" w:hAnsi="Times New Roman"/>
          <w:sz w:val="18"/>
          <w:szCs w:val="18"/>
          <w:color w:val="auto"/>
        </w:rPr>
        <w:t xml:space="preserve"> with an address at ___________________________________ and </w:t>
      </w:r>
      <w:r>
        <w:rPr>
          <w:rFonts w:ascii="Times New Roman" w:cs="Times New Roman" w:eastAsia="Times New Roman" w:hAnsi="Times New Roman"/>
          <w:sz w:val="18"/>
          <w:szCs w:val="18"/>
          <w:b w:val="1"/>
          <w:bCs w:val="1"/>
          <w:color w:val="auto"/>
        </w:rPr>
        <w:t>authID INC.</w:t>
      </w:r>
      <w:r>
        <w:rPr>
          <w:rFonts w:ascii="Times New Roman" w:cs="Times New Roman" w:eastAsia="Times New Roman" w:hAnsi="Times New Roman"/>
          <w:sz w:val="18"/>
          <w:szCs w:val="18"/>
          <w:color w:val="auto"/>
        </w:rPr>
        <w:t xml:space="preserve">, a Delaware corporation with a place of business at 1580 N. Logan St., Suite 660, Unit 51767, Denver, CO 80203,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I have agreed to be an employee of the Company or one of its affiliated entities (collectively referred to herein as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CONSIDERATION OF, and as a condition of my employment with the Company (the receipt and sufficiency of which I hereby acknowledge) I hereby represent to, and agree with the Company as follows:</w:t>
      </w:r>
    </w:p>
    <w:p>
      <w:pPr>
        <w:spacing w:after="0" w:line="158" w:lineRule="exact"/>
        <w:rPr>
          <w:sz w:val="20"/>
          <w:szCs w:val="20"/>
          <w:color w:val="auto"/>
        </w:rPr>
      </w:pPr>
    </w:p>
    <w:p>
      <w:pPr>
        <w:jc w:val="both"/>
        <w:ind w:firstLine="656"/>
        <w:spacing w:after="0" w:line="268" w:lineRule="auto"/>
        <w:tabs>
          <w:tab w:leader="none" w:pos="82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understand that it is critical for the Company to preserve and protect its rights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 below), its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xml:space="preserve"> (as defined in Section 7 below) and in all related intellectual property rights. Accordingly, I am entering into this Employee Invention Assignment and Confidentiality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as a condition of my employment with the Company.</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4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 of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will promptly disclose in confidence to the Company all inventions, improvements, designs, original works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authorship, formulas, processes, compositions of matter, computer software programs, databases, mask works and trade secrets (the </w:t>
      </w:r>
      <w:r>
        <w:rPr>
          <w:rFonts w:ascii="Times New Roman" w:cs="Times New Roman" w:eastAsia="Times New Roman" w:hAnsi="Times New Roman"/>
          <w:sz w:val="18"/>
          <w:szCs w:val="18"/>
          <w:b w:val="1"/>
          <w:bCs w:val="1"/>
          <w:i w:val="1"/>
          <w:iCs w:val="1"/>
          <w:color w:val="auto"/>
        </w:rPr>
        <w:t>“Inventions”</w:t>
      </w:r>
      <w:r>
        <w:rPr>
          <w:rFonts w:ascii="Times New Roman" w:cs="Times New Roman" w:eastAsia="Times New Roman" w:hAnsi="Times New Roman"/>
          <w:sz w:val="18"/>
          <w:szCs w:val="18"/>
          <w:color w:val="auto"/>
        </w:rPr>
        <w:t>) that I make or conceive or first reduce to practice or create, either alone or jointly with others, during the period of my employment, whether or not in the course of my employment, and whether or not such Inventions are patentable, copyrightable or protectable as trade secrets.</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2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Work for Hire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acknowledge and agree that any copyrightable works prepared by me within the scope of my employment, including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any such works prepared prior to the date hereof are “works made for hire” under the Copyright Law of the United States and that the Company will be considered the author and owner of such copyrightable works.</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4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 of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agree that all Inventions that (i) have been or are developed using equipment, supplies, facilities,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or trade secrets of the Company, (ii) result from work performed by me for the Company, or (iii) relate to the Company’s business or current or anticipated research and development (the </w:t>
      </w:r>
      <w:r>
        <w:rPr>
          <w:rFonts w:ascii="Times New Roman" w:cs="Times New Roman" w:eastAsia="Times New Roman" w:hAnsi="Times New Roman"/>
          <w:sz w:val="18"/>
          <w:szCs w:val="18"/>
          <w:b w:val="1"/>
          <w:bCs w:val="1"/>
          <w:i w:val="1"/>
          <w:iCs w:val="1"/>
          <w:color w:val="auto"/>
        </w:rPr>
        <w:t>“Assigned Inventions”</w:t>
      </w:r>
      <w:r>
        <w:rPr>
          <w:rFonts w:ascii="Times New Roman" w:cs="Times New Roman" w:eastAsia="Times New Roman" w:hAnsi="Times New Roman"/>
          <w:sz w:val="18"/>
          <w:szCs w:val="18"/>
          <w:color w:val="auto"/>
        </w:rPr>
        <w:t>), will be the sole and exclusive property of the Company and are hereby irrevocably assigned by me to the Company.</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85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 of Other Rights; Moral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the foregoing assignment of Assigned Inventions to the Company, I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irrevocably transfer and assign to the Company: (i) all worldwide patents, patent applications, copyrights, mask works, trade secrets and other intellectual property rights, including but not limited to rights in databases, in any Assigned Inventions, along with any registrations of or applications to register such rights; and (ii) any and all “Moral Rights” (as defined below) that I may have in or with respect to any Assigned Inventions. I also hereby forever waive and agree never to assert any and all Moral Rights I may have in or with respect to any Assigned Inventions, even after termination of my work on behalf of the Company. </w:t>
      </w:r>
      <w:r>
        <w:rPr>
          <w:rFonts w:ascii="Times New Roman" w:cs="Times New Roman" w:eastAsia="Times New Roman" w:hAnsi="Times New Roman"/>
          <w:sz w:val="18"/>
          <w:szCs w:val="18"/>
          <w:b w:val="1"/>
          <w:bCs w:val="1"/>
          <w:i w:val="1"/>
          <w:iCs w:val="1"/>
          <w:color w:val="auto"/>
        </w:rPr>
        <w:t>“Moral Rights”</w:t>
      </w:r>
      <w:r>
        <w:rPr>
          <w:rFonts w:ascii="Times New Roman" w:cs="Times New Roman" w:eastAsia="Times New Roman" w:hAnsi="Times New Roman"/>
          <w:sz w:val="18"/>
          <w:szCs w:val="18"/>
          <w:color w:val="auto"/>
        </w:rPr>
        <w:t xml:space="preserve"> mean any rights to claim authorship of or credit on an Assigned Invention, to object to or prevent the modification or destruction of any Assigned Inventions, or to withdraw from circulation or control the publication or distribution of any Assigned Inventions, and any similar right, existing under judicial or statutory law of any country or subdivision thereof in the world, or under any treaty, regardless of whether or not such right is denominated or generally referred to as a “moral right.”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656"/>
        <w:spacing w:after="0" w:line="257" w:lineRule="auto"/>
        <w:tabs>
          <w:tab w:leader="none" w:pos="85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agree to assist the Company in every proper way, at the Company’s cost, to obtain for the Company and enforce 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copyrights, mask work rights, trade secret rights and other legal protections for the Company’s Assigned Inventions in any and all countries. I will execute any documents that the Company may reasonably request for use in obtaining or enforcing such patents, copyrights, mask work rights, trade secrets and other legal protections.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appoint the Secretary of the Company as my attorney-in-fact to execute documents on my behalf for this purpose.</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82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understand that my employment by the Company creates a relationship of confidence and trust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that may be disclosed to me by the Company and its officers, employees, shareholders or agents, whether orally, in writing, by computer or other medium, by demonstration, by supply of samples and parts or in any other manner, or which is otherwise accessible to me, that relates to the business of the Company or to the business of any parent, subsidiary, affiliate, customer or supplier of the Company including all information received by the Company from third parties, which is subject to an obligation of confidentiality (the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Such Confidential Information includes, but is not limited to, Assigned Inventions, computer programming and software, Company products and services, systems, functionality, designs, hardware, parts, concepts, specifications, features, techniques, plans, marketing, sales, performance, cost, pricing, supplier and customer information, data, tables, schedules, contracts and other information concerning the Company and its customers. I hereby acknowledge that all such Confidential Information belongs to the Company (or the respective customer, supplier or third party, which supplied it to the Company).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82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times, both during my employment and after its termination (without limitation in point of time), I will keep and hold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Confidential Information in strict confidence and trust. I will not use or disclose any Confidential Information without the prior written consent of the Company, except as may be necessary to perform my duties as an employee of the Company for the benefit of the Company and except as set forth in Section 10 below. Upon termination of my employment with the Company, I will promptly deliver to the Company all documents and materials of any nature pertaining to my work with the Company. I will not take with me or retain any documents or materials or copies thereof containing any Confidential Information and except as set forth in Section 10 below. I agree that I shall at all times comply with the Company’s Information Security Policy and Procedures from time to time in force. </w:t>
      </w:r>
      <w:r>
        <w:rPr>
          <w:rFonts w:ascii="Times New Roman" w:cs="Times New Roman" w:eastAsia="Times New Roman" w:hAnsi="Times New Roman"/>
          <w:sz w:val="18"/>
          <w:szCs w:val="18"/>
          <w:b w:val="1"/>
          <w:bCs w:val="1"/>
          <w:color w:val="auto"/>
        </w:rPr>
        <w:t>I acknowledge that breach of this policy or any other provision of this Agreement may be grounds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immediate dismissal.</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84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Breach of Agreement or Infringement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represent that my acceptance of the Company’s offer of employment, performance of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and my duties as an employee of the Company will not so far as I am aware breach any invention assignment, proprietary information, confidentiality or similar agreement with any other party, nor infringe the rights of any third party. I represent that I will not bring with me to the Company or use in the performance of my duties for the Company any documents or materials or intangibles of a former employer or third party that are not generally available to the public or have not been legally transferred to the Company. I acknowledge that the Company is relying upon my warranty, representation and acknowledgement in this paragraph in offering me employment.</w:t>
      </w:r>
    </w:p>
    <w:p>
      <w:pPr>
        <w:spacing w:after="0" w:line="182"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of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prohibits me from: (i) making truthful statements or disclosing confidential information as may be required by applicable law or regulation, or pursuant to the valid order of a court or competent jurisdiction or an authorized government agency, (ii) cooperating with or participating in any investigation by a governmental agency, (iii) reporting possible violations of federal or state law or regulation to or filing a charge with any governmental agency or entity (including, but not limited to, the Department of Justice, the Securities and Exchange Commission, the National Labor Relations Board, the Equal Employment Opportunity Commission, Members of Congress, and any agency Inspector General), or making other disclosures that are protected under the whistleblower provisions of federal or state law or regulation, and the prior authorization or notification of the Company is not needed to make any such reports or disclosures,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1304"/>
        <w:spacing w:after="0" w:line="258" w:lineRule="auto"/>
        <w:tabs>
          <w:tab w:leader="none" w:pos="15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am hereby notified that federal law provides certain protections to individuals who disclose a trade secret to their attorney, a court, or a government official in certain, confidential circumstances. See 18 U.S.C. § 1833(b)(1). I have also been notified that federal law provides that an individual who files a lawsuit for retaliation by an employer for reporting a suspected violation of law may disclose the trade secret to the attorney of the individual and use the trade secret information in the court proceeding, subject to certain limitations. See 18 U.S.C. § 1833(b)(2). Nothing in this Agreement is intended in any way to limit such statutory rights.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hereby authorize the Company to notify my actual or future employers of the terms of this Agreement and my responsibilities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hereunder.</w:t>
      </w:r>
    </w:p>
    <w:p>
      <w:pPr>
        <w:spacing w:after="0" w:line="20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Injunctive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understand that in the event of a breach or threatened breach of this Agreement by me the Company may suffer irreparable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 and will therefore be entitled to injunctive relief to enforce this Agreement.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4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be governed by and construed in accordance with the laws of the State of Florida,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giving effect to that body of laws pertaining to conflict of laws. I hereby submit to the jurisdiction of and consent to suit in the courts, Federal and State located in the State of Florida with respect to any matter or dispute arising out of this Agreement.</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3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this Agreement is determined by any court or arbitrator of competent jurisdiction to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4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any number of counterparts, each of which when so executed and delivered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and the same agreement.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1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documents referred to herein constitute the entire agreement and understanding of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of this Agreement, and supersede all prior understandings and agreements, whether oral or written, between or among the parties hereto with respect to the specific subject matter hereof.</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4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amended only by a written agreement executed by each of the parties hereto.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of or 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56"/>
        <w:spacing w:after="0" w:line="259" w:lineRule="auto"/>
        <w:tabs>
          <w:tab w:leader="none" w:pos="91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this Agreement, this Agreement, and the rights and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hereunder, will be binding upon and inure to the benefit of their respective successors, assigns, heirs, executors, administrators and legal representatives. The Company may assign any of its rights and obligations under this Agreement to any entity which is my employer. No other party to this Agreement may assign, whether voluntarily or by operation of law, any of its rights and obligations under this Agreement, except with the prior written consent of the Company.</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4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to execute such further documents and instruments and to take such further actions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carry out the purposes and intent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AS OF THIS </w:t>
      </w:r>
      <w:r>
        <w:rPr>
          <w:rFonts w:ascii="Times New Roman" w:cs="Times New Roman" w:eastAsia="Times New Roman" w:hAnsi="Times New Roman"/>
          <w:sz w:val="18"/>
          <w:szCs w:val="18"/>
          <w:u w:val="single" w:color="auto"/>
          <w:color w:val="auto"/>
        </w:rPr>
        <w:t>October 10,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Erick Soto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ERICK SOTO</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RETENTION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Executive Retention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_________________ by and between AUTHID INC.,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ERICK SOTO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Executive is being hired as a key employee of the Company and the Company and the Executive desire to enter into this Agreement to encourage the Executive to devote the Executive’s full attention and dedication to the success of the Company, and to provide specified compensation and benefits to the Executive in the event of a Termination Upon Change of Control, or certain other terminations pursuant to the terms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5" w:lineRule="exact"/>
        <w:rPr>
          <w:sz w:val="20"/>
          <w:szCs w:val="20"/>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AND TERM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purpose of this Agreement is to provide specified compensation and benefits to the Executive in the event of (i) a Termination Upon Change of Control or (ii) an Involuntary Termination. Subject to the terms of any applicable written employment agreement between Company and the Executive (as to which Executive acknowledges no other such agreement exists as of the date hereof beyond the Employment Offer Letter dated as of the date hereof), either the Executive or Company may terminate the Executive’s employment at any time for any reason, with or without notice. The term of this Agreement shall be the period from the date set forth above until Executive’s employment is terminated for any reason, or this Agreement is terminated by mutual agreement of the parties.</w:t>
      </w:r>
    </w:p>
    <w:p>
      <w:pPr>
        <w:spacing w:after="0" w:line="187"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UPON CHANGE OF CONTROL</w:t>
      </w:r>
    </w:p>
    <w:p>
      <w:pPr>
        <w:spacing w:after="0" w:line="225"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In the event of the Executive’s Termination Upon Change of Control, the Executive shall be entitled to receive an amount equal to twelve (12) months of the Executive’s Base Salary which shall be paid in a lump sum payment within thirty (30) days following the Termination Date; provided, however, that if Section 409A of the Code would otherwise apply to such cash severance payment, it instead shall be paid at such time as permitted by Section 409A of the Code. The severance payment payable hereunder shall be reduced to the extent of the amount of any bonus payable to Executive upon a Change of Control.</w:t>
      </w:r>
    </w:p>
    <w:p>
      <w:pPr>
        <w:spacing w:after="0" w:line="183"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Equity Compensation Acceleration</w:t>
      </w:r>
      <w:r>
        <w:rPr>
          <w:rFonts w:ascii="Times New Roman" w:cs="Times New Roman" w:eastAsia="Times New Roman" w:hAnsi="Times New Roman"/>
          <w:sz w:val="18"/>
          <w:szCs w:val="18"/>
          <w:color w:val="auto"/>
        </w:rPr>
        <w:t>. Upon the Executive’s Termination Upon Change of Control, the vesting and exercisability of all then outstanding stock options and shares of restricted stock (or any other equity award, including, without limitation, stock appreciation rights and restricted stock units) granted to the Executive under any Company Plans (Collectively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shall be accelerated as to 100% of the shares subject to any such Equity Awards granted to the Executive.</w:t>
      </w:r>
    </w:p>
    <w:p>
      <w:pPr>
        <w:spacing w:after="0" w:line="180"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Equity Compensation Exercise</w:t>
      </w:r>
      <w:r>
        <w:rPr>
          <w:rFonts w:ascii="Times New Roman" w:cs="Times New Roman" w:eastAsia="Times New Roman" w:hAnsi="Times New Roman"/>
          <w:sz w:val="18"/>
          <w:szCs w:val="18"/>
          <w:color w:val="auto"/>
        </w:rPr>
        <w:t>. Upon the Executive’s Termination Upon Change of Control, the Exercise Period with respect to vested Shares, under the Company Plans for the purposes of the Executive’s stock options granted under the Company Plans shall be extended so as to expire four (4) years from the date of Termination Upon Change of Control, or at the end of the remaining term of the relevant Equity Award, whichever is the lesser. All other unvested Shares under any such option grants or other Equity Awards not subject to acceleration under Section 2.3 shall lapse and no longer be exercisable as of the date of Termination Upon Change of Control.</w:t>
      </w:r>
    </w:p>
    <w:p>
      <w:pPr>
        <w:spacing w:after="0" w:line="183"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the event of the Executive’s Termination Upon Change of Control, (a) the Company shall continue to indemnify the Executive against all claims related to actions arising prior to the termination of the Executive’s employment to the fullest extent permitted by law, and</w:t>
      </w:r>
    </w:p>
    <w:p>
      <w:pPr>
        <w:jc w:val="both"/>
        <w:ind w:left="340" w:hanging="8"/>
        <w:spacing w:after="0" w:line="253" w:lineRule="auto"/>
        <w:tabs>
          <w:tab w:leader="none" w:pos="6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was covered by the Company’s directors’ and officers’ insurance policy, or an equivalent thereto, (the “</w:t>
      </w:r>
      <w:r>
        <w:rPr>
          <w:rFonts w:ascii="Times New Roman" w:cs="Times New Roman" w:eastAsia="Times New Roman" w:hAnsi="Times New Roman"/>
          <w:sz w:val="18"/>
          <w:szCs w:val="18"/>
          <w:b w:val="1"/>
          <w:bCs w:val="1"/>
          <w:i w:val="1"/>
          <w:iCs w:val="1"/>
          <w:color w:val="auto"/>
        </w:rPr>
        <w:t>D&amp;O Insurance Policy</w:t>
      </w:r>
      <w:r>
        <w:rPr>
          <w:rFonts w:ascii="Times New Roman" w:cs="Times New Roman" w:eastAsia="Times New Roman" w:hAnsi="Times New Roman"/>
          <w:sz w:val="18"/>
          <w:szCs w:val="18"/>
          <w:color w:val="auto"/>
        </w:rPr>
        <w:t>”) immediately prior to the Change of Control, the Company or its Successor shall continue to provide coverage under a D&amp;O Insurance Policy for not less than twenty-four (24) months following the Executive’s Termination Upon Change of Control on substantially the same terms of the D&amp;O Insurance Policy in effect immediately prior to the Change of Control.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w:t>
      </w:r>
    </w:p>
    <w:p>
      <w:pPr>
        <w:spacing w:after="0" w:line="225"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In the event of the Executive’s Involuntary Termination, the Executive shall be entitled to receive an amount equal to twelve (12) months of the Executive’s Base Salary, which shall be paid according to the following schedule: (i) a lump sum payment equal to one-fourth of such amount shall be payable within ten (10) days following the Termination Date, and (ii) one-fourth of such amount shall be payable within ten (10) days of each of the three-month, six-month and nine-month anniversaries of the Termination Date (and in each case no interest shall accrue on such amount); provided, however, that if Section 409A of the Code would otherwise apply to such cash severance payment, it instead shall be paid at such time as permitted by Section 409A of the Code.</w:t>
      </w:r>
    </w:p>
    <w:p>
      <w:pPr>
        <w:spacing w:after="0" w:line="187"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Equity Compensation Exercise</w:t>
      </w:r>
      <w:r>
        <w:rPr>
          <w:rFonts w:ascii="Times New Roman" w:cs="Times New Roman" w:eastAsia="Times New Roman" w:hAnsi="Times New Roman"/>
          <w:sz w:val="18"/>
          <w:szCs w:val="18"/>
          <w:color w:val="auto"/>
        </w:rPr>
        <w:t>. Upon the Executive’s Involuntary Termination, the Exercise Period with respect to vested Shares, under the Company Plans for the purposes of the Executive’s stock options granted under the Company Plans shall be extended so as to expire four (4) years from the date of Involuntary Termination, or at the end of the remaining term of the relevant Equity Award, whichever is the lesser. All other unvested Shares under any such option grants, or other Equity Awards shall lapse and no longer be exercisable as of the date of Involuntary Termination.</w:t>
      </w:r>
    </w:p>
    <w:p>
      <w:pPr>
        <w:spacing w:after="0" w:line="180"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the event of the Executive’s Involuntary Termination, (a) the Company shall continue to indemnify the Executive against all claims related to actions arising prior to the Termination Date to the fullest extent permitted by law, and (b) if the Executive was covered by the D&amp;O Insurance Policy immediately prior to the Termination Date, the Company shall continue to provide coverage under a D&amp;O Insurance Policy for not less than twenty-four (24) months following the Executive’s Involuntary Termination on substantially the same terms of the D&amp;O Insurance Policy in effect immediately prior to the Termination Date.</w:t>
      </w:r>
    </w:p>
    <w:p>
      <w:pPr>
        <w:spacing w:after="0" w:line="183"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EXCISE TAX UNDER SECTION 280G</w:t>
      </w:r>
    </w:p>
    <w:p>
      <w:pPr>
        <w:spacing w:after="0" w:line="225" w:lineRule="exact"/>
        <w:rPr>
          <w:sz w:val="20"/>
          <w:szCs w:val="20"/>
          <w:color w:val="auto"/>
        </w:rPr>
      </w:pPr>
    </w:p>
    <w:p>
      <w:pPr>
        <w:jc w:val="both"/>
        <w:ind w:left="3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If (a) any amounts payable to the Executive under this Agreement or otherwise are characterized as excess parachute payments pursuant to Section 4999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(b) the Executive thereby would be subject to any United States federal excise tax due to that characterization, then such amounts will either be (i) delivered in full, or (ii) delivered to such lesser extent which would result in no portion of such amounts being subject to excise tax pursuant to Section 4999 of the Code, whichever of the foregoing amounts, taking into account the applicable federal, state and local income taxes and the excise tax imposed by Code Section 4999, results in Executive’s receipt on an after-tax basis, of the greatest amounts, notwithstanding that all or some portion of such amounts may be taxable under Code Section 4999. If a reduction in the amounts constituting “parachute payments” is necessary so that no portion of such amounts are subject to the excise tax under Code Section 4999, the reduction will occur in the following order: (i) reduction of the cash severance payments, which will occur in reverse chronological order such that the cash payment owed on the latest date following the occurrence of the event triggering such excise tax will be the first cash payment to be reduce; (ii) cancellation of accelerated vesting of Equity Award s which will occur in the reverse order of the date of grant for such stock awards (i.e., the vesting of the most recently granted stock awards will be reduced first); and (iii) reduction of continued employee benefits, which will occur in reverse chronological order such that the benefit owed on the latest date following the occurrence of the event triggering such excise tax will be the first benefit to be reduced. If two or more Equity Award s are granted on the same date, each Equity Award will be reduced on a pro-rata basis. Notwithstanding the foregoing, no such reduction or elimination shall apply to any non-qualified deferred compensation amounts (within the meaning of Section 409A of the Code) to the extent such reduction or elimination would accelerate or defer the timing of such payment in a manner that does not comply with Section 409A of the Code.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Calculation by Independent Public Accountants</w:t>
      </w:r>
      <w:r>
        <w:rPr>
          <w:rFonts w:ascii="Times New Roman" w:cs="Times New Roman" w:eastAsia="Times New Roman" w:hAnsi="Times New Roman"/>
          <w:sz w:val="18"/>
          <w:szCs w:val="18"/>
          <w:color w:val="auto"/>
        </w:rPr>
        <w:t>. Unless the Company and the Executive otherwise agree in writing, any calculation of the amount of any excess parachute payments payable by the Executive shall be made in writing by the Company’s independent public accountants (the “</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whose conclusion shall be final and binding on the parties. For purposes of making such calculations, the Accountants may rely on reasonable, good faith interpretations concerning the application of Sections 280G and 4999 of the Code. The Company and the Executive shall furnish to the Accountants such information and documents as the Accountants may reasonably request in order to make the required calculations. The Company shall bear all fees and expenses the Accountants may charge in connection with these services, but the engagement of the Accountants for this purpose shall be pursuant to an agreement between the Executive and the Accountants.</w:t>
      </w:r>
    </w:p>
    <w:p>
      <w:pPr>
        <w:spacing w:after="0" w:line="189"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Capitalized Terms Defined</w:t>
      </w:r>
      <w:r>
        <w:rPr>
          <w:rFonts w:ascii="Times New Roman" w:cs="Times New Roman" w:eastAsia="Times New Roman" w:hAnsi="Times New Roman"/>
          <w:sz w:val="18"/>
          <w:szCs w:val="18"/>
          <w:color w:val="auto"/>
        </w:rPr>
        <w:t>. Capitalized terms used in this Agreement shall have the meanings set forth in this Section 4, unless the context clearly requires a different meaning.</w:t>
      </w:r>
    </w:p>
    <w:p>
      <w:pPr>
        <w:spacing w:after="0" w:line="158" w:lineRule="exact"/>
        <w:rPr>
          <w:sz w:val="20"/>
          <w:szCs w:val="20"/>
          <w:color w:val="auto"/>
        </w:rPr>
      </w:pPr>
    </w:p>
    <w:p>
      <w:pPr>
        <w:ind w:left="340" w:firstLine="648"/>
        <w:spacing w:after="0" w:line="286"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means the greater of (a) if applicable, the monthly salary of the Executive in effect immediately prior to the Change of Control, or (b) the monthly salary of the Executive in effect immediately prior to the Termination Date.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1960" w:hanging="656"/>
        <w:spacing w:after="0" w:line="262" w:lineRule="auto"/>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willfully failed to follow the lawful written directions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Executive’s immediate superior; provided that no termination for such Cause shall occur unless the Executive: (i) has been provided with notice, specifying such willful failure in reasonable detail, of the Company’s intention to terminate the Executive for Cause; and (ii) has failed to cure or correct such willful failure within thirty (30) days of receiving such notice;</w:t>
      </w:r>
    </w:p>
    <w:p>
      <w:pPr>
        <w:spacing w:after="0" w:line="180"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engaged in gross misconduct, or gross incompetence which is materially detrimental to the Company; provided that no termination for such Cause shall occur unless the Executive: (i) has been provided with notice, specifying such gross misconduct or gross incompetence in reasonable detail, of the Company’s intention to terminate the Executive for Cause; and (ii) has failed to cure or correct such gross misconduct within thirty (30) days of receiving such notice, provided that such notice and cure period requirements shall not apply in the event that such misconduct, or incompetence is of a nature that it is unable to be remedied;</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willfully failed to comply in a material respect with the Employee Invention Assignment &amp; Confidentiality Agreement, the Company’s Code of Ethics and share dealing code, the Executive’s non-competition agreement, or any other reasonable policies of the Company where non-compliance would be materially detrimental to the Company; provided that no termination for such Cause shall occur unless the Executive: (i) has been provided with notice of the Company’s intention to terminate the Executive for such Cause, and (ii) has failed to cure or correct such willful failure within thirty (30) days of receiving such notice, provided that such notice and cure period requirements shall not apply in the event that such non-compliance is of a nature that it is unable to be remedied;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left="1620" w:hanging="656"/>
        <w:spacing w:after="0" w:line="266"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convicted of a felony or intentional crime of moral turpitude (excluding drunk driving unless combined with other aggravating circumstances or offenses) or commission of a fraud that the Company reasonably believes would have a material adverse effect on the Company.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1620" w:hanging="656"/>
        <w:spacing w:after="0" w:line="261"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becomes the “beneficial owner” (as defined in Rule 13d-3 promulgated under the Exchange Act), directly or indirectly, of securities of the Company representing fifty (50%) percent or more of (i) the outstanding shares of common stock of the Company, or (ii) the combined voting power of the Company’s outstanding securities;</w:t>
      </w:r>
    </w:p>
    <w:p>
      <w:pPr>
        <w:spacing w:after="0" w:line="179" w:lineRule="exact"/>
        <w:rPr>
          <w:rFonts w:ascii="Times New Roman" w:cs="Times New Roman" w:eastAsia="Times New Roman" w:hAnsi="Times New Roman"/>
          <w:sz w:val="18"/>
          <w:szCs w:val="18"/>
          <w:color w:val="auto"/>
        </w:rPr>
      </w:pPr>
    </w:p>
    <w:p>
      <w:pPr>
        <w:jc w:val="both"/>
        <w:ind w:left="1620" w:hanging="656"/>
        <w:spacing w:after="0" w:line="258"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party to a merger or consolidation, or series of related transactions, which results in the voting securities of the Company outstanding immediately prior thereto failing to continue to represent (either by remaining outstanding or by being converted into voting securities of the surviving entity), directly or indirectly, at least fifty (50%) percent of the combined voting power of the voting securities of the Company or such surviving entity outstanding immediately after such merger or consolidation;</w:t>
      </w:r>
    </w:p>
    <w:p>
      <w:pPr>
        <w:spacing w:after="0" w:line="183" w:lineRule="exact"/>
        <w:rPr>
          <w:rFonts w:ascii="Times New Roman" w:cs="Times New Roman" w:eastAsia="Times New Roman" w:hAnsi="Times New Roman"/>
          <w:sz w:val="18"/>
          <w:szCs w:val="18"/>
          <w:color w:val="auto"/>
        </w:rPr>
      </w:pPr>
    </w:p>
    <w:p>
      <w:pPr>
        <w:ind w:left="1620" w:hanging="656"/>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all or substantially all of the Company’s assets, or consummation of any transaction, or series of related transactions, having similar effect (other than to a subsidiary of the Company);</w:t>
      </w:r>
    </w:p>
    <w:p>
      <w:pPr>
        <w:spacing w:after="0" w:line="161" w:lineRule="exact"/>
        <w:rPr>
          <w:rFonts w:ascii="Times New Roman" w:cs="Times New Roman" w:eastAsia="Times New Roman" w:hAnsi="Times New Roman"/>
          <w:sz w:val="18"/>
          <w:szCs w:val="18"/>
          <w:color w:val="auto"/>
        </w:rPr>
      </w:pPr>
    </w:p>
    <w:p>
      <w:pPr>
        <w:jc w:val="both"/>
        <w:ind w:left="1620" w:hanging="656"/>
        <w:spacing w:after="0" w:line="258"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within any consecutive two-year period, as a result of which fewer than a majority of the directors are Incumbent Directors. “Incumbent Directors” shall mean directors who either (i) were directors of the Company as of the effective date of this Agreement, or (ii) are elected, or nominated for election, to the Board with the affirmative votes of a least a majority of those directors whose election or nomination was not in connection with an actual or threatened proxy contest related to the election of directors to the Company; or</w:t>
      </w:r>
    </w:p>
    <w:p>
      <w:pPr>
        <w:spacing w:after="0" w:line="183" w:lineRule="exact"/>
        <w:rPr>
          <w:rFonts w:ascii="Times New Roman" w:cs="Times New Roman" w:eastAsia="Times New Roman" w:hAnsi="Times New Roman"/>
          <w:sz w:val="18"/>
          <w:szCs w:val="18"/>
          <w:color w:val="auto"/>
        </w:rPr>
      </w:pPr>
    </w:p>
    <w:p>
      <w:pPr>
        <w:ind w:left="1620" w:hanging="656"/>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or liquidation of the Company.</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AUTHID INC. and, following a Change of Control, any Successor.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b w:val="1"/>
          <w:bCs w:val="1"/>
          <w:i w:val="1"/>
          <w:iCs w:val="1"/>
          <w:color w:val="auto"/>
        </w:rPr>
        <w:t>Company Plans</w:t>
      </w:r>
      <w:r>
        <w:rPr>
          <w:rFonts w:ascii="Times New Roman" w:cs="Times New Roman" w:eastAsia="Times New Roman" w:hAnsi="Times New Roman"/>
          <w:sz w:val="18"/>
          <w:szCs w:val="18"/>
          <w:color w:val="auto"/>
        </w:rPr>
        <w:t>” shall mean the Company’s 2024 Equity Incentive Plan and any employee equity plan that replaces or supplements such plan, as well as any grant of stock options, restricted stock, stock appreciation rights, stock award, or stock purchase offer, which may be made to Executive outside of any such plan.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b w:val="1"/>
          <w:bCs w:val="1"/>
          <w:i w:val="1"/>
          <w:iCs w:val="1"/>
          <w:color w:val="auto"/>
        </w:rPr>
        <w:t>Involuntary Termination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620" w:hanging="656"/>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without Cause of the employment of the Executive by the Company; or</w:t>
      </w:r>
    </w:p>
    <w:p>
      <w:pPr>
        <w:spacing w:after="0" w:line="225" w:lineRule="exact"/>
        <w:rPr>
          <w:rFonts w:ascii="Times New Roman" w:cs="Times New Roman" w:eastAsia="Times New Roman" w:hAnsi="Times New Roman"/>
          <w:sz w:val="18"/>
          <w:szCs w:val="18"/>
          <w:color w:val="auto"/>
        </w:rPr>
      </w:pPr>
    </w:p>
    <w:p>
      <w:pPr>
        <w:ind w:left="1620" w:hanging="656"/>
        <w:spacing w:after="0" w:line="282"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Executive for Good Reason where such resignation occurs within one hundred twenty (120) days following the occurrence of such Good Reason.</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term “Involuntary Termination” shall not include any termination of the employment of the Executive: (1) by the Company for Cause; (2) by the Company as a result of the Permanent Disability of the Executive; (3) as a result of the death of the Executive; (4) as a result of the voluntary termination of employment by the Executive for any reason other than Good Reason, or (5) that would qualify as a Termination Upon Change of Control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the occurrence of any of the following conditions, without the Executive’s written consent:</w:t>
      </w:r>
    </w:p>
    <w:p>
      <w:pPr>
        <w:spacing w:after="0" w:line="229" w:lineRule="exact"/>
        <w:rPr>
          <w:sz w:val="20"/>
          <w:szCs w:val="20"/>
          <w:color w:val="auto"/>
        </w:rPr>
      </w:pPr>
    </w:p>
    <w:p>
      <w:pPr>
        <w:ind w:left="1960" w:hanging="656"/>
        <w:spacing w:after="0" w:line="282" w:lineRule="auto"/>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set of facts or omissions with respect to the Executive that would, as a matter of applicable law, constitute a constructive termination of the Executive.</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the Executive of a title, position, responsibilities or duties that is not a “Substantive Functional Equivalent” to the title, position, responsibilities or duties which the Executive had immediately prior to such assignment (including, as relevant, immediately prior to the public announcement of the Change of Control).</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Base Salary or, if applicable, target bonus opportunity (subject to applicable performance requirements with respect to the actual amount of bonus compensation earned similar to the applicable performance requirements currently in effect), and in the event of a Change of Control, as compared to Executive’s Base Salary and target bonus opportunity in effect immediately prior to the public announcement of the Change of Control; provided, however, that this clause (c) shall not apply in the event of a reduction in the Executive’s Base Salary or, if applicable, target bonus opportunity as part of a Company-wide or executive team-wide cost-cutting measure or Company-wide or executive team-wide cutback as a result of overall Company performance.</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(i) to continue to provide the Executive an opportunity to participate in any benefit or compensation plans provided to employees who hold positions with the Company comparable to the Executive’s position, (ii) to provide the Executive all other fringe benefits (or the equivalent) in effect for the benefit of any employee group which includes any employee who hold a position with the Company comparable to the Executive’s position, where in the event of a Change of Control, such comparison shall be made relative to the time immediately prior to the public announcement of such Change of Control); or (iii) continue to provide director’s and officers’ insurance.</w:t>
      </w:r>
    </w:p>
    <w:p>
      <w:pPr>
        <w:spacing w:after="0" w:line="187"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the Company, including, in the event of a Change of Control, failure of the Company to obtain the consent of a Successor to perform all of the obligations of the Company under this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Executive must first give the Company an opportunity to cure any of the foregoing within thirty (30) days following delivery to the Company of a written explanation specifying the specific basis for Executive’s belief that Executive is entitled to terminate employment for Good Reason, and Executive terminates employment with the Company not later than (30) days following the Company’s failure to cure.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980"/>
        <w:spacing w:after="0"/>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b w:val="1"/>
          <w:bCs w:val="1"/>
          <w:i w:val="1"/>
          <w:iCs w:val="1"/>
          <w:color w:val="auto"/>
        </w:rPr>
        <w:t>Permanent Disability</w:t>
      </w:r>
      <w:r>
        <w:rPr>
          <w:rFonts w:ascii="Times New Roman" w:cs="Times New Roman" w:eastAsia="Times New Roman" w:hAnsi="Times New Roman"/>
          <w:sz w:val="18"/>
          <w:szCs w:val="18"/>
          <w:color w:val="auto"/>
        </w:rPr>
        <w:t>” means that:</w:t>
      </w:r>
    </w:p>
    <w:p>
      <w:pPr>
        <w:spacing w:after="0" w:line="229" w:lineRule="exact"/>
        <w:rPr>
          <w:sz w:val="20"/>
          <w:szCs w:val="20"/>
          <w:color w:val="auto"/>
        </w:rPr>
      </w:pPr>
    </w:p>
    <w:p>
      <w:pPr>
        <w:ind w:left="1960" w:hanging="656"/>
        <w:spacing w:after="0" w:line="282" w:lineRule="auto"/>
        <w:tabs>
          <w:tab w:leader="none" w:pos="1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been incapacitated by bodily injury, illness or disease so as to be prevented thereby from engaging in the performance of the Executive’s duties;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total incapacity shall have continued for a period of six consecutive months;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incapacity will, in the opinion of a qualified physician, be permanent and continuous during the remainder of the Executive’s life.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b w:val="1"/>
          <w:bCs w:val="1"/>
          <w:i w:val="1"/>
          <w:iCs w:val="1"/>
          <w:color w:val="auto"/>
        </w:rPr>
        <w:t>Substantive Functional Equivalent</w:t>
      </w:r>
      <w:r>
        <w:rPr>
          <w:rFonts w:ascii="Times New Roman" w:cs="Times New Roman" w:eastAsia="Times New Roman" w:hAnsi="Times New Roman"/>
          <w:sz w:val="18"/>
          <w:szCs w:val="18"/>
          <w:color w:val="auto"/>
        </w:rPr>
        <w:t>” means that the Executive’s position must:</w:t>
      </w:r>
    </w:p>
    <w:p>
      <w:pPr>
        <w:spacing w:after="0" w:line="229" w:lineRule="exact"/>
        <w:rPr>
          <w:sz w:val="20"/>
          <w:szCs w:val="20"/>
          <w:color w:val="auto"/>
        </w:rPr>
      </w:pPr>
    </w:p>
    <w:p>
      <w:pPr>
        <w:ind w:left="1960" w:hanging="656"/>
        <w:spacing w:after="0" w:line="282" w:lineRule="auto"/>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a substantive area of the Executive’s competence (e.g., finance or executive management) and not materially different from the position occupied immediately prior;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Executive to serve in a role and perform duties functionally equivalent to those performed immediately prior;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otherwise constitute a material, adverse change in authority, title, status, responsibilities or duties from those of the Executive immediately prior, causing the Executive to be of materially lesser rank or responsibility, including requiring the Executive to report to a person other than the Board.</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b w:val="1"/>
          <w:bCs w:val="1"/>
          <w:i w:val="1"/>
          <w:iCs w:val="1"/>
          <w:color w:val="auto"/>
        </w:rPr>
        <w:t>Successor</w:t>
      </w:r>
      <w:r>
        <w:rPr>
          <w:rFonts w:ascii="Times New Roman" w:cs="Times New Roman" w:eastAsia="Times New Roman" w:hAnsi="Times New Roman"/>
          <w:sz w:val="18"/>
          <w:szCs w:val="18"/>
          <w:color w:val="auto"/>
        </w:rPr>
        <w:t>” means any successor in interest to, or assignee of, substantially all of the business and assets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means the date of the termination of the Executive’s employment with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b w:val="1"/>
          <w:bCs w:val="1"/>
          <w:i w:val="1"/>
          <w:iCs w:val="1"/>
          <w:color w:val="auto"/>
        </w:rPr>
        <w:t>Termination Upon Change of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1960" w:hanging="656"/>
        <w:spacing w:after="0" w:line="261" w:lineRule="auto"/>
        <w:tabs>
          <w:tab w:leader="none" w:pos="1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employment of the Executive by the Company without Cause during the period commencing on or after the date that the Company first publicly announces a definitive agreement that results in a Change of Control (even though still subject to approval by the Company’s stockholders and other conditions and contingencies, but provided that the Change of Control actually occurs) and ending on the date which is twelve (12) months following the Change of Control; or</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Executive for Good Reason where (i) such Good Reason occurs during the period commencing on or after the date that the Company first publicly announces a definitive agreement that results in a Change of Control (even though still subject to approval by the Company’s stockholders and other conditions and contingencies, but provided that the Change of Control actually occurs) and ending on the date which is twelve (12) months following the Change of Control, and (ii) such resignation occurs at or after such Change in Control and in any event within twelve (12) months following the expiration of any Company cure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term “Termination Upon Change of Control” shall not include any termination of the employment of the Executive: (1) by the Company for Cause; (2) by the Company as a result of the Permanent Disability of the Executive; (3) as a result of the death of the Executive; or (4) as a result of the voluntary termination of employment by the Executive for any reason other than Good Reason.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left="180" w:hanging="172"/>
        <w:spacing w:after="0"/>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p>
    <w:p>
      <w:pPr>
        <w:spacing w:after="0" w:line="225"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 Other Benefits Payable</w:t>
      </w:r>
      <w:r>
        <w:rPr>
          <w:rFonts w:ascii="Times New Roman" w:cs="Times New Roman" w:eastAsia="Times New Roman" w:hAnsi="Times New Roman"/>
          <w:sz w:val="18"/>
          <w:szCs w:val="18"/>
          <w:color w:val="auto"/>
        </w:rPr>
        <w:t>. The Executive shall be entitled to no other termination, severance or change of control compensation, benefits, or other payments from the Company as a result of any termination with respect to which the payments and benefits described in Sections 2 or 3 have been provided to the Executive, except as expressly set forth in this Agreement.</w:t>
      </w:r>
    </w:p>
    <w:p>
      <w:pPr>
        <w:spacing w:after="0" w:line="176"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 Limitation of Regular Benefit Plans</w:t>
      </w:r>
      <w:r>
        <w:rPr>
          <w:rFonts w:ascii="Times New Roman" w:cs="Times New Roman" w:eastAsia="Times New Roman" w:hAnsi="Times New Roman"/>
          <w:sz w:val="18"/>
          <w:szCs w:val="18"/>
          <w:color w:val="auto"/>
        </w:rPr>
        <w:t>. Except as may be provided elsewhere in this Agreement, this Agreement is not intended to and shall not affect, limit or terminate any plans, programs or arrangements of the Company that are regularly made available to a significant number of employees or officers of the Company, including, without limitation, the Company’s stock option plans.</w:t>
      </w:r>
    </w:p>
    <w:p>
      <w:pPr>
        <w:spacing w:after="0" w:line="176"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The payment and application of the benefits described in Sections 2 and 3 of this Agreement is conditioned upon the delivery by the Executive to the Company of a signed and effective general release of claims as provided by the Company substantially in the form attached hereto as Exhibit 1; provided, however, that the Executive shall not be required to release any rights the Executive may have to any payments and benefits under this Agreement, to be indemnified by the Company or as otherwise provided under this Agreement, or any rights to or under any Shares or Equity Awards then-owned by Executive at the time.</w:t>
      </w:r>
    </w:p>
    <w:p>
      <w:pPr>
        <w:spacing w:after="0" w:line="183"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Non-cumulation of Benefits</w:t>
      </w:r>
      <w:r>
        <w:rPr>
          <w:rFonts w:ascii="Times New Roman" w:cs="Times New Roman" w:eastAsia="Times New Roman" w:hAnsi="Times New Roman"/>
          <w:sz w:val="18"/>
          <w:szCs w:val="18"/>
          <w:color w:val="auto"/>
        </w:rPr>
        <w:t>. The Executive may not cumulate cash severance payments, stock option vesting and exercisability and restricted stock vesting under this Agreement, with any other written agreement with the Company and/or another plan or policy of the Company. If the Executive has any other binding written agreement with the Company which provides that, upon a Change of Control or Termination Upon a Change of Control or Involuntary Termination, the Executive shall receive termination, severance or similar benefits, then no benefits shall be received by Executive under this Agreement unless, prior to payment or receipt of benefits under this Agreement, the Executive waives Executive’s rights to all such other benefits, in which case this Agreement shall supersede any such written agreement with respect to such other benefits.</w:t>
      </w:r>
    </w:p>
    <w:p>
      <w:pPr>
        <w:spacing w:after="0" w:line="187" w:lineRule="exact"/>
        <w:rPr>
          <w:sz w:val="20"/>
          <w:szCs w:val="20"/>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p>
    <w:p>
      <w:pPr>
        <w:spacing w:after="0" w:line="225"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Disputes Subject to Arbitration</w:t>
      </w:r>
      <w:r>
        <w:rPr>
          <w:rFonts w:ascii="Times New Roman" w:cs="Times New Roman" w:eastAsia="Times New Roman" w:hAnsi="Times New Roman"/>
          <w:sz w:val="18"/>
          <w:szCs w:val="18"/>
          <w:color w:val="auto"/>
        </w:rPr>
        <w:t>. Any claim, dispute or controversy arising out of this Agreement (other than claims relating to misuse or misappropriation of the intellectual property of the Company), the interpretation, validity or enforceability of this Agreement or the alleged breach thereof shall be submitted by the parties to binding arbitration by a sole arbitrator under the rules of the American Arbitration Association; provided, however, that (a) the arbitrator shall have no authority to make any ruling or judgment that would confer any rights with respect to the trade secrets, confidential and proprietary information or other intellectual property of the Company upon the Executive or any third party; and (b) this arbitration provision shall not preclude the Company from seeking legal and equitable relief from any court having jurisdiction with respect to any disputes or claims relating to or arising out of the misuse or misappropriation of the Company’s intellectual property. Judgment may be entered on the award of the arbitrator in any court having jurisdiction.</w:t>
      </w:r>
    </w:p>
    <w:p>
      <w:pPr>
        <w:spacing w:after="0" w:line="192" w:lineRule="exact"/>
        <w:rPr>
          <w:sz w:val="20"/>
          <w:szCs w:val="20"/>
          <w:color w:val="auto"/>
        </w:rPr>
      </w:pPr>
    </w:p>
    <w:p>
      <w:pPr>
        <w:jc w:val="both"/>
        <w:ind w:left="34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Costs of Arbitration</w:t>
      </w:r>
      <w:r>
        <w:rPr>
          <w:rFonts w:ascii="Times New Roman" w:cs="Times New Roman" w:eastAsia="Times New Roman" w:hAnsi="Times New Roman"/>
          <w:sz w:val="18"/>
          <w:szCs w:val="18"/>
          <w:color w:val="auto"/>
        </w:rPr>
        <w:t>. All costs of arbitration, including reasonable attorney’s fees of the Executive, will be borne by the Company, except that if the Executive initiates arbitration and the arbitrator finds the Executive’s claims to be frivolous the Executive shall be responsible for their own costs and attorneys’ fees.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Site of Arbitration</w:t>
      </w:r>
      <w:r>
        <w:rPr>
          <w:rFonts w:ascii="Times New Roman" w:cs="Times New Roman" w:eastAsia="Times New Roman" w:hAnsi="Times New Roman"/>
          <w:sz w:val="18"/>
          <w:szCs w:val="18"/>
          <w:color w:val="auto"/>
        </w:rPr>
        <w:t>. The site of the arbitration proceeding shall be in New York, New York.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this Agreement, notices and all other communications provided for in the Agreement shall be in writing and shall be deemed to have been duly given when delivered or five (5) business days after being mailed, return receipt requested, upon delivery by courier or refusal of receipt, or on the next business day after being sent by e-mail, as follows: (a) if to the Company, attention: General Counsel, at the Company’s address at 1580 N. Logan St. Suite 660, Unit 51767, Denver, Colorado 80203 or legal@authid.ai and, (b) if to the Executive, at the address indicated below or such other address specified by the Executive in writing to the Company. Either party may provide the other with notices of change of address, which shall be effective upon receipt.</w:t>
      </w:r>
    </w:p>
    <w:p>
      <w:pPr>
        <w:spacing w:after="0" w:line="187" w:lineRule="exact"/>
        <w:rPr>
          <w:sz w:val="20"/>
          <w:szCs w:val="20"/>
          <w:color w:val="auto"/>
        </w:rPr>
      </w:pPr>
    </w:p>
    <w:p>
      <w:pPr>
        <w:ind w:left="280" w:hanging="272"/>
        <w:spacing w:after="0"/>
        <w:tabs>
          <w:tab w:leader="none" w:pos="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Heirs and Representatives of the Executive; Successors and Assigns of the Company</w:t>
      </w:r>
      <w:r>
        <w:rPr>
          <w:rFonts w:ascii="Times New Roman" w:cs="Times New Roman" w:eastAsia="Times New Roman" w:hAnsi="Times New Roman"/>
          <w:sz w:val="18"/>
          <w:szCs w:val="18"/>
          <w:color w:val="auto"/>
        </w:rPr>
        <w:t>. This Agreement shall be binding upon and shall inure to the benefit of and be enforceable by the Executive’s personal and legal representatives, executors, administrators, successors, heirs, distributees, devises and legatees. This Agreement shall be binding upon and inure to the benefit of and be enforceable by the successors and assigns of the Company.</w:t>
      </w:r>
    </w:p>
    <w:p>
      <w:pPr>
        <w:spacing w:after="0" w:line="17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No provision of this Agreement shall be modified, amended, waived or discharged unless the modification, amendment, waiver or discharge is agreed to in writing, specifying such modification, amendment, waiver or discharge,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3"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All payments made under this Agreement shall be subject to deduction of all federal, state, local and other taxes required to be withheld by applicable law.</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New York, without regard to where the Executive has their residence or principal office or where they perform their duties hereunder.</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No Duty to Mitigate</w:t>
      </w:r>
      <w:r>
        <w:rPr>
          <w:rFonts w:ascii="Times New Roman" w:cs="Times New Roman" w:eastAsia="Times New Roman" w:hAnsi="Times New Roman"/>
          <w:sz w:val="18"/>
          <w:szCs w:val="18"/>
          <w:color w:val="auto"/>
        </w:rPr>
        <w:t>. The Executive is not required to seek alternative employment following termination, and payments called for under this Agreement will not be reduced by earnings from any other source.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The intent of the parties is that payments and benefits under this Agreement comply with Section 409A of the Code and the Treasury Regulations and guidance promulgated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to the extent subject thereto, and accordingly, to the maximum extent permitted, this letter shall be interpreted and administered to be in compliance therewith. Notwithstanding anything contained herein to the contrary, Executive shall not be considered to have terminated employment with the Company for purposes of any provision in this Agreement providing for the payment of any amounts or benefits subject to Section 409A upon or following a termination of employment until Executive would be considered to have incurred a “separation from service” from the Company within the meaning of Section 409A and this Agreement shall be interpreted consistently therewith. Without limiting the foregoing, and notwithstanding anything to the contrary contained herein, to the extent (a) any payments or benefits to which Executive becomes entitled under this Agreement, or under any agreement or plan referenced herein, in connection with Executive’s termination of employment with the Company constitute deferred compensation subject to Section 409A of the Code and (b) Executive is deemed at the time of such termination of employment to be a “specified employee” under Section 409A of the Code, then such payments shall not be made or commence until the earliest of (i) the expiration of the six (6)-month period measured from the date of Executive’s “separation from service” (as such term is at the time defined in Treasury Regulations under Section 409A of the Code) from the Company; or (ii) the date of Executive’s death following such separation from service;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Any termination of Executive’s employment is intended to constitute a “separation from service” as such term is defined in Treasury Regulation Section 1.409A-1. It is intended that each installment of the payments provided hereunder constitute separate and distinct “payments” for purposes of Section</w:t>
      </w:r>
    </w:p>
    <w:p>
      <w:pPr>
        <w:spacing w:after="0" w:line="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1.409A of the Code. It is further intended that payments hereunder satisfy, to the greatest extent possible, the exemption from the application of Code Section 409A (and any state law of similar effect) provided under Treasury Regulation Section 1.409A-1(b)(4) (as a “short-term deferral”). The Company makes no representation that any or all of the payments described or referenced in this letter will be exempt from or comply with Section 409A and makes no undertaking to preclude Section 409A from applying to any such payment, and Company’s only obligation is to comply with its obligations set forth herein.</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represents the entire agreement and understanding between the parties as to the subject matter herein (whether oral or written and whether express or implied). The Executive hereby acknowledges, represents and warrants that they have been individually represented by counsel in negotiating and signing this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hereof</w:t>
      </w:r>
      <w:r>
        <w:rPr>
          <w:rFonts w:ascii="Times New Roman" w:cs="Times New Roman" w:eastAsia="Times New Roman" w:hAnsi="Times New Roman"/>
          <w:sz w:val="18"/>
          <w:szCs w:val="18"/>
          <w:color w:val="auto"/>
        </w:rPr>
        <w:t>, each of the parties has executed this Agreement, in the case of the Company, by its duly authorized officer, as of the day and year first above written.</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294005</wp:posOffset>
            </wp:positionV>
            <wp:extent cx="28460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ERICK SOTO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156845</wp:posOffset>
            </wp:positionV>
            <wp:extent cx="28460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Rhoniel A Daguro, CEO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OF CLAIMS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General Release of all Claims (this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is entered into on [ ● ], by and between </w:t>
      </w:r>
      <w:r>
        <w:rPr>
          <w:rFonts w:ascii="Times New Roman" w:cs="Times New Roman" w:eastAsia="Times New Roman" w:hAnsi="Times New Roman"/>
          <w:sz w:val="18"/>
          <w:szCs w:val="18"/>
          <w:b w:val="1"/>
          <w:bCs w:val="1"/>
          <w:color w:val="auto"/>
        </w:rPr>
        <w:t>AUTHID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ERICK SOTO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Section 7.3 of the Executive Retention Agreement by and between the Company and the Executive, effective __________,</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2024 (the “</w:t>
      </w:r>
      <w:r>
        <w:rPr>
          <w:rFonts w:ascii="Times New Roman" w:cs="Times New Roman" w:eastAsia="Times New Roman" w:hAnsi="Times New Roman"/>
          <w:sz w:val="18"/>
          <w:szCs w:val="18"/>
          <w:u w:val="single" w:color="auto"/>
          <w:color w:val="auto"/>
        </w:rPr>
        <w:t>Retention Agreement</w:t>
      </w:r>
      <w:r>
        <w:rPr>
          <w:rFonts w:ascii="Times New Roman" w:cs="Times New Roman" w:eastAsia="Times New Roman" w:hAnsi="Times New Roman"/>
          <w:sz w:val="18"/>
          <w:szCs w:val="18"/>
          <w:color w:val="auto"/>
        </w:rPr>
        <w:t>”), in consideration of the payments and benefits to which the Executive is entitled pursuant to the Retention Agreement subject to the execution and non-revocation of this Release, the Executive agrees as follows:</w:t>
      </w:r>
    </w:p>
    <w:p>
      <w:pPr>
        <w:spacing w:after="0" w:line="181"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and Waiver of Claims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300" w:hanging="324"/>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17"/>
          <w:szCs w:val="17"/>
          <w:i w:val="1"/>
          <w:iCs w:val="1"/>
          <w:color w:val="auto"/>
        </w:rPr>
        <w:t>Release</w:t>
      </w:r>
      <w:r>
        <w:rPr>
          <w:rFonts w:ascii="Times New Roman" w:cs="Times New Roman" w:eastAsia="Times New Roman" w:hAnsi="Times New Roman"/>
          <w:sz w:val="17"/>
          <w:szCs w:val="17"/>
          <w:color w:val="auto"/>
        </w:rPr>
        <w:t>. The Executive and each of the Executive’s respective heirs, executors, administrators, representatives, agents, successors and assigns (collectively, the “</w:t>
      </w:r>
      <w:r>
        <w:rPr>
          <w:rFonts w:ascii="Times New Roman" w:cs="Times New Roman" w:eastAsia="Times New Roman" w:hAnsi="Times New Roman"/>
          <w:sz w:val="17"/>
          <w:szCs w:val="17"/>
          <w:u w:val="single" w:color="auto"/>
          <w:color w:val="auto"/>
        </w:rPr>
        <w:t>Releasors</w:t>
      </w:r>
      <w:r>
        <w:rPr>
          <w:rFonts w:ascii="Times New Roman" w:cs="Times New Roman" w:eastAsia="Times New Roman" w:hAnsi="Times New Roman"/>
          <w:sz w:val="17"/>
          <w:szCs w:val="17"/>
          <w:color w:val="auto"/>
        </w:rPr>
        <w:t>”) hereby irrevocably and unconditionally release and forever discharge the Company and each of its subsidiaries and affiliates and each of their respective officers, employees, directors, managers, shareholders and agents (“</w:t>
      </w:r>
      <w:r>
        <w:rPr>
          <w:rFonts w:ascii="Times New Roman" w:cs="Times New Roman" w:eastAsia="Times New Roman" w:hAnsi="Times New Roman"/>
          <w:sz w:val="17"/>
          <w:szCs w:val="17"/>
          <w:u w:val="single" w:color="auto"/>
          <w:color w:val="auto"/>
        </w:rPr>
        <w:t>Releasees</w:t>
      </w:r>
      <w:r>
        <w:rPr>
          <w:rFonts w:ascii="Times New Roman" w:cs="Times New Roman" w:eastAsia="Times New Roman" w:hAnsi="Times New Roman"/>
          <w:sz w:val="17"/>
          <w:szCs w:val="17"/>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xml:space="preserve">”), including, without limitation, any Claims under any federal, state, local or foreign law, that the Releasors may have or in the future may possess, arising out (i) of the Executive’s employment relationship with and service as an employee, officer, manager or director of the Company, and the termination of such relationship or service and (ii) any event, condition, circumstance or obligation that occurred, existed or arose on or prior to the date hereof, physical injuries excepted;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anything else herein to the contrary, this Release shall not affect: the obligations of the Company to pay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amounts due and owing to Executive on the Termination Date or other obligations that, in each case, by their terms, are to be performed after the date hereof by the Company; any indemnification or similar rights the Executive has as a current or former officer, manager or director of the Company, including, without limitation, any and all rights thereto referenced in the Company’s governance documents or any rights with respect to “directors’ and officers’” insurance policies; and the Executive’s right to reimbursement of business expenses; any ownership Executive holds in Company Shares and other vested or acquired equity, and rights existing thereunder.</w:t>
      </w:r>
    </w:p>
    <w:p>
      <w:pPr>
        <w:spacing w:after="0" w:line="172" w:lineRule="exact"/>
        <w:rPr>
          <w:rFonts w:ascii="Times New Roman" w:cs="Times New Roman" w:eastAsia="Times New Roman" w:hAnsi="Times New Roman"/>
          <w:sz w:val="18"/>
          <w:szCs w:val="18"/>
          <w:color w:val="auto"/>
        </w:rPr>
      </w:pPr>
    </w:p>
    <w:p>
      <w:pPr>
        <w:ind w:left="1300" w:hanging="3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Specific Release of ADEA Claims</w:t>
      </w:r>
      <w:r>
        <w:rPr>
          <w:rFonts w:ascii="Times New Roman" w:cs="Times New Roman" w:eastAsia="Times New Roman" w:hAnsi="Times New Roman"/>
          <w:sz w:val="18"/>
          <w:szCs w:val="18"/>
          <w:color w:val="auto"/>
        </w:rPr>
        <w:t>. The Releasors hereby unconditionally release and forever discharge the Releasees from any and all Claims that the Releasors may have as of the date the Executive signs this Release arising under the Federal Age Discrimination in Employment Act of 1967, as amended, and the applicable rules and regulations promulgated thereunder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By signing this Release, the Executive hereby acknowledges and confirms the following: (i) the Executive was advised by the Company in connection with their termination to consult with an attorney of their choice prior to signing this Release and to have such attorney explain to the Executive the terms of this Release, including, without limitation, the terms relating to the Executive’s release of claims arising under ADEA, and the Executive has in fact consulted with an attorney; (ii) the Executive was given a period of not fewer than twenty-one (21) calendar days to consider the terms of this Release and to consult with an attorney of their choosing with respect thereto; and (iii) the Executive knowingly and voluntarily accepts the terms of this Release. The Executive also understands that they have seven (7) calendar days following the date on which they sign this Release within which to revoke the release contained in this paragraph, by providing the Company a written notice of their revocation of the release and waiver contained in this paragraph.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left="1300" w:hanging="320"/>
        <w:spacing w:after="0" w:line="261"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Release of All Claims</w:t>
      </w:r>
      <w:r>
        <w:rPr>
          <w:rFonts w:ascii="Times New Roman" w:cs="Times New Roman" w:eastAsia="Times New Roman" w:hAnsi="Times New Roman"/>
          <w:sz w:val="18"/>
          <w:szCs w:val="18"/>
          <w:color w:val="auto"/>
        </w:rPr>
        <w:t>. The Executive acknowledges, understands and agrees that they may later discover Claims or facts in addition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from those which they now knows or believes to be true with respect to the subject matters of this Release, but that it is nevertheless their intention by signing this Release to fully, finally and forever release any and all Claims whether now known or unknown, suspected or unsuspected, which now exist, may exist, or previously have existed as set forth herein.</w:t>
      </w:r>
    </w:p>
    <w:p>
      <w:pPr>
        <w:spacing w:after="0" w:line="18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acknowledges that the released claims extend to and include unknown and unsuspected claims. In furtherance of the Executive’s intent, the release in this Release shall remain in full and complete effect notwithstanding the discovery or existence of any additional, contrary, or different facts.</w:t>
      </w:r>
    </w:p>
    <w:p>
      <w:pPr>
        <w:spacing w:after="0" w:line="17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Assignment</w:t>
      </w:r>
      <w:r>
        <w:rPr>
          <w:rFonts w:ascii="Times New Roman" w:cs="Times New Roman" w:eastAsia="Times New Roman" w:hAnsi="Times New Roman"/>
          <w:sz w:val="18"/>
          <w:szCs w:val="18"/>
          <w:color w:val="auto"/>
        </w:rPr>
        <w:t>. The Executive represents and warrants that they have not assigned any of the Claims being released under this Release.</w:t>
      </w:r>
    </w:p>
    <w:p>
      <w:pPr>
        <w:spacing w:after="0" w:line="227" w:lineRule="exact"/>
        <w:rPr>
          <w:rFonts w:ascii="Times New Roman" w:cs="Times New Roman" w:eastAsia="Times New Roman" w:hAnsi="Times New Roman"/>
          <w:sz w:val="18"/>
          <w:szCs w:val="18"/>
          <w:color w:val="auto"/>
        </w:rPr>
      </w:pPr>
    </w:p>
    <w:p>
      <w:pPr>
        <w:jc w:val="both"/>
        <w:ind w:firstLine="656"/>
        <w:spacing w:after="0" w:line="261" w:lineRule="auto"/>
        <w:tabs>
          <w:tab w:leader="none" w:pos="8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The Executive has not filed, and agrees not to initiate or cause to be initiated on their behalf, any complaint, charge, claim or proceeding against the Releasees before any local, state or federal agency, court or other body, other than in respect of any matter described in the proviso to Section 1(a) of this Release (each, individually,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and agrees not to participate voluntarily in any Proceeding. The Executive waives any right they have may have to benefit in any manner from any relief (whether monetary or otherwise) arising out of any Proceeding.</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Executive understands that by entering into this Release they have will be limiting the availability of certain remedies that they have may have against the Company and limiting also their ability to pursue certain claims against the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Clause</w:t>
      </w:r>
      <w:r>
        <w:rPr>
          <w:rFonts w:ascii="Times New Roman" w:cs="Times New Roman" w:eastAsia="Times New Roman" w:hAnsi="Times New Roman"/>
          <w:sz w:val="18"/>
          <w:szCs w:val="18"/>
          <w:color w:val="auto"/>
        </w:rPr>
        <w:t>. In the event any provision or part of this Release is found to be invalid or unenforceable, only that particular provision or part so found, and not the entire Release, will be inoperative.</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w:t>
      </w:r>
      <w:r>
        <w:rPr>
          <w:rFonts w:ascii="Times New Roman" w:cs="Times New Roman" w:eastAsia="Times New Roman" w:hAnsi="Times New Roman"/>
          <w:sz w:val="18"/>
          <w:szCs w:val="18"/>
          <w:color w:val="auto"/>
        </w:rPr>
        <w:t>. Nothing contained in this Release will be deemed or construed as an admission of wrongdoing or liability on the part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84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matters affecting this Release, including the validity thereof, are to be governed by, and interpreted and construed in accordance with, the laws of the State of Illinois applicable to contracts executed in and to be performed in that State.</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but not defined herein have the meanings ascribed to them in the Retention Agreement.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EXECUTIVE ACKNOWLEDGES THAT THEY HAVE READ THIS RELEASE AND THAT THEY FULLY KNOW, UNDERSTAND AND APPRECIATE ITS CONTENTS, AND THAT THEY HEREBY EXECUTES THE SAME AND MAKES THIS AGREEMENT AND THE RELEASE AND AGREEMENTS PROVIDED FOR HEREIN VOLUNTARILY AND OF THEIR OWN FREE WILL.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7"/>
          <w:szCs w:val="17"/>
          <w:color w:val="auto"/>
        </w:rPr>
        <w:t>IN WITNESS WHEREOF, the Executive has executed this Release on the date first set forth below.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8543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ERICK SOTO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10.48</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RETENTION AGREEMENT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Executive Retention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September 10, 2024 by and between AUTHID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ERICK SOTO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Executive is being hired as a key employee of the Company and the Company and the Executive desire to enter into this Agreement to encourage the Executive to devote the Executive’s full attention and dedication to the success of the Company, and to provide specified compensation and benefits to the Executive in the event of a Termination Upon Change of Control, or certain other terminations pursuant to the terms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5" w:lineRule="exact"/>
        <w:rPr>
          <w:sz w:val="20"/>
          <w:szCs w:val="20"/>
          <w:color w:val="auto"/>
        </w:rPr>
      </w:pPr>
    </w:p>
    <w:p>
      <w:pPr>
        <w:ind w:left="180" w:hanging="172"/>
        <w:spacing w:after="0"/>
        <w:tabs>
          <w:tab w:leader="none" w:pos="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AND TERM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purpose of this Agreement is to provide specified compensation and benefits to the Executive in the event of (i) a Termination Upon Change of Control or (ii) an Involuntary Termination. Subject to the terms of any applicable written employment agreement between Company and the Executive (as to which Executive acknowledges no other such agreement exists as of the date hereof beyond the Employment Offer Letter dated as of the date hereof), either the Executive or Company may terminate the Executive’s employment at any time for any reason, with or without notice. The term of this Agreement shall be the period from the date set forth above until Executive’s employment is terminated for any reason, or this Agreement is terminated by mutual agreement of the parties.</w:t>
      </w:r>
    </w:p>
    <w:p>
      <w:pPr>
        <w:spacing w:after="0" w:line="187" w:lineRule="exact"/>
        <w:rPr>
          <w:sz w:val="20"/>
          <w:szCs w:val="20"/>
          <w:color w:val="auto"/>
        </w:rPr>
      </w:pPr>
    </w:p>
    <w:p>
      <w:pPr>
        <w:ind w:left="180" w:hanging="172"/>
        <w:spacing w:after="0"/>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UPON CHANGE OF CONTROL</w:t>
      </w:r>
    </w:p>
    <w:p>
      <w:pPr>
        <w:spacing w:after="0" w:line="225"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In the event of the Executive’s Termination Upon Change of Control, the Executive shall be entitled to receive an amount equal to twelve (12) months of the Executive’s Base Salary which shall be paid in a lump sum payment within thirty (30) days following the Termination Date; provided, however, that if Section 409A of the Code would otherwise apply to such cash severance payment, it instead shall be paid at such time as permitted by Section 409A of the Code. The severance payment payable hereunder shall be reduced to the extent of the amount of any bonus payable to Executive upon a Change of Control.</w:t>
      </w:r>
    </w:p>
    <w:p>
      <w:pPr>
        <w:spacing w:after="0" w:line="183"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Equity Compensation Acceleration</w:t>
      </w:r>
      <w:r>
        <w:rPr>
          <w:rFonts w:ascii="Times New Roman" w:cs="Times New Roman" w:eastAsia="Times New Roman" w:hAnsi="Times New Roman"/>
          <w:sz w:val="18"/>
          <w:szCs w:val="18"/>
          <w:color w:val="auto"/>
        </w:rPr>
        <w:t>. Upon the Executive’s Termination Upon Change of Control, the vesting and exercisability of all then outstanding stock options and shares of restricted stock (or any other equity award, including, without limitation, stock appreciation rights and restricted stock units) granted to the Executive under any Company Plans (Collectively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shall be accelerated as to 100% of the shares subject to any such Equity Awards granted to the Executive.</w:t>
      </w:r>
    </w:p>
    <w:p>
      <w:pPr>
        <w:spacing w:after="0" w:line="180"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Equity Compensation Exercise</w:t>
      </w:r>
      <w:r>
        <w:rPr>
          <w:rFonts w:ascii="Times New Roman" w:cs="Times New Roman" w:eastAsia="Times New Roman" w:hAnsi="Times New Roman"/>
          <w:sz w:val="18"/>
          <w:szCs w:val="18"/>
          <w:color w:val="auto"/>
        </w:rPr>
        <w:t>. Upon the Executive’s Termination Upon Change of Control, the Exercise Period with respect to vested Shares, under the Company Plans for the purposes of the Executive’s stock options granted under the Company Plans shall be extended so as to expire four (4) years from the date of Termination Upon Change of Control, or at the end of the remaining term of the relevant Equity Award, whichever is the lesser. All other unvested Shares under any such option grants or other Equity Awards not subject to acceleration under Section 2.3 shall lapse and no longer be exercisable as of the date of Termination Upon Change of Control.</w:t>
      </w:r>
    </w:p>
    <w:p>
      <w:pPr>
        <w:spacing w:after="0" w:line="183"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the event of the Executive’s Termination Upon Change of Control, (a) the Company shall continue to indemnify the Executive against all claims related to actions arising prior to the termination of the Executive’s employment to the fullest extent permitted by law, and</w:t>
      </w:r>
    </w:p>
    <w:p>
      <w:pPr>
        <w:jc w:val="both"/>
        <w:ind w:left="340" w:hanging="8"/>
        <w:spacing w:after="0" w:line="253" w:lineRule="auto"/>
        <w:tabs>
          <w:tab w:leader="none" w:pos="60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was covered by the Company’s directors’ and officers’ insurance policy, or an equivalent thereto, (the “</w:t>
      </w:r>
      <w:r>
        <w:rPr>
          <w:rFonts w:ascii="Times New Roman" w:cs="Times New Roman" w:eastAsia="Times New Roman" w:hAnsi="Times New Roman"/>
          <w:sz w:val="18"/>
          <w:szCs w:val="18"/>
          <w:b w:val="1"/>
          <w:bCs w:val="1"/>
          <w:i w:val="1"/>
          <w:iCs w:val="1"/>
          <w:color w:val="auto"/>
        </w:rPr>
        <w:t>D&amp;O Insurance Policy</w:t>
      </w:r>
      <w:r>
        <w:rPr>
          <w:rFonts w:ascii="Times New Roman" w:cs="Times New Roman" w:eastAsia="Times New Roman" w:hAnsi="Times New Roman"/>
          <w:sz w:val="18"/>
          <w:szCs w:val="18"/>
          <w:color w:val="auto"/>
        </w:rPr>
        <w:t>”) immediately prior to the Change of Control, the Company or its Successor shall continue to provide coverage under a D&amp;O Insurance Policy for not less than twenty-four (24) months following the Executive’s Termination Upon Change of Control on substantially the same terms of the D&amp;O Insurance Policy in effect immediately prior to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ind w:left="180" w:hanging="172"/>
        <w:spacing w:after="0"/>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w:t>
      </w:r>
    </w:p>
    <w:p>
      <w:pPr>
        <w:spacing w:after="0" w:line="225"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In the event of the Executive’s Involuntary Termination, the Executive shall be entitled to receive an amount equal to twelve (12) months of the Executive’s Base Salary, which shall be paid according to the following schedule: (i) a lump sum payment equal to one-fourth of such amount shall be payable within ten (10) days following the Termination Date, and (ii) one-fourth of such amount shall be payable within ten (10) days of each of the three-month, six-month and nine-month anniversaries of the Termination Date (and in each case no interest shall accrue on such amount); provided, however, that if Section 409A of the Code would otherwise apply to such cash severance payment, it instead shall be paid at such time as permitted by Section 409A of the Code.</w:t>
      </w:r>
    </w:p>
    <w:p>
      <w:pPr>
        <w:spacing w:after="0" w:line="187"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Equity Compensation Exercise</w:t>
      </w:r>
      <w:r>
        <w:rPr>
          <w:rFonts w:ascii="Times New Roman" w:cs="Times New Roman" w:eastAsia="Times New Roman" w:hAnsi="Times New Roman"/>
          <w:sz w:val="18"/>
          <w:szCs w:val="18"/>
          <w:color w:val="auto"/>
        </w:rPr>
        <w:t>. Upon the Executive’s Involuntary Termination, the Exercise Period with respect to vested Shares, under the Company Plans for the purposes of the Executive’s stock options granted under the Company Plans shall be extended so as to expire four (4) years from the date of Involuntary Termination, or at the end of the remaining term of the relevant Equity Award, whichever is the lesser. All other unvested Shares under any such option grants, or other Equity Awards shall lapse and no longer be exercisable as of the date of Involuntary Termination.</w:t>
      </w:r>
    </w:p>
    <w:p>
      <w:pPr>
        <w:spacing w:after="0" w:line="180"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the event of the Executive’s Involuntary Termination, (a) the Company shall continue to indemnify the Executive against all claims related to actions arising prior to the Termination Date to the fullest extent permitted by law, and (b) if the Executive was covered by the D&amp;O Insurance Policy immediately prior to the Termination Date, the Company shall continue to provide coverage under a D&amp;O Insurance Policy for not less than twenty-four (24) months following the Executive’s Involuntary Termination on substantially the same terms of the D&amp;O Insurance Policy in effect immediately prior to the Termination Date.</w:t>
      </w:r>
    </w:p>
    <w:p>
      <w:pPr>
        <w:spacing w:after="0" w:line="183" w:lineRule="exact"/>
        <w:rPr>
          <w:sz w:val="20"/>
          <w:szCs w:val="20"/>
          <w:color w:val="auto"/>
        </w:rPr>
      </w:pPr>
    </w:p>
    <w:p>
      <w:pPr>
        <w:ind w:left="180" w:hanging="172"/>
        <w:spacing w:after="0"/>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EXCISE TAX UNDER SECTION 280G</w:t>
      </w:r>
    </w:p>
    <w:p>
      <w:pPr>
        <w:spacing w:after="0" w:line="225" w:lineRule="exact"/>
        <w:rPr>
          <w:sz w:val="20"/>
          <w:szCs w:val="20"/>
          <w:color w:val="auto"/>
        </w:rPr>
      </w:pPr>
    </w:p>
    <w:p>
      <w:pPr>
        <w:jc w:val="both"/>
        <w:ind w:left="3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If (a) any amounts payable to the Executive under this Agreement or otherwise are characterized as excess parachute payments pursuant to Section 4999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(b) the Executive thereby would be subject to any United States federal excise tax due to that characterization, then such amounts will either be (i) delivered in full, or (ii) delivered to such lesser extent which would result in no portion of such amounts being subject to excise tax pursuant to Section 4999 of the Code, whichever of the foregoing amounts, taking into account the applicable federal, state and local income taxes and the excise tax imposed by Code Section 4999, results in Executive’s receipt on an after-tax basis, of the greatest amounts, notwithstanding that all or some portion of such amounts may be taxable under Code Section 4999. If a reduction in the amounts constituting “parachute payments” is necessary so that no portion of such amounts are subject to the excise tax under Code Section 4999, the reduction will occur in the following order: (i) reduction of the cash severance payments, which will occur in reverse chronological order such that the cash payment owed on the latest date following the occurrence of the event triggering such excise tax will be the first cash payment to be reduce; (ii) cancellation of accelerated vesting of Equity Award s which will occur in the reverse order of the date of grant for such stock awards (i.e., the vesting of the most recently granted stock awards will be reduced first); and (iii) reduction of continued employee benefits, which will occur in reverse chronological order such that the benefit owed on the latest date following the occurrence of the event triggering such excise tax will be the first benefit to be reduced. If two or more Equity Award s are granted on the same date, each Equity Award will be reduced on a pro-rata basis. Notwithstanding the foregoing, no such reduction or elimination shall apply to any non-qualified deferred compensation amounts (within the meaning of Section 409A of the Code) to the extent such reduction or elimination would accelerate or defer the timing of such payment in a manner that does not comply with Section 409A of the Code.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Calculation by Independent Public Accountants</w:t>
      </w:r>
      <w:r>
        <w:rPr>
          <w:rFonts w:ascii="Times New Roman" w:cs="Times New Roman" w:eastAsia="Times New Roman" w:hAnsi="Times New Roman"/>
          <w:sz w:val="18"/>
          <w:szCs w:val="18"/>
          <w:color w:val="auto"/>
        </w:rPr>
        <w:t>. Unless the Company and the Executive otherwise agree in writing, any calculation of the amount of any excess parachute payments payable by the Executive shall be made in writing by the Company’s independent public accountants (the “</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whose conclusion shall be final and binding on the parties. For purposes of making such calculations, the Accountants may rely on reasonable, good faith interpretations concerning the application of Sections 280G and 4999 of the Code. The Company and the Executive shall furnish to the Accountants such information and documents as the Accountants may reasonably request in order to make the required calculations. The Company shall bear all fees and expenses the Accountants may charge in connection with these services, but the engagement of the Accountants for this purpose shall be pursuant to an agreement between the Executive and the Accountants.</w:t>
      </w:r>
    </w:p>
    <w:p>
      <w:pPr>
        <w:spacing w:after="0" w:line="189" w:lineRule="exact"/>
        <w:rPr>
          <w:sz w:val="20"/>
          <w:szCs w:val="20"/>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Capitalized Terms Defined</w:t>
      </w:r>
      <w:r>
        <w:rPr>
          <w:rFonts w:ascii="Times New Roman" w:cs="Times New Roman" w:eastAsia="Times New Roman" w:hAnsi="Times New Roman"/>
          <w:sz w:val="18"/>
          <w:szCs w:val="18"/>
          <w:color w:val="auto"/>
        </w:rPr>
        <w:t>. Capitalized terms used in this Agreement shall have the meanings set forth in this Section 4, unless the context clearly requires a different meaning.</w:t>
      </w:r>
    </w:p>
    <w:p>
      <w:pPr>
        <w:spacing w:after="0" w:line="158" w:lineRule="exact"/>
        <w:rPr>
          <w:sz w:val="20"/>
          <w:szCs w:val="20"/>
          <w:color w:val="auto"/>
        </w:rPr>
      </w:pPr>
    </w:p>
    <w:p>
      <w:pPr>
        <w:ind w:left="340" w:firstLine="648"/>
        <w:spacing w:after="0" w:line="286"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means the greater of (a) if applicable, the monthly salary of the Executive in effect immediately prior to the Change of Control, or (b) the monthly salary of the Executive in effect immediately prior to the Termination Date.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1960" w:hanging="656"/>
        <w:spacing w:after="0" w:line="262" w:lineRule="auto"/>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willfully failed to follow the lawful written directions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Executive’s immediate superior; provided that no termination for such Cause shall occur unless the Executive: (i) has been provided with notice, specifying such willful failure in reasonable detail, of the Company’s intention to terminate the Executive for Cause; and (ii) has failed to cure or correct such willful failure within thirty (30) days of receiving such notice;</w:t>
      </w:r>
    </w:p>
    <w:p>
      <w:pPr>
        <w:spacing w:after="0" w:line="180"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engaged in gross misconduct, or gross incompetence which is materially detrimental to the Company; provided that no termination for such Cause shall occur unless the Executive: (i) has been provided with notice, specifying such gross misconduct or gross incompetence in reasonable detail, of the Company’s intention to terminate the Executive for Cause; and (ii) has failed to cure or correct such gross misconduct within thirty (30) days of receiving such notice, provided that such notice and cure period requirements shall not apply in the event that such misconduct, or incompetence is of a nature that it is unable to be remedied;</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willfully failed to comply in a material respect with the Employee Invention Assignment &amp; Confidentiality Agreement, the Company’s Code of Ethics and share dealing code, the Executive’s non-competition agreement, or any other reasonable policies of the Company where non-compliance would be materially detrimental to the Company; provided that no termination for such Cause shall occur unless the Executive: (i) has been provided with notice of the Company’s intention to terminate the Executive for such Cause, and (ii) has failed to cure or correct such willful failure within thirty (30) days of receiving such notice, provided that such notice and cure period requirements shall not apply in the event that such non-compliance is of a nature that it is unable to be remedied;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left="1620" w:hanging="656"/>
        <w:spacing w:after="0" w:line="266"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convicted of a felony or intentional crime of moral turpitude (excluding drunk driving unless combined with other aggravating circumstances or offenses) or commission of a fraud that the Company reasonably believes would have a material adverse effect on the Company.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1620" w:hanging="656"/>
        <w:spacing w:after="0" w:line="261"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becomes the “beneficial owner” (as defined in Rule 13d-3 promulgated under the Exchange Act), directly or indirectly, of securities of the Company representing fifty (50%) percent or more of (i) the outstanding shares of common stock of the Company, or (ii) the combined voting power of the Company’s outstanding securities;</w:t>
      </w:r>
    </w:p>
    <w:p>
      <w:pPr>
        <w:spacing w:after="0" w:line="179" w:lineRule="exact"/>
        <w:rPr>
          <w:rFonts w:ascii="Times New Roman" w:cs="Times New Roman" w:eastAsia="Times New Roman" w:hAnsi="Times New Roman"/>
          <w:sz w:val="18"/>
          <w:szCs w:val="18"/>
          <w:color w:val="auto"/>
        </w:rPr>
      </w:pPr>
    </w:p>
    <w:p>
      <w:pPr>
        <w:jc w:val="both"/>
        <w:ind w:left="1620" w:hanging="656"/>
        <w:spacing w:after="0" w:line="258"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party to a merger or consolidation, or series of related transactions, which results in the voting securities of the Company outstanding immediately prior thereto failing to continue to represent (either by remaining outstanding or by being converted into voting securities of the surviving entity), directly or indirectly, at least fifty (50%) percent of the combined voting power of the voting securities of the Company or such surviving entity outstanding immediately after such merger or consolidation;</w:t>
      </w:r>
    </w:p>
    <w:p>
      <w:pPr>
        <w:spacing w:after="0" w:line="183" w:lineRule="exact"/>
        <w:rPr>
          <w:rFonts w:ascii="Times New Roman" w:cs="Times New Roman" w:eastAsia="Times New Roman" w:hAnsi="Times New Roman"/>
          <w:sz w:val="18"/>
          <w:szCs w:val="18"/>
          <w:color w:val="auto"/>
        </w:rPr>
      </w:pPr>
    </w:p>
    <w:p>
      <w:pPr>
        <w:ind w:left="1620" w:hanging="656"/>
        <w:spacing w:after="0" w:line="282"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all or substantially all of the Company’s assets, or consummation of any transaction, or series of related transactions, having similar effect (other than to a subsidiary of the Company);</w:t>
      </w:r>
    </w:p>
    <w:p>
      <w:pPr>
        <w:spacing w:after="0" w:line="161" w:lineRule="exact"/>
        <w:rPr>
          <w:rFonts w:ascii="Times New Roman" w:cs="Times New Roman" w:eastAsia="Times New Roman" w:hAnsi="Times New Roman"/>
          <w:sz w:val="18"/>
          <w:szCs w:val="18"/>
          <w:color w:val="auto"/>
        </w:rPr>
      </w:pPr>
    </w:p>
    <w:p>
      <w:pPr>
        <w:jc w:val="both"/>
        <w:ind w:left="1620" w:hanging="656"/>
        <w:spacing w:after="0" w:line="258"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within any consecutive two-year period, as a result of which fewer than a majority of the directors are Incumbent Directors. “Incumbent Directors” shall mean directors who either (i) were directors of the Company as of the effective date of this Agreement, or (ii) are elected, or nominated for election, to the Board with the affirmative votes of a least a majority of those directors whose election or nomination was not in connection with an actual or threatened proxy contest related to the election of directors to the Company; or</w:t>
      </w:r>
    </w:p>
    <w:p>
      <w:pPr>
        <w:spacing w:after="0" w:line="183" w:lineRule="exact"/>
        <w:rPr>
          <w:rFonts w:ascii="Times New Roman" w:cs="Times New Roman" w:eastAsia="Times New Roman" w:hAnsi="Times New Roman"/>
          <w:sz w:val="18"/>
          <w:szCs w:val="18"/>
          <w:color w:val="auto"/>
        </w:rPr>
      </w:pPr>
    </w:p>
    <w:p>
      <w:pPr>
        <w:ind w:left="1620" w:hanging="656"/>
        <w:spacing w:after="0"/>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or liquidation of the Company.</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AUTHID INC. and, following a Change of Control, any Successor.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b w:val="1"/>
          <w:bCs w:val="1"/>
          <w:i w:val="1"/>
          <w:iCs w:val="1"/>
          <w:color w:val="auto"/>
        </w:rPr>
        <w:t>Company Plans</w:t>
      </w:r>
      <w:r>
        <w:rPr>
          <w:rFonts w:ascii="Times New Roman" w:cs="Times New Roman" w:eastAsia="Times New Roman" w:hAnsi="Times New Roman"/>
          <w:sz w:val="18"/>
          <w:szCs w:val="18"/>
          <w:color w:val="auto"/>
        </w:rPr>
        <w:t>” shall mean the Company’s 2024 Equity Incentive Plan and any employee equity plan that replaces or supplements such plan, as well as any grant of stock options, restricted stock, stock appreciation rights, stock award, or stock purchase offer, which may be made to Executive outside of any such plan.</w:t>
      </w:r>
    </w:p>
    <w:p>
      <w:pPr>
        <w:spacing w:after="0" w:line="39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9" w:name="page60"/>
    <w:bookmarkEnd w:id="59"/>
    <w:p>
      <w:pPr>
        <w:ind w:left="980"/>
        <w:spacing w:after="0"/>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b w:val="1"/>
          <w:bCs w:val="1"/>
          <w:i w:val="1"/>
          <w:iCs w:val="1"/>
          <w:color w:val="auto"/>
        </w:rPr>
        <w:t>Involuntary Termination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960" w:hanging="656"/>
        <w:spacing w:after="0"/>
        <w:tabs>
          <w:tab w:leader="none" w:pos="1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without Cause of the employment of the Executive by the Company;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Executive for Good Reason where such resignation occurs within one hundred twenty (120) days following the occurrence of such Good Reason.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term “Involuntary Termination” shall not include any termination of the employment of the Executive: (1) by the Company for Cause; (2) by the Company as a result of the Permanent Disability of the Executive; (3) as a result of the death of the Executive; (4) as a result of the voluntary termination of employment by the Executive for any reason other than Good Reason, or (5) that would qualify as a Termination Upon Change of Control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the occurrence of any of the following conditions, without the Executive’s written consent:</w:t>
      </w:r>
    </w:p>
    <w:p>
      <w:pPr>
        <w:spacing w:after="0" w:line="229" w:lineRule="exact"/>
        <w:rPr>
          <w:sz w:val="20"/>
          <w:szCs w:val="20"/>
          <w:color w:val="auto"/>
        </w:rPr>
      </w:pPr>
    </w:p>
    <w:p>
      <w:pPr>
        <w:ind w:left="1960" w:hanging="656"/>
        <w:spacing w:after="0" w:line="282" w:lineRule="auto"/>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set of facts or omissions with respect to the Executive that would, as a matter of applicable law, constitute a constructive termination of the Executive.</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the Executive of a title, position, responsibilities or duties that is not a “Substantive Functional Equivalent” to the title, position, responsibilities or duties which the Executive had immediately prior to such assignment (including, as relevant, immediately prior to the public announcement of the Change of Control).</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Base Salary or, if applicable, target bonus opportunity (subject to applicable performance requirements with respect to the actual amount of bonus compensation earned similar to the applicable performance requirements currently in effect), and in the event of a Change of Control, as compared to Executive’s Base Salary and target bonus opportunity in effect immediately prior to the public announcement of the Change of Control; provided, however, that this clause (c) shall not apply in the event of a reduction in the Executive’s Base Salary or, if applicable, target bonus opportunity as part of a Company-wide or executive team-wide cost-cutting measure or Company-wide or executive team-wide cutback as a result of overall Company performance.</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(i) to continue to provide the Executive an opportunity to participate in any benefit or compensation plans provided to employees who hold positions with the Company comparable to the Executive’s position, (ii) to provide the Executive all other fringe benefits (or the equivalent) in effect for the benefit of any employee group which includes any employee who hold a position with the Company comparable to the Executive’s position, where in the event of a Change of Control, such comparison shall be made relative to the time immediately prior to the public announcement of such Change of Control); or (iii) continue to provide director’s and officers’ insurance.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left="1960" w:hanging="656"/>
        <w:spacing w:after="0" w:line="282" w:lineRule="auto"/>
        <w:tabs>
          <w:tab w:leader="none" w:pos="1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the Company, including, in the event of a Change of Control, failure of the Company to obtain the consent of a Successor to perform all of the obligations of the Company under this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Executive must first give the Company an opportunity to cure any of the foregoing within thirty (30) days following delivery to the Company of a written explanation specifying the specific basis for Executive’s belief that Executive is entitled to terminate employment for Good Reason, and Executive terminates employment with the Company not later than (30) days following the Company’s failure to cure.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b w:val="1"/>
          <w:bCs w:val="1"/>
          <w:i w:val="1"/>
          <w:iCs w:val="1"/>
          <w:color w:val="auto"/>
        </w:rPr>
        <w:t>Permanent Disability</w:t>
      </w:r>
      <w:r>
        <w:rPr>
          <w:rFonts w:ascii="Times New Roman" w:cs="Times New Roman" w:eastAsia="Times New Roman" w:hAnsi="Times New Roman"/>
          <w:sz w:val="18"/>
          <w:szCs w:val="18"/>
          <w:color w:val="auto"/>
        </w:rPr>
        <w:t>” means that:</w:t>
      </w:r>
    </w:p>
    <w:p>
      <w:pPr>
        <w:spacing w:after="0" w:line="229" w:lineRule="exact"/>
        <w:rPr>
          <w:sz w:val="20"/>
          <w:szCs w:val="20"/>
          <w:color w:val="auto"/>
        </w:rPr>
      </w:pPr>
    </w:p>
    <w:p>
      <w:pPr>
        <w:ind w:left="1960" w:hanging="656"/>
        <w:spacing w:after="0" w:line="282" w:lineRule="auto"/>
        <w:tabs>
          <w:tab w:leader="none" w:pos="1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been incapacitated by bodily injury, illness or disease so as to be prevented thereby from engaging in the performance of the Executive’s duties;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total incapacity shall have continued for a period of six consecutive months;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incapacity will, in the opinion of a qualified physician, be permanent and continuous during the remainder of the Executive’s life.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b w:val="1"/>
          <w:bCs w:val="1"/>
          <w:i w:val="1"/>
          <w:iCs w:val="1"/>
          <w:color w:val="auto"/>
        </w:rPr>
        <w:t>Substantive Functional Equivalent</w:t>
      </w:r>
      <w:r>
        <w:rPr>
          <w:rFonts w:ascii="Times New Roman" w:cs="Times New Roman" w:eastAsia="Times New Roman" w:hAnsi="Times New Roman"/>
          <w:sz w:val="18"/>
          <w:szCs w:val="18"/>
          <w:color w:val="auto"/>
        </w:rPr>
        <w:t>” means that the Executive’s position must:</w:t>
      </w:r>
    </w:p>
    <w:p>
      <w:pPr>
        <w:spacing w:after="0" w:line="229" w:lineRule="exact"/>
        <w:rPr>
          <w:sz w:val="20"/>
          <w:szCs w:val="20"/>
          <w:color w:val="auto"/>
        </w:rPr>
      </w:pPr>
    </w:p>
    <w:p>
      <w:pPr>
        <w:ind w:left="1960" w:hanging="656"/>
        <w:spacing w:after="0" w:line="282" w:lineRule="auto"/>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a substantive area of the Executive’s competence (e.g., finance or executive management) and not materially different from the position occupied immediately prior;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Executive to serve in a role and perform duties functionally equivalent to those performed immediately prior;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otherwise constitute a material, adverse change in authority, title, status, responsibilities or duties from those of the Executive immediately prior, causing the Executive to be of materially lesser rank or responsibility, including requiring the Executive to report to a person other than the Board.</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b w:val="1"/>
          <w:bCs w:val="1"/>
          <w:i w:val="1"/>
          <w:iCs w:val="1"/>
          <w:color w:val="auto"/>
        </w:rPr>
        <w:t>Successor</w:t>
      </w:r>
      <w:r>
        <w:rPr>
          <w:rFonts w:ascii="Times New Roman" w:cs="Times New Roman" w:eastAsia="Times New Roman" w:hAnsi="Times New Roman"/>
          <w:sz w:val="18"/>
          <w:szCs w:val="18"/>
          <w:color w:val="auto"/>
        </w:rPr>
        <w:t>” means any successor in interest to, or assignee of, substantially all of the business and assets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means the date of the termination of the Executive’s employment with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b w:val="1"/>
          <w:bCs w:val="1"/>
          <w:i w:val="1"/>
          <w:iCs w:val="1"/>
          <w:color w:val="auto"/>
        </w:rPr>
        <w:t>Termination Upon Change of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1960" w:hanging="656"/>
        <w:spacing w:after="0" w:line="261" w:lineRule="auto"/>
        <w:tabs>
          <w:tab w:leader="none" w:pos="1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employment of the Executive by the Company without Cause during the period commencing on or after the date that the Company first publicly announces a definitive agreement that results in a Change of Control (even though still subject to approval by the Company’s stockholders and other conditions and contingencies, but provided that the Change of Control actually occurs) and ending on the date which is twelve (12) months following the Change of Control;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left="1960" w:hanging="656"/>
        <w:spacing w:after="0" w:line="256" w:lineRule="auto"/>
        <w:tabs>
          <w:tab w:leader="none" w:pos="1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Executive for Good Reason where (i) such Good Reason occurs during the period commencing on or after the date that the Company first publicly announces a definitive agreement that results in a Change of Control (even though still subject to approval by the Company’s stockholders and other conditions and contingencies, but provided that the Change of Control actually occurs) and ending on the date which is twelve (12) months following the Change of Control, and (ii) such resignation occurs at or after such Change in Control and in any event within twelve (12) months following the expiration of any Company cure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term “Termination Upon Change of Control” shall not include any termination of the employment of the Executive: (1) by the Company for Cause; (2) by the Company as a result of the Permanent Disability of the Executive; (3) as a result of the death of the Executive; or (4) as a result of the voluntary termination of employment by the Executive for any reason other than Good Reason.</w:t>
      </w:r>
    </w:p>
    <w:p>
      <w:pPr>
        <w:spacing w:after="0" w:line="176" w:lineRule="exact"/>
        <w:rPr>
          <w:sz w:val="20"/>
          <w:szCs w:val="20"/>
          <w:color w:val="auto"/>
        </w:rPr>
      </w:pPr>
    </w:p>
    <w:p>
      <w:pPr>
        <w:ind w:left="180" w:hanging="172"/>
        <w:spacing w:after="0"/>
        <w:tabs>
          <w:tab w:leader="none" w:pos="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p>
    <w:p>
      <w:pPr>
        <w:spacing w:after="0" w:line="225"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 Other Benefits Payable</w:t>
      </w:r>
      <w:r>
        <w:rPr>
          <w:rFonts w:ascii="Times New Roman" w:cs="Times New Roman" w:eastAsia="Times New Roman" w:hAnsi="Times New Roman"/>
          <w:sz w:val="18"/>
          <w:szCs w:val="18"/>
          <w:color w:val="auto"/>
        </w:rPr>
        <w:t>. The Executive shall be entitled to no other termination, severance or change of control compensation, benefits, or other payments from the Company as a result of any termination with respect to which the payments and benefits described in Sections 2 or 3 have been provided to the Executive, except as expressly set forth in this Agreement.</w:t>
      </w:r>
    </w:p>
    <w:p>
      <w:pPr>
        <w:spacing w:after="0" w:line="176"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 Limitation of Regular Benefit Plans</w:t>
      </w:r>
      <w:r>
        <w:rPr>
          <w:rFonts w:ascii="Times New Roman" w:cs="Times New Roman" w:eastAsia="Times New Roman" w:hAnsi="Times New Roman"/>
          <w:sz w:val="18"/>
          <w:szCs w:val="18"/>
          <w:color w:val="auto"/>
        </w:rPr>
        <w:t>. Except as may be provided elsewhere in this Agreement, this Agreement is not intended to and shall not affect, limit or terminate any plans, programs or arrangements of the Company that are regularly made available to a significant number of employees or officers of the Company, including, without limitation, the Company’s stock option plans.</w:t>
      </w:r>
    </w:p>
    <w:p>
      <w:pPr>
        <w:spacing w:after="0" w:line="176"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The payment and application of the benefits described in Sections 2 and 3 of this Agreement is conditioned upon the delivery by the Executive to the Company of a signed and effective general release of claims as provided by the Company substantially in the form attached hereto as Exhibit 1; provided, however, that the Executive shall not be required to release any rights the Executive may have to any payments and benefits under this Agreement, to be indemnified by the Company or as otherwise provided under this Agreement, or any rights to or under any Shares or Equity Awards then-owned by Executive at the time.</w:t>
      </w:r>
    </w:p>
    <w:p>
      <w:pPr>
        <w:spacing w:after="0" w:line="183"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Non-cumulation of Benefits</w:t>
      </w:r>
      <w:r>
        <w:rPr>
          <w:rFonts w:ascii="Times New Roman" w:cs="Times New Roman" w:eastAsia="Times New Roman" w:hAnsi="Times New Roman"/>
          <w:sz w:val="18"/>
          <w:szCs w:val="18"/>
          <w:color w:val="auto"/>
        </w:rPr>
        <w:t>. The Executive may not cumulate cash severance payments, stock option vesting and exercisability and restricted stock vesting under this Agreement, with any other written agreement with the Company and/or another plan or policy of the Company. If the Executive has any other binding written agreement with the Company which provides that, upon a Change of Control or Termination Upon a Change of Control or Involuntary Termination, the Executive shall receive termination, severance or similar benefits, then no benefits shall be received by Executive under this Agreement unless, prior to payment or receipt of benefits under this Agreement, the Executive waives Executive’s rights to all such other benefits, in which case this Agreement shall supersede any such written agreement with respect to such other benefits.</w:t>
      </w:r>
    </w:p>
    <w:p>
      <w:pPr>
        <w:spacing w:after="0" w:line="187" w:lineRule="exact"/>
        <w:rPr>
          <w:sz w:val="20"/>
          <w:szCs w:val="20"/>
          <w:color w:val="auto"/>
        </w:rPr>
      </w:pPr>
    </w:p>
    <w:p>
      <w:pPr>
        <w:ind w:left="180" w:hanging="172"/>
        <w:spacing w:after="0"/>
        <w:tabs>
          <w:tab w:leader="none" w:pos="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p>
    <w:p>
      <w:pPr>
        <w:spacing w:after="0" w:line="225"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Disputes Subject to Arbitration</w:t>
      </w:r>
      <w:r>
        <w:rPr>
          <w:rFonts w:ascii="Times New Roman" w:cs="Times New Roman" w:eastAsia="Times New Roman" w:hAnsi="Times New Roman"/>
          <w:sz w:val="18"/>
          <w:szCs w:val="18"/>
          <w:color w:val="auto"/>
        </w:rPr>
        <w:t>. Any claim, dispute or controversy arising out of this Agreement (other than claims relating to misuse or misappropriation of the intellectual property of the Company), the interpretation, validity or enforceability of this Agreement or the alleged breach thereof shall be submitted by the parties to binding arbitration by a sole arbitrator under the rules of the American Arbitration Association; provided, however, that (a) the arbitrator shall have no authority to make any ruling or judgment that would confer any rights with respect to the trade secrets, confidential and proprietary information or other intellectual property of the Company upon the Executive or any third party; and (b) this arbitration provision shall not preclude the Company from seeking legal and equitable relief from any court having jurisdiction with respect to any disputes or claims relating to or arising out of the misuse or misappropriation of the Company’s intellectual property. Judgment may be entered on the award of the arbitrator in any court having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34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Costs of Arbitration</w:t>
      </w:r>
      <w:r>
        <w:rPr>
          <w:rFonts w:ascii="Times New Roman" w:cs="Times New Roman" w:eastAsia="Times New Roman" w:hAnsi="Times New Roman"/>
          <w:sz w:val="18"/>
          <w:szCs w:val="18"/>
          <w:color w:val="auto"/>
        </w:rPr>
        <w:t>. All costs of arbitration, including reasonable attorney’s fees of the Executive, will be borne by the Company, except that if the Executive initiates arbitration and the arbitrator finds the Executive’s claims to be frivolous the Executive shall be responsible for their own costs and attorneys’ fees.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Site of Arbitration</w:t>
      </w:r>
      <w:r>
        <w:rPr>
          <w:rFonts w:ascii="Times New Roman" w:cs="Times New Roman" w:eastAsia="Times New Roman" w:hAnsi="Times New Roman"/>
          <w:sz w:val="18"/>
          <w:szCs w:val="18"/>
          <w:color w:val="auto"/>
        </w:rPr>
        <w:t>. The site of the arbitration proceeding shall be in New York, New York.</w:t>
      </w:r>
    </w:p>
    <w:p>
      <w:pPr>
        <w:spacing w:after="0" w:line="225" w:lineRule="exact"/>
        <w:rPr>
          <w:sz w:val="20"/>
          <w:szCs w:val="20"/>
          <w:color w:val="auto"/>
        </w:rPr>
      </w:pPr>
    </w:p>
    <w:p>
      <w:pPr>
        <w:ind w:left="180" w:hanging="172"/>
        <w:spacing w:after="0"/>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this Agreement, notices and all other communications provided for in the Agreement shall be in writing and shall be deemed to have been duly given when delivered or five (5) business days after being mailed, return receipt requested, upon delivery by courier or refusal of receipt, or on the next business day after being sent by e-mail, as follows: (a) if to the Company, attention: General Counsel, at the Company’s address at 1580 N. Logan St. Suite 660, Unit 51767, Denver, Colorado 80203 or legal@authid.ai and, (b) if to the Executive, at the address indicated below or such other address specified by the Executive in writing to the Company. Either party may provide the other with notices of change of address, which shall be effective upon receipt.</w:t>
      </w:r>
    </w:p>
    <w:p>
      <w:pPr>
        <w:spacing w:after="0" w:line="187" w:lineRule="exact"/>
        <w:rPr>
          <w:sz w:val="20"/>
          <w:szCs w:val="20"/>
          <w:color w:val="auto"/>
        </w:rPr>
      </w:pPr>
    </w:p>
    <w:p>
      <w:pPr>
        <w:ind w:left="280" w:hanging="272"/>
        <w:spacing w:after="0"/>
        <w:tabs>
          <w:tab w:leader="none" w:pos="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Heirs and Representatives of the Executive; Successors and Assigns of the Company</w:t>
      </w:r>
      <w:r>
        <w:rPr>
          <w:rFonts w:ascii="Times New Roman" w:cs="Times New Roman" w:eastAsia="Times New Roman" w:hAnsi="Times New Roman"/>
          <w:sz w:val="18"/>
          <w:szCs w:val="18"/>
          <w:color w:val="auto"/>
        </w:rPr>
        <w:t>. This Agreement shall be binding upon and shall inure to the benefit of and be enforceable by the Executive’s personal and legal representatives, executors, administrators, successors, heirs, distributees, devises and legatees. This Agreement shall be binding upon and inure to the benefit of and be enforceable by the successors and assigns of the Company.</w:t>
      </w:r>
    </w:p>
    <w:p>
      <w:pPr>
        <w:spacing w:after="0" w:line="17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No provision of this Agreement shall be modified, amended, waived or discharged unless the modification, amendment, waiver or discharge is agreed to in writing, specifying such modification, amendment, waiver or discharge,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3"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All payments made under this Agreement shall be subject to deduction of all federal, state, local and other taxes required to be withheld by applicable law.</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New York, without regard to where the Executive has their residence or principal office or where they perform their duties hereunder.</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No Duty to Mitigate</w:t>
      </w:r>
      <w:r>
        <w:rPr>
          <w:rFonts w:ascii="Times New Roman" w:cs="Times New Roman" w:eastAsia="Times New Roman" w:hAnsi="Times New Roman"/>
          <w:sz w:val="18"/>
          <w:szCs w:val="18"/>
          <w:color w:val="auto"/>
        </w:rPr>
        <w:t>. The Executive is not required to seek alternative employment following termination, and payments called for under this Agreement will not be reduced by earnings from any other source.</w:t>
      </w:r>
    </w:p>
    <w:p>
      <w:pPr>
        <w:spacing w:after="0" w:line="162"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The intent of the parties is that payments and benefits under this Agreement comply with Section 409A of the Code and the Treasury Regulations and guidance promulgated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to the extent subject thereto, and accordingly, to the maximum extent permitted, this letter shall be interpreted and administered to be in compliance therewith. Notwithstanding anything contained herein to the contrary, Executive shall not be considered to have terminated employment with the Company for purposes of any provision in this Agreement providing for the payment of any amounts or benefits subject to Section 409A upon or following a termination of employment until Executive would be considered to have incurred a “separation from service” from the Company within the meaning of Section 409A and this Agreement shall be interpreted consistently therewith. Without limiting the foregoing, and notwithstanding anything to the contrary contained herein, to the extent (a) any payments or benefits to which Executive becomes entitled under this Agreement, or under any agreement or plan referenced herein, in connection with Executive’s termination of employment with the Company constitute deferred compensation subject to Section 409A of the Code and (b) Executive is deemed at the time of such termination of employment to be a “specified employee” under Section 409A of the Code, then such payments shall not be made or commence until the earliest of (i) the expiration of the six (6)-month period measured from the date of Executive’s “separation from service” (as such term is at the time defined in Treasury Regulations under Section 409A of the Code) from the Company; or (ii) the date of Executive’s death following such separation from service;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Any termination of Executive’s employment is intended to constitute a “separation from service” as such term is defined in Treasury Regulation Section 1.409A-1. It is intended that each installment of the payments provided hereunder constitute separate and distinct “payments” for purposes of Section</w:t>
      </w:r>
    </w:p>
    <w:p>
      <w:pPr>
        <w:spacing w:after="0" w:line="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1.409A of the Code. It is further intended that payments hereunder satisfy, to the greatest extent possible, the exemption from the application of Code Section 409A (and any state law of similar effect) provided under Treasury Regulation Section 1.409A-1(b)(4) (as a “short-term deferral”). The Company makes no representation that any or all of the payments described or referenced in this letter will be exempt from or comply with Section 409A and makes no undertaking to preclude Section 409A from applying to any such payment, and Company’s only obligation is to comply with its obligations set forth herein.</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represents the entire agreement and understanding between the parties as to the subject matter herein (whether oral or written and whether express or implied). The Executive hereby acknowledges, represents and warrants that they have been individually represented by counsel in negotiating and signing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hereof</w:t>
      </w:r>
      <w:r>
        <w:rPr>
          <w:rFonts w:ascii="Times New Roman" w:cs="Times New Roman" w:eastAsia="Times New Roman" w:hAnsi="Times New Roman"/>
          <w:sz w:val="18"/>
          <w:szCs w:val="18"/>
          <w:color w:val="auto"/>
        </w:rPr>
        <w:t>, each of the parties has executed this Agreement, in the case of the Company, by its duly authorized officer, as of the day and year first above written.</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Erick Soto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ERICK SOTO</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Rhoniel A.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Rhoniel A Daguro, CEO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OF CLAIMS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General Release of all Claims (this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is entered into on [ ● ], by and between </w:t>
      </w:r>
      <w:r>
        <w:rPr>
          <w:rFonts w:ascii="Times New Roman" w:cs="Times New Roman" w:eastAsia="Times New Roman" w:hAnsi="Times New Roman"/>
          <w:sz w:val="18"/>
          <w:szCs w:val="18"/>
          <w:b w:val="1"/>
          <w:bCs w:val="1"/>
          <w:color w:val="auto"/>
        </w:rPr>
        <w:t>AUTHID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ERICK SOTO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Section 7.3 of the Executive Retention Agreement by and between the Company and the Executive, effective __________,</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2024 (the “</w:t>
      </w:r>
      <w:r>
        <w:rPr>
          <w:rFonts w:ascii="Times New Roman" w:cs="Times New Roman" w:eastAsia="Times New Roman" w:hAnsi="Times New Roman"/>
          <w:sz w:val="18"/>
          <w:szCs w:val="18"/>
          <w:u w:val="single" w:color="auto"/>
          <w:color w:val="auto"/>
        </w:rPr>
        <w:t>Retention Agreement</w:t>
      </w:r>
      <w:r>
        <w:rPr>
          <w:rFonts w:ascii="Times New Roman" w:cs="Times New Roman" w:eastAsia="Times New Roman" w:hAnsi="Times New Roman"/>
          <w:sz w:val="18"/>
          <w:szCs w:val="18"/>
          <w:color w:val="auto"/>
        </w:rPr>
        <w:t>”), in consideration of the payments and benefits to which the Executive is entitled pursuant to the Retention Agreement subject to the execution and non-revocation of this Release, the Executive agrees as follows:</w:t>
      </w:r>
    </w:p>
    <w:p>
      <w:pPr>
        <w:spacing w:after="0" w:line="181" w:lineRule="exact"/>
        <w:rPr>
          <w:sz w:val="20"/>
          <w:szCs w:val="20"/>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and Waiver of Claims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300" w:hanging="324"/>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17"/>
          <w:szCs w:val="17"/>
          <w:i w:val="1"/>
          <w:iCs w:val="1"/>
          <w:color w:val="auto"/>
        </w:rPr>
        <w:t>Release</w:t>
      </w:r>
      <w:r>
        <w:rPr>
          <w:rFonts w:ascii="Times New Roman" w:cs="Times New Roman" w:eastAsia="Times New Roman" w:hAnsi="Times New Roman"/>
          <w:sz w:val="17"/>
          <w:szCs w:val="17"/>
          <w:color w:val="auto"/>
        </w:rPr>
        <w:t>. The Executive and each of the Executive’s respective heirs, executors, administrators, representatives, agents, successors and assigns (collectively, the “</w:t>
      </w:r>
      <w:r>
        <w:rPr>
          <w:rFonts w:ascii="Times New Roman" w:cs="Times New Roman" w:eastAsia="Times New Roman" w:hAnsi="Times New Roman"/>
          <w:sz w:val="17"/>
          <w:szCs w:val="17"/>
          <w:u w:val="single" w:color="auto"/>
          <w:color w:val="auto"/>
        </w:rPr>
        <w:t>Releasors</w:t>
      </w:r>
      <w:r>
        <w:rPr>
          <w:rFonts w:ascii="Times New Roman" w:cs="Times New Roman" w:eastAsia="Times New Roman" w:hAnsi="Times New Roman"/>
          <w:sz w:val="17"/>
          <w:szCs w:val="17"/>
          <w:color w:val="auto"/>
        </w:rPr>
        <w:t>”) hereby irrevocably and unconditionally release and forever discharge the Company and each of its subsidiaries and affiliates and each of their respective officers, employees, directors, managers, shareholders and agents (“</w:t>
      </w:r>
      <w:r>
        <w:rPr>
          <w:rFonts w:ascii="Times New Roman" w:cs="Times New Roman" w:eastAsia="Times New Roman" w:hAnsi="Times New Roman"/>
          <w:sz w:val="17"/>
          <w:szCs w:val="17"/>
          <w:u w:val="single" w:color="auto"/>
          <w:color w:val="auto"/>
        </w:rPr>
        <w:t>Releasees</w:t>
      </w:r>
      <w:r>
        <w:rPr>
          <w:rFonts w:ascii="Times New Roman" w:cs="Times New Roman" w:eastAsia="Times New Roman" w:hAnsi="Times New Roman"/>
          <w:sz w:val="17"/>
          <w:szCs w:val="17"/>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xml:space="preserve">”), including, without limitation, any Claims under any federal, state, local or foreign law, that the Releasors may have or in the future may possess, arising out (i) of the Executive’s employment relationship with and service as an employee, officer, manager or director of the Company, and the termination of such relationship or service and (ii) any event, condition, circumstance or obligation that occurred, existed or arose on or prior to the date hereof, physical injuries excepted;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anything else herein to the contrary, this Release shall not affect: the obligations of the Company to pay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amounts due and owing to Executive on the Termination Date or other obligations that, in each case, by their terms, are to be performed after the date hereof by the Company; any indemnification or similar rights the Executive has as a current or former officer, manager or director of the Company, including, without limitation, any and all rights thereto referenced in the Company’s governance documents or any rights with respect to “directors’ and officers’” insurance policies; and the Executive’s right to reimbursement of business expenses; any ownership Executive holds in Company Shares and other vested or acquired equity, and rights existing thereunder.</w:t>
      </w:r>
    </w:p>
    <w:p>
      <w:pPr>
        <w:spacing w:after="0" w:line="172" w:lineRule="exact"/>
        <w:rPr>
          <w:rFonts w:ascii="Times New Roman" w:cs="Times New Roman" w:eastAsia="Times New Roman" w:hAnsi="Times New Roman"/>
          <w:sz w:val="18"/>
          <w:szCs w:val="18"/>
          <w:color w:val="auto"/>
        </w:rPr>
      </w:pPr>
    </w:p>
    <w:p>
      <w:pPr>
        <w:ind w:left="1300" w:hanging="3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Specific Release of ADEA Claims</w:t>
      </w:r>
      <w:r>
        <w:rPr>
          <w:rFonts w:ascii="Times New Roman" w:cs="Times New Roman" w:eastAsia="Times New Roman" w:hAnsi="Times New Roman"/>
          <w:sz w:val="18"/>
          <w:szCs w:val="18"/>
          <w:color w:val="auto"/>
        </w:rPr>
        <w:t>. The Releasors hereby unconditionally release and forever discharge the Releasees from any and all Claims that the Releasors may have as of the date the Executive signs this Release arising under the Federal Age Discrimination in Employment Act of 1967, as amended, and the applicable rules and regulations promulgated thereunder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By signing this Release, the Executive hereby acknowledges and confirms the following: (i) the Executive was advised by the Company in connection with their termination to consult with an attorney of their choice prior to signing this Release and to have such attorney explain to the Executive the terms of this Release, including, without limitation, the terms relating to the Executive’s release of claims arising under ADEA, and the Executive has in fact consulted with an attorney; (ii) the Executive was given a period of not fewer than twenty-one (21) calendar days to consider the terms of this Release and to consult with an attorney of their choosing with respect thereto; and (iii) the Executive knowingly and voluntarily accepts the terms of this Release. The Executive also understands that they have seven (7) calendar days following the date on which they sign this Release within which to revoke the release contained in this paragraph, by providing the Company a written notice of their revocation of the release and waiver contained in this paragraph.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left="1300" w:hanging="320"/>
        <w:spacing w:after="0" w:line="261"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Release of All Claims</w:t>
      </w:r>
      <w:r>
        <w:rPr>
          <w:rFonts w:ascii="Times New Roman" w:cs="Times New Roman" w:eastAsia="Times New Roman" w:hAnsi="Times New Roman"/>
          <w:sz w:val="18"/>
          <w:szCs w:val="18"/>
          <w:color w:val="auto"/>
        </w:rPr>
        <w:t>. The Executive acknowledges, understands and agrees that they may later discover Claims or facts in addition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from those which they now knows or believes to be true with respect to the subject matters of this Release, but that it is nevertheless their intention by signing this Release to fully, finally and forever release any and all Claims whether now known or unknown, suspected or unsuspected, which now exist, may exist, or previously have existed as set forth herein.</w:t>
      </w:r>
    </w:p>
    <w:p>
      <w:pPr>
        <w:spacing w:after="0" w:line="18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acknowledges that the released claims extend to and include unknown and unsuspected claims. In furtherance of the Executive’s intent, the release in this Release shall remain in full and complete effect notwithstanding the discovery or existence of any additional, contrary, or different facts.</w:t>
      </w:r>
    </w:p>
    <w:p>
      <w:pPr>
        <w:spacing w:after="0" w:line="17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Assignment</w:t>
      </w:r>
      <w:r>
        <w:rPr>
          <w:rFonts w:ascii="Times New Roman" w:cs="Times New Roman" w:eastAsia="Times New Roman" w:hAnsi="Times New Roman"/>
          <w:sz w:val="18"/>
          <w:szCs w:val="18"/>
          <w:color w:val="auto"/>
        </w:rPr>
        <w:t>. The Executive represents and warrants that they have not assigned any of the Claims being released under this Release.</w:t>
      </w:r>
    </w:p>
    <w:p>
      <w:pPr>
        <w:spacing w:after="0" w:line="227" w:lineRule="exact"/>
        <w:rPr>
          <w:rFonts w:ascii="Times New Roman" w:cs="Times New Roman" w:eastAsia="Times New Roman" w:hAnsi="Times New Roman"/>
          <w:sz w:val="18"/>
          <w:szCs w:val="18"/>
          <w:color w:val="auto"/>
        </w:rPr>
      </w:pPr>
    </w:p>
    <w:p>
      <w:pPr>
        <w:jc w:val="both"/>
        <w:ind w:firstLine="656"/>
        <w:spacing w:after="0" w:line="261" w:lineRule="auto"/>
        <w:tabs>
          <w:tab w:leader="none" w:pos="82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The Executive has not filed, and agrees not to initiate or cause to be initiated on their behalf, any complaint, charge, claim or proceeding against the Releasees before any local, state or federal agency, court or other body, other than in respect of any matter described in the proviso to Section 1(a) of this Release (each, individually,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and agrees not to participate voluntarily in any Proceeding. The Executive waives any right they have may have to benefit in any manner from any relief (whether monetary or otherwise) arising out of any Proceeding.</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Executive understands that by entering into this Release they have will be limiting the availability of certain remedies that they have may have against the Company and limiting also their ability to pursue certain claims against the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Clause</w:t>
      </w:r>
      <w:r>
        <w:rPr>
          <w:rFonts w:ascii="Times New Roman" w:cs="Times New Roman" w:eastAsia="Times New Roman" w:hAnsi="Times New Roman"/>
          <w:sz w:val="18"/>
          <w:szCs w:val="18"/>
          <w:color w:val="auto"/>
        </w:rPr>
        <w:t>. In the event any provision or part of this Release is found to be invalid or unenforceable, only that particular provision or part so found, and not the entire Release, will be inoperative.</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w:t>
      </w:r>
      <w:r>
        <w:rPr>
          <w:rFonts w:ascii="Times New Roman" w:cs="Times New Roman" w:eastAsia="Times New Roman" w:hAnsi="Times New Roman"/>
          <w:sz w:val="18"/>
          <w:szCs w:val="18"/>
          <w:color w:val="auto"/>
        </w:rPr>
        <w:t>. Nothing contained in this Release will be deemed or construed as an admission of wrongdoing or liability on the part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84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matters affecting this Release, including the validity thereof, are to be governed by, and interpreted and construed in accordance with, the laws of the State of Illinois applicable to contracts executed in and to be performed in that State.</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but not defined herein have the meanings ascribed to them in the Retention Agreement.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EXECUTIVE ACKNOWLEDGES THAT THEY HAVE READ THIS RELEASE AND THAT THEY FULLY KNOW, UNDERSTAND AND APPRECIATE ITS CONTENTS, AND THAT THEY HEREBY EXECUTES THE SAME AND MAKES THIS AGREEMENT AND THE RELEASE AND AGREEMENTS PROVIDED FOR HEREIN VOLUNTARILY AND OF THEIR OWN FREE WILL.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7"/>
          <w:szCs w:val="17"/>
          <w:color w:val="auto"/>
        </w:rPr>
        <w:t>IN WITNESS WHEREOF, the Executive has executed this Release on the date first set forth below.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8543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ERICK SOTO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1">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Rhoniel Daguro,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authID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Rhoniel Daguro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Sellitto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authID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/s/ Ed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 Sellitto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authID Inc. (the “Company”) on Form 10-Q for the quarter ended September 30, 2024 as filed with the Securities and Exchange Commission (the “Report”), I, Rhoniel Daguro, Chief Executive Officer of the Company, and, Edward Sellitto, Chief Financial Officer of the Company, certify, pursuant to 18 U.S.C. SS. 1350, as adopted pursuant to SS.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November 7, 2024</w:t>
      </w:r>
      <w:r>
        <w:rPr>
          <w:sz w:val="20"/>
          <w:szCs w:val="20"/>
          <w:color w:val="auto"/>
        </w:rPr>
        <w:tab/>
      </w:r>
      <w:r>
        <w:rPr>
          <w:rFonts w:ascii="Times New Roman" w:cs="Times New Roman" w:eastAsia="Times New Roman" w:hAnsi="Times New Roman"/>
          <w:sz w:val="17"/>
          <w:szCs w:val="17"/>
          <w:color w:val="auto"/>
        </w:rPr>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Rhoniel Daguro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November 7, 2024</w:t>
      </w:r>
      <w:r>
        <w:rPr>
          <w:sz w:val="20"/>
          <w:szCs w:val="20"/>
          <w:color w:val="auto"/>
        </w:rPr>
        <w:tab/>
      </w:r>
      <w:r>
        <w:rPr>
          <w:rFonts w:ascii="Times New Roman" w:cs="Times New Roman" w:eastAsia="Times New Roman" w:hAnsi="Times New Roman"/>
          <w:sz w:val="17"/>
          <w:szCs w:val="17"/>
          <w:color w:val="auto"/>
        </w:rPr>
        <w:t>/s/ Ed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 Sellitto, Chief Financial Officer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1"/>
      <w:numFmt w:val="decimal"/>
      <w:start w:val="104"/>
    </w:lvl>
  </w:abstractNum>
  <w:abstractNum w:abstractNumId="16">
    <w:nsid w:val="374A3FE6"/>
    <w:multiLevelType w:val="hybridMultilevel"/>
    <w:lvl w:ilvl="0">
      <w:lvlJc w:val="left"/>
      <w:lvlText w:val="**"/>
      <w:numFmt w:val="bullet"/>
      <w:start w:val="1"/>
    </w:lvl>
    <w:lvl w:ilvl="1">
      <w:lvlJc w:val="left"/>
      <w:lvlText w:val="(%2)"/>
      <w:numFmt w:val="lowerRoman"/>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1)"/>
      <w:numFmt w:val="decimal"/>
      <w:start w:val="2"/>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lowerLetter"/>
      <w:start w:val="1"/>
    </w:lvl>
  </w:abstractNum>
  <w:abstractNum w:abstractNumId="21">
    <w:nsid w:val="39386575"/>
    <w:multiLevelType w:val="hybridMultilevel"/>
    <w:lvl w:ilvl="0">
      <w:lvlJc w:val="left"/>
      <w:lvlText w:val="(%1)"/>
      <w:numFmt w:val="lowerLetter"/>
      <w:start w:val="3"/>
    </w:lvl>
  </w:abstractNum>
  <w:abstractNum w:abstractNumId="22">
    <w:nsid w:val="1CF10FD8"/>
    <w:multiLevelType w:val="hybridMultilevel"/>
    <w:lvl w:ilvl="0">
      <w:lvlJc w:val="left"/>
      <w:lvlText w:val="%1."/>
      <w:numFmt w:val="decimal"/>
      <w:start w:val="2"/>
    </w:lvl>
  </w:abstractNum>
  <w:abstractNum w:abstractNumId="23">
    <w:nsid w:val="180115BE"/>
    <w:multiLevelType w:val="hybridMultilevel"/>
    <w:lvl w:ilvl="0">
      <w:lvlJc w:val="left"/>
      <w:lvlText w:val="%1."/>
      <w:numFmt w:val="decimal"/>
      <w:start w:val="3"/>
    </w:lvl>
  </w:abstractNum>
  <w:abstractNum w:abstractNumId="24">
    <w:nsid w:val="235BA861"/>
    <w:multiLevelType w:val="hybridMultilevel"/>
    <w:lvl w:ilvl="0">
      <w:lvlJc w:val="left"/>
      <w:lvlText w:val="%1."/>
      <w:numFmt w:val="decimal"/>
      <w:start w:val="4"/>
    </w:lvl>
  </w:abstractNum>
  <w:abstractNum w:abstractNumId="25">
    <w:nsid w:val="47398C89"/>
    <w:multiLevelType w:val="hybridMultilevel"/>
    <w:lvl w:ilvl="0">
      <w:lvlJc w:val="left"/>
      <w:lvlText w:val="(%1)"/>
      <w:numFmt w:val="lowerLetter"/>
      <w:start w:val="1"/>
    </w:lvl>
  </w:abstractNum>
  <w:abstractNum w:abstractNumId="26">
    <w:nsid w:val="354FE9F9"/>
    <w:multiLevelType w:val="hybridMultilevel"/>
    <w:lvl w:ilvl="0">
      <w:lvlJc w:val="left"/>
      <w:lvlText w:val="(%1)"/>
      <w:numFmt w:val="lowerLetter"/>
      <w:start w:val="2"/>
    </w:lvl>
  </w:abstractNum>
  <w:abstractNum w:abstractNumId="27">
    <w:nsid w:val="15B5AF5C"/>
    <w:multiLevelType w:val="hybridMultilevel"/>
    <w:lvl w:ilvl="0">
      <w:lvlJc w:val="left"/>
      <w:lvlText w:val="%1."/>
      <w:numFmt w:val="decimal"/>
      <w:start w:val="5"/>
    </w:lvl>
  </w:abstractNum>
  <w:abstractNum w:abstractNumId="28">
    <w:nsid w:val="741226BB"/>
    <w:multiLevelType w:val="hybridMultilevel"/>
    <w:lvl w:ilvl="0">
      <w:lvlJc w:val="left"/>
      <w:lvlText w:val="%1."/>
      <w:numFmt w:val="decimal"/>
      <w:start w:val="6"/>
    </w:lvl>
  </w:abstractNum>
  <w:abstractNum w:abstractNumId="29">
    <w:nsid w:val="D34B6A8"/>
    <w:multiLevelType w:val="hybridMultilevel"/>
    <w:lvl w:ilvl="0">
      <w:lvlJc w:val="left"/>
      <w:lvlText w:val="(%1)"/>
      <w:numFmt w:val="lowerLetter"/>
      <w:start w:val="1"/>
    </w:lvl>
  </w:abstractNum>
  <w:abstractNum w:abstractNumId="30">
    <w:nsid w:val="10233C99"/>
    <w:multiLevelType w:val="hybridMultilevel"/>
    <w:lvl w:ilvl="0">
      <w:lvlJc w:val="left"/>
      <w:lvlText w:val="(%1)"/>
      <w:numFmt w:val="lowerLetter"/>
      <w:start w:val="2"/>
    </w:lvl>
  </w:abstractNum>
  <w:abstractNum w:abstractNumId="31">
    <w:nsid w:val="3F6AB60F"/>
    <w:multiLevelType w:val="hybridMultilevel"/>
    <w:lvl w:ilvl="0">
      <w:lvlJc w:val="left"/>
      <w:lvlText w:val="%1."/>
      <w:numFmt w:val="decimal"/>
      <w:start w:val="8"/>
    </w:lvl>
  </w:abstractNum>
  <w:abstractNum w:abstractNumId="32">
    <w:nsid w:val="61574095"/>
    <w:multiLevelType w:val="hybridMultilevel"/>
    <w:lvl w:ilvl="0">
      <w:lvlJc w:val="left"/>
      <w:lvlText w:val="%1."/>
      <w:numFmt w:val="decimal"/>
      <w:start w:val="9"/>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1)"/>
      <w:numFmt w:val="lowerLetter"/>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2"/>
    </w:lvl>
    <w:lvl w:ilvl="1">
      <w:lvlJc w:val="left"/>
      <w:lvlText w:val="(%2)"/>
      <w:numFmt w:val="lowerLetter"/>
      <w:start w:val="1"/>
    </w:lvl>
  </w:abstractNum>
  <w:abstractNum w:abstractNumId="38">
    <w:nsid w:val="2F305DEF"/>
    <w:multiLevelType w:val="hybridMultilevel"/>
    <w:lvl w:ilvl="0">
      <w:lvlJc w:val="left"/>
      <w:lvlText w:val="(%1)"/>
      <w:numFmt w:val="lowerLetter"/>
      <w:start w:val="2"/>
    </w:lvl>
  </w:abstractNum>
  <w:abstractNum w:abstractNumId="39">
    <w:nsid w:val="25A70BF7"/>
    <w:multiLevelType w:val="hybridMultilevel"/>
    <w:lvl w:ilvl="0">
      <w:lvlJc w:val="left"/>
      <w:lvlText w:val="%1."/>
      <w:numFmt w:val="decimal"/>
      <w:start w:val="10"/>
    </w:lvl>
  </w:abstractNum>
  <w:abstractNum w:abstractNumId="40">
    <w:nsid w:val="1DBABF00"/>
    <w:multiLevelType w:val="hybridMultilevel"/>
    <w:lvl w:ilvl="0">
      <w:lvlJc w:val="left"/>
      <w:lvlText w:val="%1."/>
      <w:numFmt w:val="decimal"/>
      <w:start w:val="14"/>
    </w:lvl>
    <w:lvl w:ilvl="1">
      <w:lvlJc w:val="left"/>
      <w:lvlText w:val="(%2)"/>
      <w:numFmt w:val="decimal"/>
      <w:start w:val="3"/>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decimal"/>
      <w:start w:val="6"/>
    </w:lvl>
    <w:lvl w:ilvl="1">
      <w:lvlJc w:val="left"/>
      <w:lvlText w:val="(%2)"/>
      <w:numFmt w:val="lowerLetter"/>
      <w:start w:val="1"/>
    </w:lvl>
  </w:abstractNum>
  <w:abstractNum w:abstractNumId="43">
    <w:nsid w:val="1381823A"/>
    <w:multiLevelType w:val="hybridMultilevel"/>
    <w:lvl w:ilvl="0">
      <w:lvlJc w:val="left"/>
      <w:lvlText w:val="%1"/>
      <w:numFmt w:val="decimal"/>
      <w:start w:val="1"/>
    </w:lvl>
    <w:lvl w:ilvl="1">
      <w:lvlJc w:val="left"/>
      <w:lvlText w:val="(%2)"/>
      <w:numFmt w:val="lowerLetter"/>
      <w:start w:val="2"/>
    </w:lvl>
  </w:abstractNum>
  <w:abstractNum w:abstractNumId="44">
    <w:nsid w:val="5DB70AE5"/>
    <w:multiLevelType w:val="hybridMultilevel"/>
    <w:lvl w:ilvl="0">
      <w:lvlJc w:val="left"/>
      <w:lvlText w:val="%1."/>
      <w:numFmt w:val="decimal"/>
      <w:start w:val="11"/>
    </w:lvl>
    <w:lvl w:ilvl="1">
      <w:lvlJc w:val="left"/>
      <w:lvlText w:val="%2"/>
      <w:numFmt w:val="lowerLetter"/>
      <w:start w:val="1"/>
    </w:lvl>
  </w:abstractNum>
  <w:abstractNum w:abstractNumId="45">
    <w:nsid w:val="100F8FCA"/>
    <w:multiLevelType w:val="hybridMultilevel"/>
    <w:lvl w:ilvl="0">
      <w:lvlJc w:val="left"/>
      <w:lvlText w:val="%1."/>
      <w:numFmt w:val="decimal"/>
      <w:start w:val="18"/>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2"/>
    </w:lvl>
  </w:abstractNum>
  <w:abstractNum w:abstractNumId="48">
    <w:nsid w:val="5F5E7FD0"/>
    <w:multiLevelType w:val="hybridMultilevel"/>
    <w:lvl w:ilvl="0">
      <w:lvlJc w:val="left"/>
      <w:lvlText w:val="(%1)"/>
      <w:numFmt w:val="lowerLetter"/>
      <w:start w:val="2"/>
    </w:lvl>
  </w:abstractNum>
  <w:abstractNum w:abstractNumId="49">
    <w:nsid w:val="98A3148"/>
    <w:multiLevelType w:val="hybridMultilevel"/>
    <w:lvl w:ilvl="0">
      <w:lvlJc w:val="left"/>
      <w:lvlText w:val="%1."/>
      <w:numFmt w:val="decimal"/>
      <w:start w:val="3"/>
    </w:lvl>
  </w:abstractNum>
  <w:abstractNum w:abstractNumId="50">
    <w:nsid w:val="799D0247"/>
    <w:multiLevelType w:val="hybridMultilevel"/>
    <w:lvl w:ilvl="0">
      <w:lvlJc w:val="left"/>
      <w:lvlText w:val="%1."/>
      <w:numFmt w:val="decimal"/>
      <w:start w:val="4"/>
    </w:lvl>
  </w:abstractNum>
  <w:abstractNum w:abstractNumId="51">
    <w:nsid w:val="6B94764"/>
    <w:multiLevelType w:val="hybridMultilevel"/>
    <w:lvl w:ilvl="0">
      <w:lvlJc w:val="left"/>
      <w:lvlText w:val="%1."/>
      <w:numFmt w:val="decimal"/>
      <w:start w:val="5"/>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4"/>
    </w:lvl>
  </w:abstractNum>
  <w:abstractNum w:abstractNumId="54">
    <w:nsid w:val="1EBA5D23"/>
    <w:multiLevelType w:val="hybridMultilevel"/>
    <w:lvl w:ilvl="0">
      <w:lvlJc w:val="left"/>
      <w:lvlText w:val="(%1)"/>
      <w:numFmt w:val="lowerLetter"/>
      <w:start w:val="1"/>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1)"/>
      <w:numFmt w:val="lowerLetter"/>
      <w:start w:val="1"/>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1."/>
      <w:numFmt w:val="decimal"/>
      <w:start w:val="6"/>
    </w:lvl>
  </w:abstractNum>
  <w:abstractNum w:abstractNumId="61">
    <w:nsid w:val="BF72B14"/>
    <w:multiLevelType w:val="hybridMultilevel"/>
    <w:lvl w:ilvl="0">
      <w:lvlJc w:val="left"/>
      <w:lvlText w:val="%1."/>
      <w:numFmt w:val="decimal"/>
      <w:start w:val="7"/>
    </w:lvl>
  </w:abstractNum>
  <w:abstractNum w:abstractNumId="62">
    <w:nsid w:val="11447B73"/>
    <w:multiLevelType w:val="hybridMultilevel"/>
    <w:lvl w:ilvl="0">
      <w:lvlJc w:val="left"/>
      <w:lvlText w:val="%1."/>
      <w:numFmt w:val="decimal"/>
      <w:start w:val="8"/>
    </w:lvl>
  </w:abstractNum>
  <w:abstractNum w:abstractNumId="63">
    <w:nsid w:val="42963E5A"/>
    <w:multiLevelType w:val="hybridMultilevel"/>
    <w:lvl w:ilvl="0">
      <w:lvlJc w:val="left"/>
      <w:lvlText w:val="%1."/>
      <w:numFmt w:val="decimal"/>
      <w:start w:val="10"/>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lvl w:ilvl="1">
      <w:lvlJc w:val="left"/>
      <w:lvlText w:val="o"/>
      <w:numFmt w:val="bullet"/>
      <w:start w:val="1"/>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2"/>
    </w:lvl>
  </w:abstractNum>
  <w:abstractNum w:abstractNumId="68">
    <w:nsid w:val="68EB2F63"/>
    <w:multiLevelType w:val="hybridMultilevel"/>
    <w:lvl w:ilvl="0">
      <w:lvlJc w:val="left"/>
      <w:lvlText w:val="(%1)"/>
      <w:numFmt w:val="lowerLetter"/>
      <w:start w:val="2"/>
    </w:lvl>
  </w:abstractNum>
  <w:abstractNum w:abstractNumId="69">
    <w:nsid w:val="4962813B"/>
    <w:multiLevelType w:val="hybridMultilevel"/>
    <w:lvl w:ilvl="0">
      <w:lvlJc w:val="left"/>
      <w:lvlText w:val="%1."/>
      <w:numFmt w:val="decimal"/>
      <w:start w:val="3"/>
    </w:lvl>
  </w:abstractNum>
  <w:abstractNum w:abstractNumId="70">
    <w:nsid w:val="60B6DF70"/>
    <w:multiLevelType w:val="hybridMultilevel"/>
    <w:lvl w:ilvl="0">
      <w:lvlJc w:val="left"/>
      <w:lvlText w:val="%1."/>
      <w:numFmt w:val="decimal"/>
      <w:start w:val="4"/>
    </w:lvl>
  </w:abstractNum>
  <w:abstractNum w:abstractNumId="71">
    <w:nsid w:val="6A5EE64"/>
    <w:multiLevelType w:val="hybridMultilevel"/>
    <w:lvl w:ilvl="0">
      <w:lvlJc w:val="left"/>
      <w:lvlText w:val="%1."/>
      <w:numFmt w:val="decimal"/>
      <w:start w:val="5"/>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lowerLetter"/>
      <w:start w:val="4"/>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5"/>
    </w:lvl>
  </w:abstractNum>
  <w:abstractNum w:abstractNumId="78">
    <w:nsid w:val="6EB5BD4"/>
    <w:multiLevelType w:val="hybridMultilevel"/>
    <w:lvl w:ilvl="0">
      <w:lvlJc w:val="left"/>
      <w:lvlText w:val="(%1)"/>
      <w:numFmt w:val="lowerLetter"/>
      <w:start w:val="1"/>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lowerLetter"/>
      <w:start w:val="2"/>
    </w:lvl>
  </w:abstractNum>
  <w:abstractNum w:abstractNumId="82">
    <w:nsid w:val="76272110"/>
    <w:multiLevelType w:val="hybridMultilevel"/>
    <w:lvl w:ilvl="0">
      <w:lvlJc w:val="left"/>
      <w:lvlText w:val="%1."/>
      <w:numFmt w:val="decimal"/>
      <w:start w:val="6"/>
    </w:lvl>
  </w:abstractNum>
  <w:abstractNum w:abstractNumId="83">
    <w:nsid w:val="4C04A8AF"/>
    <w:multiLevelType w:val="hybridMultilevel"/>
    <w:lvl w:ilvl="0">
      <w:lvlJc w:val="left"/>
      <w:lvlText w:val="%1."/>
      <w:numFmt w:val="decimal"/>
      <w:start w:val="7"/>
    </w:lvl>
  </w:abstractNum>
  <w:abstractNum w:abstractNumId="84">
    <w:nsid w:val="1716703B"/>
    <w:multiLevelType w:val="hybridMultilevel"/>
    <w:lvl w:ilvl="0">
      <w:lvlJc w:val="left"/>
      <w:lvlText w:val="%1."/>
      <w:numFmt w:val="decimal"/>
      <w:start w:val="8"/>
    </w:lvl>
  </w:abstractNum>
  <w:abstractNum w:abstractNumId="85">
    <w:nsid w:val="14E17E33"/>
    <w:multiLevelType w:val="hybridMultilevel"/>
    <w:lvl w:ilvl="0">
      <w:lvlJc w:val="left"/>
      <w:lvlText w:val="%1."/>
      <w:numFmt w:val="decimal"/>
      <w:start w:val="10"/>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lvl w:ilvl="1">
      <w:lvlJc w:val="left"/>
      <w:lvlText w:val="o"/>
      <w:numFmt w:val="bullet"/>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94" Type="http://schemas.openxmlformats.org/officeDocument/2006/relationships/image" Target="media/image27.png"/><Relationship Id="rId95" Type="http://schemas.openxmlformats.org/officeDocument/2006/relationships/image" Target="media/image28.png"/><Relationship Id="rId96" Type="http://schemas.openxmlformats.org/officeDocument/2006/relationships/image" Target="media/image29.png"/><Relationship Id="rId97" Type="http://schemas.openxmlformats.org/officeDocument/2006/relationships/image" Target="media/image30.png"/><Relationship Id="rId98" Type="http://schemas.openxmlformats.org/officeDocument/2006/relationships/image" Target="media/image31.png"/><Relationship Id="rId99" Type="http://schemas.openxmlformats.org/officeDocument/2006/relationships/image" Target="media/image32.png"/><Relationship Id="rId100" Type="http://schemas.openxmlformats.org/officeDocument/2006/relationships/image" Target="media/image33.jpeg"/><Relationship Id="rId101" Type="http://schemas.openxmlformats.org/officeDocument/2006/relationships/image" Target="media/image34.png"/><Relationship Id="rId102" Type="http://schemas.openxmlformats.org/officeDocument/2006/relationships/image" Target="media/image35.png"/><Relationship Id="rId103" Type="http://schemas.openxmlformats.org/officeDocument/2006/relationships/image" Target="media/image36.jpeg"/><Relationship Id="rId104" Type="http://schemas.openxmlformats.org/officeDocument/2006/relationships/image" Target="media/image37.png"/><Relationship Id="rId105" Type="http://schemas.openxmlformats.org/officeDocument/2006/relationships/image" Target="media/image38.png"/><Relationship Id="rId106" Type="http://schemas.openxmlformats.org/officeDocument/2006/relationships/image" Target="media/image39.jpeg"/><Relationship Id="rId107" Type="http://schemas.openxmlformats.org/officeDocument/2006/relationships/image" Target="media/image40.png"/><Relationship Id="rId108" Type="http://schemas.openxmlformats.org/officeDocument/2006/relationships/image" Target="media/image41.png"/><Relationship Id="rId109" Type="http://schemas.openxmlformats.org/officeDocument/2006/relationships/image" Target="media/image42.jpeg"/><Relationship Id="rId110" Type="http://schemas.openxmlformats.org/officeDocument/2006/relationships/image" Target="media/image43.png"/><Relationship Id="rId111" Type="http://schemas.openxmlformats.org/officeDocument/2006/relationships/image" Target="media/image44.png"/><Relationship Id="rId112" Type="http://schemas.openxmlformats.org/officeDocument/2006/relationships/image" Target="media/image45.jpeg"/><Relationship Id="rId113" Type="http://schemas.openxmlformats.org/officeDocument/2006/relationships/image" Target="media/image46.png"/><Relationship Id="rId114" Type="http://schemas.openxmlformats.org/officeDocument/2006/relationships/image" Target="media/image47.png"/><Relationship Id="rId115" Type="http://schemas.openxmlformats.org/officeDocument/2006/relationships/image" Target="media/image48.png"/><Relationship Id="rId116" Type="http://schemas.openxmlformats.org/officeDocument/2006/relationships/image" Target="media/image49.jpeg"/><Relationship Id="rId117" Type="http://schemas.openxmlformats.org/officeDocument/2006/relationships/image" Target="media/image50.png"/><Relationship Id="rId118" Type="http://schemas.openxmlformats.org/officeDocument/2006/relationships/image" Target="media/image51.png"/><Relationship Id="rId119" Type="http://schemas.openxmlformats.org/officeDocument/2006/relationships/image" Target="media/image52.jpeg"/><Relationship Id="rId120" Type="http://schemas.openxmlformats.org/officeDocument/2006/relationships/image" Target="media/image53.png"/><Relationship Id="rId121" Type="http://schemas.openxmlformats.org/officeDocument/2006/relationships/image" Target="media/image54.png"/><Relationship Id="rId122" Type="http://schemas.openxmlformats.org/officeDocument/2006/relationships/image" Target="media/image55.jpeg"/><Relationship Id="rId123" Type="http://schemas.openxmlformats.org/officeDocument/2006/relationships/image" Target="media/image56.png"/><Relationship Id="rId124" Type="http://schemas.openxmlformats.org/officeDocument/2006/relationships/image" Target="media/image57.png"/><Relationship Id="rId125" Type="http://schemas.openxmlformats.org/officeDocument/2006/relationships/image" Target="media/image58.jpeg"/><Relationship Id="rId126" Type="http://schemas.openxmlformats.org/officeDocument/2006/relationships/image" Target="media/image59.png"/><Relationship Id="rId127" Type="http://schemas.openxmlformats.org/officeDocument/2006/relationships/image" Target="media/image60.png"/><Relationship Id="rId128" Type="http://schemas.openxmlformats.org/officeDocument/2006/relationships/image" Target="media/image61.jpeg"/><Relationship Id="rId129" Type="http://schemas.openxmlformats.org/officeDocument/2006/relationships/image" Target="media/image62.png"/><Relationship Id="rId130" Type="http://schemas.openxmlformats.org/officeDocument/2006/relationships/image" Target="media/image63.png"/><Relationship Id="rId131" Type="http://schemas.openxmlformats.org/officeDocument/2006/relationships/image" Target="media/image64.png"/><Relationship Id="rId132" Type="http://schemas.openxmlformats.org/officeDocument/2006/relationships/image" Target="media/image65.png"/><Relationship Id="rId133" Type="http://schemas.openxmlformats.org/officeDocument/2006/relationships/image" Target="media/image66.png"/><Relationship Id="rId134" Type="http://schemas.openxmlformats.org/officeDocument/2006/relationships/image" Target="media/image67.png"/><Relationship Id="rId135" Type="http://schemas.openxmlformats.org/officeDocument/2006/relationships/image" Target="media/image68.png"/><Relationship Id="rId136" Type="http://schemas.openxmlformats.org/officeDocument/2006/relationships/image" Target="media/image69.png"/><Relationship Id="rId137" Type="http://schemas.openxmlformats.org/officeDocument/2006/relationships/image" Target="media/image70.png"/><Relationship Id="rId138" Type="http://schemas.openxmlformats.org/officeDocument/2006/relationships/image" Target="media/image71.png"/><Relationship Id="rId139" Type="http://schemas.openxmlformats.org/officeDocument/2006/relationships/image" Target="media/image72.png"/><Relationship Id="rId140" Type="http://schemas.openxmlformats.org/officeDocument/2006/relationships/image" Target="media/image73.png"/><Relationship Id="rId141" Type="http://schemas.openxmlformats.org/officeDocument/2006/relationships/image" Target="media/image74.png"/><Relationship Id="rId142" Type="http://schemas.openxmlformats.org/officeDocument/2006/relationships/image" Target="media/image75.png"/><Relationship Id="rId143" Type="http://schemas.openxmlformats.org/officeDocument/2006/relationships/image" Target="media/image76.png"/><Relationship Id="rId144" Type="http://schemas.openxmlformats.org/officeDocument/2006/relationships/image" Target="media/image77.png"/><Relationship Id="rId145" Type="http://schemas.openxmlformats.org/officeDocument/2006/relationships/image" Target="media/image78.png"/><Relationship Id="rId146" Type="http://schemas.openxmlformats.org/officeDocument/2006/relationships/image" Target="media/image79.png"/><Relationship Id="rId147" Type="http://schemas.openxmlformats.org/officeDocument/2006/relationships/image" Target="media/image80.png"/><Relationship Id="rId148" Type="http://schemas.openxmlformats.org/officeDocument/2006/relationships/image" Target="media/image81.png"/><Relationship Id="rId149" Type="http://schemas.openxmlformats.org/officeDocument/2006/relationships/image" Target="media/image82.png"/><Relationship Id="rId150" Type="http://schemas.openxmlformats.org/officeDocument/2006/relationships/image" Target="media/image83.png"/><Relationship Id="rId151" Type="http://schemas.openxmlformats.org/officeDocument/2006/relationships/image" Target="media/image84.png"/><Relationship Id="rId152" Type="http://schemas.openxmlformats.org/officeDocument/2006/relationships/image" Target="media/image85.png"/><Relationship Id="rId153" Type="http://schemas.openxmlformats.org/officeDocument/2006/relationships/image" Target="media/image86.png"/><Relationship Id="rId154" Type="http://schemas.openxmlformats.org/officeDocument/2006/relationships/image" Target="media/image87.png"/><Relationship Id="rId155" Type="http://schemas.openxmlformats.org/officeDocument/2006/relationships/image" Target="media/image88.png"/><Relationship Id="rId156" Type="http://schemas.openxmlformats.org/officeDocument/2006/relationships/image" Target="media/image89.png"/><Relationship Id="rId157" Type="http://schemas.openxmlformats.org/officeDocument/2006/relationships/image" Target="media/image90.png"/><Relationship Id="rId158" Type="http://schemas.openxmlformats.org/officeDocument/2006/relationships/image" Target="media/image91.png"/><Relationship Id="rId159" Type="http://schemas.openxmlformats.org/officeDocument/2006/relationships/image" Target="media/image92.png"/><Relationship Id="rId160" Type="http://schemas.openxmlformats.org/officeDocument/2006/relationships/image" Target="media/image93.png"/><Relationship Id="rId161" Type="http://schemas.openxmlformats.org/officeDocument/2006/relationships/image" Target="media/image94.png"/><Relationship Id="rId162" Type="http://schemas.openxmlformats.org/officeDocument/2006/relationships/image" Target="media/image95.png"/><Relationship Id="rId163" Type="http://schemas.openxmlformats.org/officeDocument/2006/relationships/image" Target="media/image96.png"/><Relationship Id="rId164" Type="http://schemas.openxmlformats.org/officeDocument/2006/relationships/image" Target="media/image97.png"/><Relationship Id="rId165" Type="http://schemas.openxmlformats.org/officeDocument/2006/relationships/image" Target="media/image98.png"/><Relationship Id="rId166" Type="http://schemas.openxmlformats.org/officeDocument/2006/relationships/image" Target="media/image99.png"/><Relationship Id="rId167" Type="http://schemas.openxmlformats.org/officeDocument/2006/relationships/image" Target="media/image100.png"/><Relationship Id="rId168" Type="http://schemas.openxmlformats.org/officeDocument/2006/relationships/image" Target="media/image101.png"/><Relationship Id="rId169" Type="http://schemas.openxmlformats.org/officeDocument/2006/relationships/image" Target="media/image102.png"/><Relationship Id="rId170" Type="http://schemas.openxmlformats.org/officeDocument/2006/relationships/image" Target="media/image103.png"/><Relationship Id="rId171" Type="http://schemas.openxmlformats.org/officeDocument/2006/relationships/image" Target="media/image104.png"/><Relationship Id="rId172" Type="http://schemas.openxmlformats.org/officeDocument/2006/relationships/image" Target="media/image105.png"/><Relationship Id="rId173" Type="http://schemas.openxmlformats.org/officeDocument/2006/relationships/image" Target="media/image106.png"/><Relationship Id="rId174" Type="http://schemas.openxmlformats.org/officeDocument/2006/relationships/image" Target="media/image107.png"/><Relationship Id="rId175" Type="http://schemas.openxmlformats.org/officeDocument/2006/relationships/image" Target="media/image108.png"/><Relationship Id="rId176" Type="http://schemas.openxmlformats.org/officeDocument/2006/relationships/image" Target="media/image109.png"/><Relationship Id="rId177" Type="http://schemas.openxmlformats.org/officeDocument/2006/relationships/image" Target="media/image110.png"/><Relationship Id="rId34" Type="http://schemas.openxmlformats.org/officeDocument/2006/relationships/hyperlink" Target="http://www.sec.gov/Archives/edgar/data/1534154/000121390021017290/ea138222ex3-1_ipsidyinc.htm" TargetMode="External"/><Relationship Id="rId35" Type="http://schemas.openxmlformats.org/officeDocument/2006/relationships/hyperlink" Target="http://www.sec.gov/Archives/edgar/data/1534154/000121390022040296/ea162935ex3-2_authid.htm" TargetMode="External"/><Relationship Id="rId36" Type="http://schemas.openxmlformats.org/officeDocument/2006/relationships/hyperlink" Target="http://www.sec.gov/Archives/edgar/data/1534154/000121390021032569/ea142763ex3-1_ipsidyinc.htm" TargetMode="External"/><Relationship Id="rId37" Type="http://schemas.openxmlformats.org/officeDocument/2006/relationships/hyperlink" Target="http://www.sec.gov/Archives/edgar/data/1534154/000121390022040296/ea162935ex3-1_authid.htm" TargetMode="External"/><Relationship Id="rId38" Type="http://schemas.openxmlformats.org/officeDocument/2006/relationships/hyperlink" Target="http://www.sec.gov/Archives/edgar/data/1534154/000121390022057553/ea166087ex3-1_authid.htm" TargetMode="External"/><Relationship Id="rId39" Type="http://schemas.openxmlformats.org/officeDocument/2006/relationships/hyperlink" Target="http://www.sec.gov/Archives/edgar/data/1534154/000121390023052128/ea180976ex3-1_authidinc.htm" TargetMode="External"/><Relationship Id="rId40" Type="http://schemas.openxmlformats.org/officeDocument/2006/relationships/hyperlink" Target="http://www.sec.gov/Archives/edgar/data/1534154/000121390024056729/ea020866001ex3-1_authid.htm" TargetMode="External"/><Relationship Id="rId41" Type="http://schemas.openxmlformats.org/officeDocument/2006/relationships/hyperlink" Target="http://www.sec.gov/Archives/edgar/data/1534154/000121390021032569/ea142763ex4-1_ipsidyinc.htm" TargetMode="External"/><Relationship Id="rId42" Type="http://schemas.openxmlformats.org/officeDocument/2006/relationships/hyperlink" Target="http://www.sec.gov/Archives/edgar/data/1534154/000121390019026249/f8k121019ex4-3_ipsidy.htm" TargetMode="External"/><Relationship Id="rId43" Type="http://schemas.openxmlformats.org/officeDocument/2006/relationships/hyperlink" Target="http://www.sec.gov/Archives/edgar/data/1534154/000121390020004127/f8k021420ex4-1_ipsidyinc.htm" TargetMode="External"/><Relationship Id="rId44" Type="http://schemas.openxmlformats.org/officeDocument/2006/relationships/hyperlink" Target="http://www.sec.gov/Archives/edgar/data/1534154/000121390020004127/f8k021420ex4-2_ipsidyinc.htm" TargetMode="External"/><Relationship Id="rId45" Type="http://schemas.openxmlformats.org/officeDocument/2006/relationships/hyperlink" Target="http://www.sec.gov/Archives/edgar/data/1534154/000121390020011887/ea121728ex4-1_ipsidyinc.htm" TargetMode="External"/><Relationship Id="rId46" Type="http://schemas.openxmlformats.org/officeDocument/2006/relationships/hyperlink" Target="http://www.sec.gov/Archives/edgar/data/1534154/000121390021024897/f10q0321ex4-15_ipsidyinc.htm" TargetMode="External"/><Relationship Id="rId47" Type="http://schemas.openxmlformats.org/officeDocument/2006/relationships/hyperlink" Target="http://www.sec.gov/Archives/edgar/data/1534154/000121390023024677/f10k2022ex4-7_authidinc.htm" TargetMode="External"/><Relationship Id="rId48" Type="http://schemas.openxmlformats.org/officeDocument/2006/relationships/hyperlink" Target="http://www.sec.gov/Archives/edgar/data/1534154/000121390021032569/ea142763ex10-6_ipsidyinc.htm" TargetMode="External"/><Relationship Id="rId49" Type="http://schemas.openxmlformats.org/officeDocument/2006/relationships/hyperlink" Target="http://www.sec.gov/Archives/edgar/data/1534154/000121390021032569/ea142763ex10-5_ipsidyinc.htm" TargetMode="External"/><Relationship Id="rId50" Type="http://schemas.openxmlformats.org/officeDocument/2006/relationships/hyperlink" Target="http://www.sec.gov/Archives/edgar/data/1534154/000161577418003344/s109839_ex10-27.htm" TargetMode="External"/><Relationship Id="rId51" Type="http://schemas.openxmlformats.org/officeDocument/2006/relationships/hyperlink" Target="http://www.sec.gov/Archives/edgar/data/1534154/000121390021032569/ea142763ex10-1_ipsidyinc.htm" TargetMode="External"/><Relationship Id="rId52" Type="http://schemas.openxmlformats.org/officeDocument/2006/relationships/hyperlink" Target="http://www.sec.gov/Archives/edgar/data/1534154/000121390021032569/ea142763ex10-2_ipsidyinc.htm" TargetMode="External"/><Relationship Id="rId53" Type="http://schemas.openxmlformats.org/officeDocument/2006/relationships/hyperlink" Target="http://www.sec.gov/Archives/edgar/data/1534154/000121390021032569/ea142763ex10-3_ipsidyinc.htm" TargetMode="External"/><Relationship Id="rId54" Type="http://schemas.openxmlformats.org/officeDocument/2006/relationships/hyperlink" Target="http://www.sec.gov/Archives/edgar/data/1534154/000121390021032569/ea142763ex10-4_ipsidyinc.htm" TargetMode="External"/><Relationship Id="rId55" Type="http://schemas.openxmlformats.org/officeDocument/2006/relationships/hyperlink" Target="http://www.sec.gov/Archives/edgar/data/1534154/000121390021057337/f10q0921ex10-11_ipsidyinc.htm" TargetMode="External"/><Relationship Id="rId56" Type="http://schemas.openxmlformats.org/officeDocument/2006/relationships/hyperlink" Target="http://www.sec.gov/Archives/edgar/data/1534154/000121390021057337/f10q0921ex10-12_ipsidyinc.htm" TargetMode="External"/><Relationship Id="rId57" Type="http://schemas.openxmlformats.org/officeDocument/2006/relationships/hyperlink" Target="http://www.sec.gov/Archives/edgar/data/1534154/000121390022004803/ea154748ex4-1_ipsidyinc.htm" TargetMode="External"/><Relationship Id="rId58" Type="http://schemas.openxmlformats.org/officeDocument/2006/relationships/hyperlink" Target="http://www.sec.gov/Archives/edgar/data/1534154/000121390022014214/f10k2021ex10-14_ipsidyinc.htm" TargetMode="External"/><Relationship Id="rId59" Type="http://schemas.openxmlformats.org/officeDocument/2006/relationships/hyperlink" Target="http://www.sec.gov/Archives/edgar/data/1534154/000121390022013739/ea157152ex10-1_ipsidyinc.htm" TargetMode="External"/><Relationship Id="rId60" Type="http://schemas.openxmlformats.org/officeDocument/2006/relationships/hyperlink" Target="http://www.sec.gov/Archives/edgar/data/1534154/000121390022013739/ea157152ex10-2_ipsidyinc.htm" TargetMode="External"/><Relationship Id="rId61" Type="http://schemas.openxmlformats.org/officeDocument/2006/relationships/hyperlink" Target="http://www.sec.gov/Archives/edgar/data/1534154/000121390022013739/ea157152ex10-3_ipsidyinc.htm" TargetMode="External"/><Relationship Id="rId62" Type="http://schemas.openxmlformats.org/officeDocument/2006/relationships/hyperlink" Target="http://www.sec.gov/Archives/edgar/data/1534154/000121390022013739/ea157152ex10-5_ipsidyinc.htm" TargetMode="External"/><Relationship Id="rId63" Type="http://schemas.openxmlformats.org/officeDocument/2006/relationships/hyperlink" Target="http://www.sec.gov/Archives/edgar/data/1534154/000121390022013739/ea157152ex10-6_ipsidyinc.htm" TargetMode="External"/><Relationship Id="rId64" Type="http://schemas.openxmlformats.org/officeDocument/2006/relationships/hyperlink" Target="http://www.sec.gov/Archives/edgar/data/1534154/000121390022013739/ea157152ex10-7_ipsidyinc.htm" TargetMode="External"/><Relationship Id="rId65" Type="http://schemas.openxmlformats.org/officeDocument/2006/relationships/hyperlink" Target="http://www.sec.gov/Archives/edgar/data/1534154/000121390022020476/ea158591ex10-1_ipsidyinc.htm" TargetMode="External"/><Relationship Id="rId66" Type="http://schemas.openxmlformats.org/officeDocument/2006/relationships/hyperlink" Target="http://www.sec.gov/Archives/edgar/data/1534154/000121390022021805/ea158885ex10-1_ipsidyinc.htm" TargetMode="External"/><Relationship Id="rId67" Type="http://schemas.openxmlformats.org/officeDocument/2006/relationships/hyperlink" Target="http://www.sec.gov/Archives/edgar/data/1534154/000121390023018987/ea174977ex10-1_authid.htm" TargetMode="External"/><Relationship Id="rId68" Type="http://schemas.openxmlformats.org/officeDocument/2006/relationships/hyperlink" Target="http://www.sec.gov/Archives/edgar/data/1534154/000121390023018987/ea174977ex10-2_authid.htm" TargetMode="External"/><Relationship Id="rId69" Type="http://schemas.openxmlformats.org/officeDocument/2006/relationships/hyperlink" Target="http://www.sec.gov/Archives/edgar/data/1534154/000121390023018987/ea174977ex10-3_authid.htm" TargetMode="External"/><Relationship Id="rId70" Type="http://schemas.openxmlformats.org/officeDocument/2006/relationships/hyperlink" Target="http://www.sec.gov/Archives/edgar/data/1534154/000121390023018987/ea174977ex10-4_authid.htm" TargetMode="External"/><Relationship Id="rId71" Type="http://schemas.openxmlformats.org/officeDocument/2006/relationships/hyperlink" Target="http://www.sec.gov/Archives/edgar/data/1534154/000121390023023408/ea175837ex10-1_authid.htm" TargetMode="External"/><Relationship Id="rId72" Type="http://schemas.openxmlformats.org/officeDocument/2006/relationships/hyperlink" Target="http://www.sec.gov/Archives/edgar/data/1534154/000121390023023408/ea175837ex10-2_authid.htm" TargetMode="External"/><Relationship Id="rId73" Type="http://schemas.openxmlformats.org/officeDocument/2006/relationships/hyperlink" Target="http://www.sec.gov/Archives/edgar/data/1534154/000121390023023408/ea175837ex10-3_authid.htm" TargetMode="External"/><Relationship Id="rId74" Type="http://schemas.openxmlformats.org/officeDocument/2006/relationships/hyperlink" Target="http://www.sec.gov/Archives/edgar/data/1534154/000121390023030640/ea177091ex10-1_authid.htm" TargetMode="External"/><Relationship Id="rId75" Type="http://schemas.openxmlformats.org/officeDocument/2006/relationships/hyperlink" Target="http://www.sec.gov/Archives/edgar/data/1534154/000121390023030640/ea177091ex10-2_authid.htm" TargetMode="External"/><Relationship Id="rId76" Type="http://schemas.openxmlformats.org/officeDocument/2006/relationships/hyperlink" Target="http://www.sec.gov/Archives/edgar/data/1534154/000121390023040545/ea178743ex10-1_authid.htm" TargetMode="External"/><Relationship Id="rId77" Type="http://schemas.openxmlformats.org/officeDocument/2006/relationships/hyperlink" Target="http://www.sec.gov/Archives/edgar/data/1534154/000121390023043563/ea179371ex10-1_authidinc.htm" TargetMode="External"/><Relationship Id="rId78" Type="http://schemas.openxmlformats.org/officeDocument/2006/relationships/hyperlink" Target="http://www.sec.gov/Archives/edgar/data/1534154/000121390023043563/ea179371ex10-2_authidinc.htm" TargetMode="External"/><Relationship Id="rId79" Type="http://schemas.openxmlformats.org/officeDocument/2006/relationships/hyperlink" Target="http://www.sec.gov/Archives/edgar/data/1534154/000121390023043563/ea179371ex10-3_authidinc.htm" TargetMode="External"/><Relationship Id="rId80" Type="http://schemas.openxmlformats.org/officeDocument/2006/relationships/hyperlink" Target="http://www.sec.gov/Archives/edgar/data/1534154/000121390023043563/ea179371ex10-4_authidinc.htm" TargetMode="External"/><Relationship Id="rId81" Type="http://schemas.openxmlformats.org/officeDocument/2006/relationships/hyperlink" Target="http://www.sec.gov/Archives/edgar/data/1534154/000121390023062781/ea182763ex10-1_authidinc.htm" TargetMode="External"/><Relationship Id="rId82" Type="http://schemas.openxmlformats.org/officeDocument/2006/relationships/hyperlink" Target="http://www.sec.gov/Archives/edgar/data/1534154/000121390023081375/ea187301ex10-1_authid.htm" TargetMode="External"/><Relationship Id="rId83" Type="http://schemas.openxmlformats.org/officeDocument/2006/relationships/hyperlink" Target="http://www.sec.gov/Archives/edgar/data/1534154/000121390023090267/ea189066ex10-1_authidinc.htm" TargetMode="External"/><Relationship Id="rId84" Type="http://schemas.openxmlformats.org/officeDocument/2006/relationships/hyperlink" Target="http://www.sec.gov/Archives/edgar/data/1534154/000121390023090267/ea189066ex10-2_authidinc.htm" TargetMode="External"/><Relationship Id="rId85" Type="http://schemas.openxmlformats.org/officeDocument/2006/relationships/hyperlink" Target="http://www.sec.gov/Archives/edgar/data/1534154/000121390023090267/ea189066ex10-3_authidinc.htm" TargetMode="External"/><Relationship Id="rId86" Type="http://schemas.openxmlformats.org/officeDocument/2006/relationships/hyperlink" Target="http://www.sec.gov/Archives/edgar/data/1534154/000121390023097744/ea190517ex10-1_authidinc.htm" TargetMode="External"/><Relationship Id="rId87" Type="http://schemas.openxmlformats.org/officeDocument/2006/relationships/hyperlink" Target="http://www.sec.gov/Archives/edgar/data/1534154/000121390024056729/ea020866001ex10-1_authid.htm" TargetMode="External"/><Relationship Id="rId88" Type="http://schemas.openxmlformats.org/officeDocument/2006/relationships/hyperlink" Target="http://www.sec.gov/Archives/edgar/data/1534154/000121390024056729/ea020866001ex10-2_authid.htm" TargetMode="External"/><Relationship Id="rId89" Type="http://schemas.openxmlformats.org/officeDocument/2006/relationships/hyperlink" Target="http://www.sec.gov/Archives/edgar/data/1534154/000121390024056729/ea020866001ex10-3_authid.htm" TargetMode="External"/><Relationship Id="rId90" Type="http://schemas.openxmlformats.org/officeDocument/2006/relationships/hyperlink" Target="http://www.sec.gov/Archives/edgar/data/1534154/000121390023084806/f10q0923ex14-1_authidinc.htm" TargetMode="External"/><Relationship Id="rId91" Type="http://schemas.openxmlformats.org/officeDocument/2006/relationships/hyperlink" Target="http://www.sec.gov/Archives/edgar/data/1534154/000121390023038588/f10q0323ex21-1_authidinc.htm" TargetMode="External"/><Relationship Id="rId92" Type="http://schemas.openxmlformats.org/officeDocument/2006/relationships/hyperlink" Target="http://www.sec.gov/Archives/edgar/data/1534154/000121390023084806/f10q0923ex99-1_authidinc.htm" TargetMode="External"/><Relationship Id="rId93" Type="http://schemas.openxmlformats.org/officeDocument/2006/relationships/hyperlink" Target="http://www.sec.gov/Archives/edgar/data/1534154/000121390024043594/ea020525801ex99-1_authid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2024-11-07T15:27:15Z</dcterms:created>
  <dcterms:modified xsi:type="dcterms:W3CDTF">2024-11-07T15:27:15Z</dcterms:modified>
</cp:coreProperties>
</file>