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1700" w:hanging="211"/>
        <w:spacing w:after="0"/>
        <w:tabs>
          <w:tab w:leader="none" w:pos="1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UNDER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September 30,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1380" w:hanging="204"/>
        <w:spacing w:after="0"/>
        <w:tabs>
          <w:tab w:leader="none" w:pos="1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5" w:lineRule="exact"/>
        <w:rPr>
          <w:sz w:val="24"/>
          <w:szCs w:val="24"/>
          <w:color w:val="auto"/>
        </w:rPr>
      </w:pPr>
    </w:p>
    <w:p>
      <w:pPr>
        <w:ind w:left="3820"/>
        <w:spacing w:after="0"/>
        <w:tabs>
          <w:tab w:leader="none" w:pos="66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001-40747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3074035</wp:posOffset>
            </wp:positionH>
            <wp:positionV relativeFrom="paragraph">
              <wp:posOffset>151765</wp:posOffset>
            </wp:positionV>
            <wp:extent cx="99441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9441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Ipsidy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380" w:type="dxa"/>
            <w:vAlign w:val="bottom"/>
            <w:tcBorders>
              <w:bottom w:val="single" w:sz="8" w:color="auto"/>
            </w:tcBorders>
            <w:gridSpan w:val="3"/>
          </w:tcPr>
          <w:p>
            <w:pPr>
              <w:jc w:val="center"/>
              <w:ind w:left="1050"/>
              <w:spacing w:after="0"/>
              <w:rPr>
                <w:sz w:val="20"/>
                <w:szCs w:val="20"/>
                <w:color w:val="auto"/>
              </w:rPr>
            </w:pPr>
            <w:r>
              <w:rPr>
                <w:rFonts w:ascii="Arial" w:cs="Arial" w:eastAsia="Arial" w:hAnsi="Arial"/>
                <w:sz w:val="18"/>
                <w:szCs w:val="18"/>
                <w:color w:val="auto"/>
                <w:w w:val="89"/>
              </w:rPr>
              <w:t>Delaware</w:t>
            </w: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tcPr>
          <w:p>
            <w:pPr>
              <w:jc w:val="center"/>
              <w:ind w:right="1650"/>
              <w:spacing w:after="0"/>
              <w:rPr>
                <w:sz w:val="20"/>
                <w:szCs w:val="20"/>
                <w:color w:val="auto"/>
              </w:rPr>
            </w:pPr>
            <w:r>
              <w:rPr>
                <w:rFonts w:ascii="Arial" w:cs="Arial" w:eastAsia="Arial" w:hAnsi="Arial"/>
                <w:sz w:val="18"/>
                <w:szCs w:val="18"/>
                <w:color w:val="auto"/>
                <w:w w:val="89"/>
              </w:rPr>
              <w:t>46-2069547</w:t>
            </w:r>
          </w:p>
        </w:tc>
      </w:tr>
      <w:tr>
        <w:trPr>
          <w:trHeight w:val="202"/>
        </w:trPr>
        <w:tc>
          <w:tcPr>
            <w:tcW w:w="4380" w:type="dxa"/>
            <w:vAlign w:val="bottom"/>
            <w:gridSpan w:val="3"/>
          </w:tcPr>
          <w:p>
            <w:pPr>
              <w:jc w:val="center"/>
              <w:ind w:left="1050"/>
              <w:spacing w:after="0" w:line="201" w:lineRule="exact"/>
              <w:rPr>
                <w:sz w:val="20"/>
                <w:szCs w:val="20"/>
                <w:color w:val="auto"/>
              </w:rPr>
            </w:pPr>
            <w:r>
              <w:rPr>
                <w:rFonts w:ascii="Arial" w:cs="Arial" w:eastAsia="Arial" w:hAnsi="Arial"/>
                <w:sz w:val="18"/>
                <w:szCs w:val="18"/>
                <w:color w:val="auto"/>
                <w:w w:val="92"/>
              </w:rPr>
              <w:t>(State or other jurisdiction of</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760" w:type="dxa"/>
            <w:vAlign w:val="bottom"/>
          </w:tcPr>
          <w:p>
            <w:pPr>
              <w:jc w:val="center"/>
              <w:ind w:right="169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380" w:type="dxa"/>
            <w:vAlign w:val="bottom"/>
            <w:gridSpan w:val="3"/>
          </w:tcPr>
          <w:p>
            <w:pPr>
              <w:jc w:val="center"/>
              <w:ind w:left="1050"/>
              <w:spacing w:after="0"/>
              <w:rPr>
                <w:sz w:val="20"/>
                <w:szCs w:val="20"/>
                <w:color w:val="auto"/>
              </w:rPr>
            </w:pPr>
            <w:r>
              <w:rPr>
                <w:rFonts w:ascii="Arial" w:cs="Arial" w:eastAsia="Arial" w:hAnsi="Arial"/>
                <w:sz w:val="18"/>
                <w:szCs w:val="18"/>
                <w:color w:val="auto"/>
                <w:w w:val="92"/>
              </w:rPr>
              <w:t>incorporation or organization)</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760" w:type="dxa"/>
            <w:vAlign w:val="bottom"/>
          </w:tcPr>
          <w:p>
            <w:pPr>
              <w:jc w:val="center"/>
              <w:ind w:right="16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00" w:type="dxa"/>
            <w:vAlign w:val="bottom"/>
            <w:gridSpan w:val="5"/>
          </w:tcPr>
          <w:p>
            <w:pPr>
              <w:jc w:val="center"/>
              <w:ind w:right="600"/>
              <w:spacing w:after="0"/>
              <w:rPr>
                <w:sz w:val="20"/>
                <w:szCs w:val="20"/>
                <w:color w:val="auto"/>
              </w:rPr>
            </w:pPr>
            <w:r>
              <w:rPr>
                <w:rFonts w:ascii="Arial" w:cs="Arial" w:eastAsia="Arial" w:hAnsi="Arial"/>
                <w:sz w:val="18"/>
                <w:szCs w:val="18"/>
                <w:color w:val="auto"/>
                <w:w w:val="91"/>
              </w:rPr>
              <w:t>670 Long Beach Boulevard</w:t>
            </w:r>
          </w:p>
        </w:tc>
        <w:tc>
          <w:tcPr>
            <w:tcW w:w="3760" w:type="dxa"/>
            <w:vAlign w:val="bottom"/>
          </w:tcPr>
          <w:p>
            <w:pPr>
              <w:spacing w:after="0"/>
              <w:rPr>
                <w:sz w:val="24"/>
                <w:szCs w:val="24"/>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gridSpan w:val="5"/>
          </w:tcPr>
          <w:p>
            <w:pPr>
              <w:jc w:val="center"/>
              <w:ind w:right="600"/>
              <w:spacing w:after="0"/>
              <w:rPr>
                <w:sz w:val="20"/>
                <w:szCs w:val="20"/>
                <w:color w:val="auto"/>
              </w:rPr>
            </w:pPr>
            <w:r>
              <w:rPr>
                <w:rFonts w:ascii="Arial" w:cs="Arial" w:eastAsia="Arial" w:hAnsi="Arial"/>
                <w:sz w:val="18"/>
                <w:szCs w:val="18"/>
                <w:color w:val="auto"/>
                <w:w w:val="92"/>
              </w:rPr>
              <w:t>Long Beach, New York</w:t>
            </w:r>
          </w:p>
        </w:tc>
        <w:tc>
          <w:tcPr>
            <w:tcW w:w="376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80" w:type="dxa"/>
            <w:vAlign w:val="bottom"/>
            <w:gridSpan w:val="3"/>
          </w:tcPr>
          <w:p>
            <w:pPr>
              <w:jc w:val="right"/>
              <w:ind w:right="1020"/>
              <w:spacing w:after="0"/>
              <w:rPr>
                <w:sz w:val="20"/>
                <w:szCs w:val="20"/>
                <w:color w:val="auto"/>
              </w:rPr>
            </w:pPr>
            <w:r>
              <w:rPr>
                <w:rFonts w:ascii="Arial" w:cs="Arial" w:eastAsia="Arial" w:hAnsi="Arial"/>
                <w:sz w:val="18"/>
                <w:szCs w:val="18"/>
                <w:color w:val="auto"/>
              </w:rPr>
              <w:t>11561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6"/>
          </w:tcPr>
          <w:p>
            <w:pPr>
              <w:jc w:val="center"/>
              <w:ind w:left="190"/>
              <w:spacing w:after="0"/>
              <w:rPr>
                <w:sz w:val="20"/>
                <w:szCs w:val="20"/>
                <w:color w:val="auto"/>
              </w:rPr>
            </w:pPr>
            <w:r>
              <w:rPr>
                <w:rFonts w:ascii="Arial" w:cs="Arial" w:eastAsia="Arial" w:hAnsi="Arial"/>
                <w:sz w:val="18"/>
                <w:szCs w:val="18"/>
                <w:color w:val="auto"/>
                <w:w w:val="92"/>
              </w:rPr>
              <w:t>(Address of principal executive offices) (zip code)</w:t>
            </w:r>
          </w:p>
        </w:tc>
        <w:tc>
          <w:tcPr>
            <w:tcW w:w="3760" w:type="dxa"/>
            <w:vAlign w:val="bottom"/>
          </w:tcPr>
          <w:p>
            <w:pPr>
              <w:spacing w:after="0"/>
              <w:rPr>
                <w:sz w:val="20"/>
                <w:szCs w:val="20"/>
                <w:color w:val="auto"/>
              </w:rPr>
            </w:pPr>
          </w:p>
        </w:tc>
      </w:tr>
      <w:tr>
        <w:trPr>
          <w:trHeight w:val="418"/>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80" w:type="dxa"/>
            <w:vAlign w:val="bottom"/>
            <w:gridSpan w:val="3"/>
          </w:tcPr>
          <w:p>
            <w:pPr>
              <w:jc w:val="right"/>
              <w:ind w:right="720"/>
              <w:spacing w:after="0"/>
              <w:rPr>
                <w:sz w:val="20"/>
                <w:szCs w:val="20"/>
                <w:color w:val="auto"/>
              </w:rPr>
            </w:pPr>
            <w:r>
              <w:rPr>
                <w:rFonts w:ascii="Arial" w:cs="Arial" w:eastAsia="Arial" w:hAnsi="Arial"/>
                <w:sz w:val="18"/>
                <w:szCs w:val="18"/>
                <w:color w:val="auto"/>
              </w:rPr>
              <w:t>516-274-8700</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30"/>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7"/>
          </w:tcPr>
          <w:p>
            <w:pPr>
              <w:jc w:val="center"/>
              <w:ind w:right="341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438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39"/>
        </w:trPr>
        <w:tc>
          <w:tcPr>
            <w:tcW w:w="4380" w:type="dxa"/>
            <w:vAlign w:val="bottom"/>
            <w:gridSpan w:val="3"/>
          </w:tcPr>
          <w:p>
            <w:pPr>
              <w:jc w:val="center"/>
              <w:ind w:right="910"/>
              <w:spacing w:after="0"/>
              <w:rPr>
                <w:sz w:val="20"/>
                <w:szCs w:val="20"/>
                <w:color w:val="auto"/>
              </w:rPr>
            </w:pPr>
            <w:r>
              <w:rPr>
                <w:rFonts w:ascii="Arial" w:cs="Arial" w:eastAsia="Arial" w:hAnsi="Arial"/>
                <w:sz w:val="18"/>
                <w:szCs w:val="18"/>
                <w:color w:val="auto"/>
                <w:w w:val="90"/>
              </w:rPr>
              <w:t>Title of each class</w:t>
            </w:r>
          </w:p>
        </w:tc>
        <w:tc>
          <w:tcPr>
            <w:tcW w:w="3100" w:type="dxa"/>
            <w:vAlign w:val="bottom"/>
            <w:gridSpan w:val="5"/>
          </w:tcPr>
          <w:p>
            <w:pPr>
              <w:jc w:val="center"/>
              <w:ind w:right="1500"/>
              <w:spacing w:after="0"/>
              <w:rPr>
                <w:sz w:val="20"/>
                <w:szCs w:val="20"/>
                <w:color w:val="auto"/>
              </w:rPr>
            </w:pPr>
            <w:r>
              <w:rPr>
                <w:rFonts w:ascii="Arial" w:cs="Arial" w:eastAsia="Arial" w:hAnsi="Arial"/>
                <w:sz w:val="18"/>
                <w:szCs w:val="18"/>
                <w:color w:val="auto"/>
                <w:w w:val="91"/>
              </w:rPr>
              <w:t>Trading Symbol</w:t>
            </w:r>
          </w:p>
        </w:tc>
        <w:tc>
          <w:tcPr>
            <w:tcW w:w="3760" w:type="dxa"/>
            <w:vAlign w:val="bottom"/>
          </w:tcPr>
          <w:p>
            <w:pPr>
              <w:jc w:val="center"/>
              <w:ind w:right="410"/>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3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80" w:type="dxa"/>
            <w:vAlign w:val="bottom"/>
            <w:tcBorders>
              <w:top w:val="single" w:sz="8" w:color="auto"/>
            </w:tcBorders>
            <w:gridSpan w:val="3"/>
            <w:shd w:val="clear" w:color="auto" w:fill="CCEEFF"/>
          </w:tcPr>
          <w:p>
            <w:pPr>
              <w:jc w:val="center"/>
              <w:ind w:right="860"/>
              <w:spacing w:after="0"/>
              <w:rPr>
                <w:sz w:val="20"/>
                <w:szCs w:val="20"/>
                <w:color w:val="auto"/>
              </w:rPr>
            </w:pPr>
            <w:r>
              <w:rPr>
                <w:rFonts w:ascii="Arial" w:cs="Arial" w:eastAsia="Arial" w:hAnsi="Arial"/>
                <w:sz w:val="18"/>
                <w:szCs w:val="18"/>
                <w:color w:val="auto"/>
              </w:rPr>
              <w:t>AUID</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jc w:val="center"/>
              <w:ind w:right="390"/>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200" w:hanging="192"/>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7" w:right="339" w:bottom="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040" w:space="720"/>
            <w:col w:w="4480"/>
          </w:cols>
          <w:pgMar w:left="320" w:top="517" w:right="339" w:bottom="0" w:gutter="0" w:footer="0" w:header="0"/>
          <w:type w:val="continuous"/>
        </w:sectPr>
      </w:pPr>
    </w:p>
    <w:p>
      <w:pPr>
        <w:spacing w:after="0" w:line="3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Class</w:t>
            </w:r>
          </w:p>
        </w:tc>
        <w:tc>
          <w:tcPr>
            <w:tcW w:w="5500" w:type="dxa"/>
            <w:vAlign w:val="bottom"/>
          </w:tcPr>
          <w:p>
            <w:pPr>
              <w:jc w:val="center"/>
              <w:spacing w:after="0"/>
              <w:rPr>
                <w:sz w:val="20"/>
                <w:szCs w:val="20"/>
                <w:color w:val="auto"/>
              </w:rPr>
            </w:pPr>
            <w:r>
              <w:rPr>
                <w:rFonts w:ascii="Arial" w:cs="Arial" w:eastAsia="Arial" w:hAnsi="Arial"/>
                <w:sz w:val="18"/>
                <w:szCs w:val="18"/>
                <w:color w:val="auto"/>
                <w:w w:val="89"/>
              </w:rPr>
              <w:t>Outstanding at October 31, 2021</w:t>
            </w:r>
          </w:p>
        </w:tc>
      </w:tr>
      <w:tr>
        <w:trPr>
          <w:trHeight w:val="216"/>
        </w:trPr>
        <w:tc>
          <w:tcPr>
            <w:tcW w:w="5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23,204,488</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Documents incorporated by reference:</w:t>
            </w:r>
          </w:p>
        </w:tc>
        <w:tc>
          <w:tcPr>
            <w:tcW w:w="550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202"/>
        </w:trPr>
        <w:tc>
          <w:tcPr>
            <w:tcW w:w="5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500" w:type="dxa"/>
            <w:vAlign w:val="bottom"/>
            <w:tcBorders>
              <w:bottom w:val="single" w:sz="8" w:color="auto"/>
            </w:tcBorders>
          </w:tcPr>
          <w:p>
            <w:pPr>
              <w:spacing w:after="0"/>
              <w:rPr>
                <w:sz w:val="17"/>
                <w:szCs w:val="17"/>
                <w:color w:val="auto"/>
              </w:rPr>
            </w:pPr>
          </w:p>
        </w:tc>
      </w:tr>
      <w:tr>
        <w:trPr>
          <w:trHeight w:val="28"/>
        </w:trPr>
        <w:tc>
          <w:tcPr>
            <w:tcW w:w="5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439"/>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7"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20" w:type="dxa"/>
            <w:vAlign w:val="bottom"/>
            <w:gridSpan w:val="9"/>
          </w:tcPr>
          <w:p>
            <w:pPr>
              <w:ind w:left="110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Page No.</w:t>
            </w:r>
          </w:p>
        </w:tc>
      </w:tr>
      <w:tr>
        <w:trPr>
          <w:trHeight w:val="196"/>
        </w:trPr>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0" w:type="dxa"/>
            <w:vAlign w:val="bottom"/>
            <w:gridSpan w:val="11"/>
            <w:shd w:val="clear" w:color="auto" w:fill="CCEEFF"/>
          </w:tcPr>
          <w:p>
            <w:pPr>
              <w:jc w:val="center"/>
              <w:ind w:right="3040"/>
              <w:spacing w:after="0" w:line="16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90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16"/>
        </w:trPr>
        <w:tc>
          <w:tcPr>
            <w:tcW w:w="1034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Item 1. Financial Statements.</w:t>
            </w:r>
          </w:p>
        </w:tc>
        <w:tc>
          <w:tcPr>
            <w:tcW w:w="9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8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2021 (unaudited) and December 31, 2020</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80" w:type="dxa"/>
            <w:vAlign w:val="bottom"/>
            <w:gridSpan w:val="19"/>
            <w:shd w:val="clear" w:color="auto" w:fill="CCEEFF"/>
          </w:tcPr>
          <w:p>
            <w:pPr>
              <w:ind w:left="20"/>
              <w:spacing w:after="0" w:line="17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Statements of Operations for the Three and Nine Months Ended September 30, 2021 and 2020 (unaudited)</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r>
      <w:tr>
        <w:trPr>
          <w:trHeight w:val="216"/>
        </w:trPr>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160" w:type="dxa"/>
            <w:vAlign w:val="bottom"/>
            <w:tcBorders>
              <w:bottom w:val="single" w:sz="8" w:color="CCEEFF"/>
            </w:tcBorders>
            <w:shd w:val="clear" w:color="auto" w:fill="CCEEFF"/>
          </w:tcPr>
          <w:p>
            <w:pPr>
              <w:spacing w:after="0"/>
              <w:rPr>
                <w:sz w:val="15"/>
                <w:szCs w:val="15"/>
                <w:color w:val="auto"/>
              </w:rPr>
            </w:pPr>
          </w:p>
        </w:tc>
        <w:tc>
          <w:tcPr>
            <w:tcW w:w="9380" w:type="dxa"/>
            <w:vAlign w:val="bottom"/>
            <w:tcBorders>
              <w:bottom w:val="single" w:sz="8" w:color="0000EE"/>
            </w:tcBorders>
            <w:gridSpan w:val="17"/>
            <w:shd w:val="clear" w:color="auto" w:fill="CCEEFF"/>
          </w:tcPr>
          <w:p>
            <w:pPr>
              <w:ind w:left="20"/>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Loss for the Three and Nine Months Ended September 30, 2021 and 2020</w:t>
              </w:r>
            </w:hyperlink>
          </w:p>
        </w:tc>
        <w:tc>
          <w:tcPr>
            <w:tcW w:w="800" w:type="dxa"/>
            <w:vAlign w:val="bottom"/>
            <w:tcBorders>
              <w:bottom w:val="single" w:sz="8" w:color="CCEEFF"/>
            </w:tcBorders>
            <w:gridSpan w:val="2"/>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217"/>
        </w:trPr>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0" w:type="dxa"/>
            <w:vAlign w:val="bottom"/>
            <w:gridSpan w:val="18"/>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9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16"/>
        </w:trPr>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10180" w:type="dxa"/>
            <w:vAlign w:val="bottom"/>
            <w:gridSpan w:val="19"/>
            <w:shd w:val="clear" w:color="auto" w:fill="CCEEFF"/>
          </w:tcPr>
          <w:p>
            <w:pPr>
              <w:ind w:left="20"/>
              <w:spacing w:after="0" w:line="17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Condensed Consolidated Statements of Stockholders’ Equity for the Three and Nine Months Ended September 30, 2021 and 2020</w:t>
              </w:r>
            </w:hyperlink>
          </w:p>
        </w:tc>
        <w:tc>
          <w:tcPr>
            <w:tcW w:w="900" w:type="dxa"/>
            <w:vAlign w:val="bottom"/>
            <w:shd w:val="clear" w:color="auto" w:fill="CCEEFF"/>
          </w:tcPr>
          <w:p>
            <w:pPr>
              <w:spacing w:after="0"/>
              <w:rPr>
                <w:sz w:val="15"/>
                <w:szCs w:val="15"/>
                <w:color w:val="auto"/>
              </w:rPr>
            </w:pPr>
          </w:p>
        </w:tc>
      </w:tr>
      <w:tr>
        <w:trPr>
          <w:trHeight w:val="217"/>
        </w:trPr>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9200" w:type="dxa"/>
            <w:vAlign w:val="bottom"/>
            <w:tcBorders>
              <w:top w:val="single" w:sz="8" w:color="0000EE"/>
            </w:tcBorders>
            <w:gridSpan w:val="16"/>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800" w:type="dxa"/>
            <w:vAlign w:val="bottom"/>
            <w:tcBorders>
              <w:top w:val="single" w:sz="8" w:color="CCEEFF"/>
            </w:tcBorders>
            <w:gridSpan w:val="2"/>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w:t>
            </w:r>
          </w:p>
        </w:tc>
      </w:tr>
      <w:tr>
        <w:trPr>
          <w:trHeight w:val="216"/>
        </w:trPr>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8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Nine Months Ended September 30, 2021 and 2020 (unaudited)</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6"/>
        </w:trPr>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8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6-21</w:t>
            </w:r>
          </w:p>
        </w:tc>
      </w:tr>
      <w:tr>
        <w:trPr>
          <w:trHeight w:val="216"/>
        </w:trPr>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0"/>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22-27</w:t>
            </w:r>
          </w:p>
        </w:tc>
      </w:tr>
      <w:tr>
        <w:trPr>
          <w:trHeight w:val="216"/>
        </w:trPr>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0"/>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3. Quantitative and Qualitative Disclosures About Market Risk.</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0"/>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4. Controls and Procedures.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780" w:type="dxa"/>
            <w:vAlign w:val="bottom"/>
            <w:gridSpan w:val="10"/>
            <w:shd w:val="clear" w:color="auto" w:fill="CCEEFF"/>
          </w:tcPr>
          <w:p>
            <w:pPr>
              <w:jc w:val="center"/>
              <w:ind w:right="3640"/>
              <w:spacing w:after="0" w:line="17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 OTHER INFORMATION</w:t>
              </w:r>
            </w:hyperlink>
          </w:p>
        </w:tc>
        <w:tc>
          <w:tcPr>
            <w:tcW w:w="90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0"/>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1. Legal Proceedings.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0"/>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1A. Risk Factors.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0"/>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2. Unregistered Sales of Equity Securities and Use of Proceeds.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0"/>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3. Defaults Upon Senior Securities.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0"/>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4. Mine Safety Disclosures.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0"/>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5. Other Information.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10340" w:type="dxa"/>
            <w:vAlign w:val="bottom"/>
            <w:gridSpan w:val="20"/>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6. Exhibits.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report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“aim,” “will,” “would,” “could,” and similar expressions or phrases identify forward-looking statements. We have based these forward-looking statements largely on our current expectations and future events and financial trends that we believe may affect our financial condition, results of operation, business strategy and financial needs.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You should read thoroughly this report and the documents that we refer to herein with the understanding that our actual future results may be materially different from and/or worse than what we expect. We qualify all of our forward-looking statements by these cautionary statements including those made in this report, in Part I. Item 1A. Risk Factors also appear in our Annual Report on Form 10-K for the year ended December 31, 2020 and our other filings with the Securities and Exchange Commission. Some examples of risk factors which may affect our business are as follows:</w:t>
      </w:r>
    </w:p>
    <w:p>
      <w:pPr>
        <w:spacing w:after="0" w:line="17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lack of significant revenues and history of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additional working capital as necessary,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satisfy our obligations as they become due,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failure to successfully commercialize our product or sustain market acceptance,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reliance on third party agreements and relationships for development of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operations in foreign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breaches of network or information technology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control exercised by our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government regulation on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compete,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possible inability to effectively protect our intellectual property,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lack of a public market for our securities and the impact of the penny stock rules on trading in our common stock should a public market ever be established,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sections of this report include additional factors which could adversely impact our business and financial performance.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Except for our ongoing obligations to disclose material information under the Federal securities laws, we undertake no obligation to release publicly any revisions to any forward-looking statements, to report events or to report the occurrence of unanticipated events. These forward-looking statements speak only as of the date of this report, and you should not rely on these statements without also considering the risks and uncertainties associated with these statements and our business.</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PERTINENT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specifically set forth to the contrary, when used in this report the terms “Ipsidy,” “authID.ai”, the “Company,” “we,” “our,” “us,” and similar terms refer to Ipsidy Inc., a Delaware corporation and its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Effective June 14, 2021 we completed a 1-for-30 reverse stock split of our common stock. Additionally, the Company changed its ticker symbol to AUID.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which appears on our website www.authID.ai is not part of this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rPr>
              <w:t>IPSIDY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September 30,</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ind w:left="396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9,233,399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3,765,277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170,291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72,986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net investment in direct financing lease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78,731</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214,289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254,951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929,692</w:t>
            </w: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237,769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10,626,402</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4,403,665</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127,705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97,829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73,243</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3,657,569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4,527,476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4,183,232</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4,183,232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Net investment in direct financing lease, net of current portion</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362,185</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19,030,336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13,874,446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2,122,257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2,665,132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Notes payable obligation,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3,126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lease obligation,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20,813</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Convertible debt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662,000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369,708</w:t>
            </w: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237,690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3,177,904</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2,948,001</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Capital lease obligation,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discounts and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487,339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Convertible debt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5,800,976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47,809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3,177,904</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9,294,687</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$0.0001 par value, 1,000,000,000 shares authorized; 23,198,419 and 19,642,401 shares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as of September 30, 2021 and December 31, 2020,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2,319</w:t>
            </w: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124,609,145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102,651,304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(108,980,665)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(98,234,151)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Accumulated comprehensive income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221,633</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160,642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15,852,432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4,579,759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19,030,336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13,874,446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right"/>
              <w:ind w:right="70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600"/>
              <w:spacing w:after="0"/>
              <w:rPr>
                <w:sz w:val="20"/>
                <w:szCs w:val="20"/>
                <w:color w:val="auto"/>
              </w:rPr>
            </w:pPr>
            <w:r>
              <w:rPr>
                <w:rFonts w:ascii="Arial" w:cs="Arial" w:eastAsia="Arial" w:hAnsi="Arial"/>
                <w:sz w:val="18"/>
                <w:szCs w:val="18"/>
                <w:color w:val="auto"/>
              </w:rPr>
              <w:t>Nine Months Ended</w:t>
            </w:r>
          </w:p>
        </w:tc>
      </w:tr>
      <w:tr>
        <w:trPr>
          <w:trHeight w:val="237"/>
        </w:trPr>
        <w:tc>
          <w:tcPr>
            <w:tcW w:w="5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right"/>
              <w:ind w:right="94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20"/>
                <w:szCs w:val="20"/>
                <w:color w:val="auto"/>
              </w:rPr>
            </w:pPr>
          </w:p>
        </w:tc>
        <w:tc>
          <w:tcPr>
            <w:tcW w:w="2380" w:type="dxa"/>
            <w:vAlign w:val="bottom"/>
            <w:gridSpan w:val="5"/>
          </w:tcPr>
          <w:p>
            <w:pPr>
              <w:jc w:val="right"/>
              <w:ind w:right="800"/>
              <w:spacing w:after="0"/>
              <w:rPr>
                <w:sz w:val="20"/>
                <w:szCs w:val="20"/>
                <w:color w:val="auto"/>
              </w:rPr>
            </w:pPr>
            <w:r>
              <w:rPr>
                <w:rFonts w:ascii="Arial" w:cs="Arial" w:eastAsia="Arial" w:hAnsi="Arial"/>
                <w:sz w:val="18"/>
                <w:szCs w:val="18"/>
                <w:color w:val="auto"/>
              </w:rPr>
              <w:t>September 30,</w:t>
            </w:r>
          </w:p>
        </w:tc>
      </w:tr>
      <w:tr>
        <w:trPr>
          <w:trHeight w:val="237"/>
        </w:trPr>
        <w:tc>
          <w:tcPr>
            <w:tcW w:w="59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services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516,218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501,700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1,657,296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1,587,330</w:t>
            </w: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Lease income</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12,131</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13,992</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37,833</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43,270</w:t>
            </w:r>
          </w:p>
        </w:tc>
      </w:tr>
      <w:tr>
        <w:trPr>
          <w:trHeight w:val="223"/>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net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528,349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1,695,129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1,630,600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121,509</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114,985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494,558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532,506</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5,331,159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1,527,723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10,308,785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5,400,639</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419,313</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308,038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1,088,496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928,778</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loss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1,035,629</w:t>
            </w:r>
          </w:p>
        </w:tc>
      </w:tr>
      <w:tr>
        <w:trPr>
          <w:trHeight w:val="236"/>
        </w:trPr>
        <w:tc>
          <w:tcPr>
            <w:tcW w:w="59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319,017</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276,232</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943,436</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923,563</w:t>
            </w:r>
          </w:p>
        </w:tc>
      </w:tr>
      <w:tr>
        <w:trPr>
          <w:trHeight w:val="223"/>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6,190,998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2,226,978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12,835,275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8,821,115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(5,662,649)</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(1,711,286)</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(11,140,146)</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(7,190,515)</w:t>
            </w:r>
          </w:p>
        </w:tc>
      </w:tr>
      <w:tr>
        <w:trPr>
          <w:trHeight w:val="27"/>
        </w:trPr>
        <w:tc>
          <w:tcPr>
            <w:tcW w:w="59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Warrant inducement expense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Extinguishment of debt - gain (loss)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 net</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net</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Loss before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(366,795)</w:t>
            </w:r>
          </w:p>
        </w:tc>
      </w:tr>
      <w:tr>
        <w:trPr>
          <w:trHeight w:val="216"/>
        </w:trPr>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485,762</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971,522</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(985,842)</w:t>
            </w:r>
          </w:p>
        </w:tc>
      </w:tr>
      <w:tr>
        <w:trPr>
          <w:trHeight w:val="216"/>
        </w:trPr>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6,736</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16,779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14,394</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51,445</w:t>
            </w:r>
          </w:p>
        </w:tc>
      </w:tr>
      <w:tr>
        <w:trPr>
          <w:trHeight w:val="251"/>
        </w:trPr>
        <w:tc>
          <w:tcPr>
            <w:tcW w:w="2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(25,780)</w:t>
            </w:r>
          </w:p>
        </w:tc>
        <w:tc>
          <w:tcPr>
            <w:tcW w:w="22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(212,658)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(579,768)</w:t>
            </w: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(701,861)</w:t>
            </w:r>
          </w:p>
        </w:tc>
      </w:tr>
      <w:tr>
        <w:trPr>
          <w:trHeight w:val="223"/>
        </w:trPr>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466,718</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(195,879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406,148</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(2,003,053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32"/>
        </w:trPr>
        <w:tc>
          <w:tcPr>
            <w:tcW w:w="22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(5,195,931)</w:t>
            </w:r>
          </w:p>
        </w:tc>
        <w:tc>
          <w:tcPr>
            <w:tcW w:w="220" w:type="dxa"/>
            <w:vAlign w:val="bottom"/>
          </w:tcPr>
          <w:p>
            <w:pPr>
              <w:spacing w:after="0"/>
              <w:rPr>
                <w:sz w:val="24"/>
                <w:szCs w:val="24"/>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(1,907,165)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(10,733,998)</w:t>
            </w: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(9,193,568)</w:t>
            </w:r>
          </w:p>
        </w:tc>
      </w:tr>
      <w:tr>
        <w:trPr>
          <w:trHeight w:val="445"/>
        </w:trPr>
        <w:tc>
          <w:tcPr>
            <w:tcW w:w="22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(2,974)</w:t>
            </w:r>
          </w:p>
        </w:tc>
        <w:tc>
          <w:tcPr>
            <w:tcW w:w="220" w:type="dxa"/>
            <w:vAlign w:val="bottom"/>
          </w:tcPr>
          <w:p>
            <w:pPr>
              <w:spacing w:after="0"/>
              <w:rPr>
                <w:sz w:val="24"/>
                <w:szCs w:val="24"/>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(11,074)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(12,516)</w:t>
            </w: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(23,540)</w:t>
            </w:r>
          </w:p>
        </w:tc>
      </w:tr>
      <w:tr>
        <w:trPr>
          <w:trHeight w:val="27"/>
        </w:trPr>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80"/>
        </w:trPr>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(5,198,905</w:t>
            </w:r>
            <w:r>
              <w:rPr>
                <w:rFonts w:ascii="Arial" w:cs="Arial" w:eastAsia="Arial" w:hAnsi="Arial"/>
                <w:sz w:val="35"/>
                <w:szCs w:val="35"/>
                <w:color w:val="auto"/>
                <w:vertAlign w:val="superscript"/>
              </w:rPr>
              <w:t>)</w:t>
            </w:r>
            <w:r>
              <w:rPr>
                <w:rFonts w:ascii="Arial" w:cs="Arial" w:eastAsia="Arial" w:hAnsi="Arial"/>
                <w:sz w:val="18"/>
                <w:szCs w:val="18"/>
                <w:color w:val="auto"/>
              </w:rPr>
              <w:t xml:space="preserve">  $</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(1,918,239</w:t>
            </w:r>
            <w:r>
              <w:rPr>
                <w:rFonts w:ascii="Arial" w:cs="Arial" w:eastAsia="Arial" w:hAnsi="Arial"/>
                <w:sz w:val="35"/>
                <w:szCs w:val="35"/>
                <w:color w:val="auto"/>
                <w:vertAlign w:val="superscript"/>
              </w:rPr>
              <w:t>)</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  (10,746,514</w:t>
            </w:r>
            <w:r>
              <w:rPr>
                <w:rFonts w:ascii="Arial" w:cs="Arial" w:eastAsia="Arial" w:hAnsi="Arial"/>
                <w:sz w:val="35"/>
                <w:szCs w:val="35"/>
                <w:color w:val="auto"/>
                <w:w w:val="97"/>
                <w:vertAlign w:val="superscript"/>
              </w:rPr>
              <w:t>)</w:t>
            </w:r>
            <w:r>
              <w:rPr>
                <w:rFonts w:ascii="Arial" w:cs="Arial" w:eastAsia="Arial" w:hAnsi="Arial"/>
                <w:sz w:val="18"/>
                <w:szCs w:val="18"/>
                <w:color w:val="auto"/>
                <w:w w:val="97"/>
              </w:rPr>
              <w:t xml:space="preserve">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(9,217,108</w:t>
            </w:r>
            <w:r>
              <w:rPr>
                <w:rFonts w:ascii="Arial" w:cs="Arial" w:eastAsia="Arial" w:hAnsi="Arial"/>
                <w:sz w:val="35"/>
                <w:szCs w:val="35"/>
                <w:color w:val="auto"/>
                <w:vertAlign w:val="superscript"/>
              </w:rPr>
              <w:t>)</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-1782445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-1508125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-1233805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-925195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-642620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-350520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260" w:space="720"/>
            <w:col w:w="526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304"/>
        </w:trPr>
        <w:tc>
          <w:tcPr>
            <w:tcW w:w="59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jc w:val="right"/>
              <w:ind w:right="120"/>
              <w:spacing w:after="0" w:line="256" w:lineRule="exact"/>
              <w:rPr>
                <w:sz w:val="20"/>
                <w:szCs w:val="20"/>
                <w:color w:val="auto"/>
              </w:rPr>
            </w:pPr>
            <w:r>
              <w:rPr>
                <w:rFonts w:ascii="Arial" w:cs="Arial" w:eastAsia="Arial" w:hAnsi="Arial"/>
                <w:sz w:val="16"/>
                <w:szCs w:val="16"/>
                <w:color w:val="auto"/>
              </w:rPr>
              <w:t>(0.24</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340" w:type="dxa"/>
            <w:vAlign w:val="bottom"/>
            <w:gridSpan w:val="3"/>
          </w:tcPr>
          <w:p>
            <w:pPr>
              <w:jc w:val="right"/>
              <w:ind w:right="100"/>
              <w:spacing w:after="0" w:line="256" w:lineRule="exact"/>
              <w:rPr>
                <w:sz w:val="20"/>
                <w:szCs w:val="20"/>
                <w:color w:val="auto"/>
              </w:rPr>
            </w:pPr>
            <w:r>
              <w:rPr>
                <w:rFonts w:ascii="Arial" w:cs="Arial" w:eastAsia="Arial" w:hAnsi="Arial"/>
                <w:sz w:val="16"/>
                <w:szCs w:val="16"/>
                <w:color w:val="auto"/>
              </w:rPr>
              <w:t>(0.11</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320" w:type="dxa"/>
            <w:vAlign w:val="bottom"/>
            <w:gridSpan w:val="3"/>
          </w:tcPr>
          <w:p>
            <w:pPr>
              <w:jc w:val="right"/>
              <w:ind w:right="100"/>
              <w:spacing w:after="0" w:line="256" w:lineRule="exact"/>
              <w:rPr>
                <w:sz w:val="20"/>
                <w:szCs w:val="20"/>
                <w:color w:val="auto"/>
              </w:rPr>
            </w:pPr>
            <w:r>
              <w:rPr>
                <w:rFonts w:ascii="Arial" w:cs="Arial" w:eastAsia="Arial" w:hAnsi="Arial"/>
                <w:sz w:val="16"/>
                <w:szCs w:val="16"/>
                <w:color w:val="auto"/>
              </w:rPr>
              <w:t>(0.52</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020" w:type="dxa"/>
            <w:vAlign w:val="bottom"/>
            <w:gridSpan w:val="2"/>
          </w:tcPr>
          <w:p>
            <w:pPr>
              <w:jc w:val="right"/>
              <w:ind w:right="40"/>
              <w:spacing w:after="0" w:line="256" w:lineRule="exact"/>
              <w:rPr>
                <w:sz w:val="20"/>
                <w:szCs w:val="20"/>
                <w:color w:val="auto"/>
              </w:rPr>
            </w:pPr>
            <w:r>
              <w:rPr>
                <w:rFonts w:ascii="Arial" w:cs="Arial" w:eastAsia="Arial" w:hAnsi="Arial"/>
                <w:sz w:val="16"/>
                <w:szCs w:val="16"/>
                <w:color w:val="auto"/>
              </w:rPr>
              <w:t>(0.52</w:t>
            </w:r>
            <w:r>
              <w:rPr>
                <w:rFonts w:ascii="Arial" w:cs="Arial" w:eastAsia="Arial" w:hAnsi="Arial"/>
                <w:sz w:val="29"/>
                <w:szCs w:val="29"/>
                <w:color w:val="auto"/>
                <w:vertAlign w:val="superscript"/>
              </w:rPr>
              <w:t>)</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598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20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22,088,865</w:t>
            </w:r>
          </w:p>
        </w:tc>
        <w:tc>
          <w:tcPr>
            <w:tcW w:w="2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18,237,647</w:t>
            </w:r>
          </w:p>
        </w:tc>
        <w:tc>
          <w:tcPr>
            <w:tcW w:w="2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20,703,970</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17,664,446</w:t>
            </w:r>
          </w:p>
        </w:tc>
        <w:tc>
          <w:tcPr>
            <w:tcW w:w="100" w:type="dxa"/>
            <w:vAlign w:val="bottom"/>
          </w:tcPr>
          <w:p>
            <w:pPr>
              <w:spacing w:after="0"/>
              <w:rPr>
                <w:sz w:val="22"/>
                <w:szCs w:val="22"/>
                <w:color w:val="auto"/>
              </w:rPr>
            </w:pPr>
          </w:p>
        </w:tc>
      </w:tr>
      <w:tr>
        <w:trPr>
          <w:trHeight w:val="21"/>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right"/>
              <w:ind w:right="621"/>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521"/>
              <w:spacing w:after="0"/>
              <w:rPr>
                <w:sz w:val="20"/>
                <w:szCs w:val="20"/>
                <w:color w:val="auto"/>
              </w:rPr>
            </w:pPr>
            <w:r>
              <w:rPr>
                <w:rFonts w:ascii="Arial" w:cs="Arial" w:eastAsia="Arial" w:hAnsi="Arial"/>
                <w:sz w:val="18"/>
                <w:szCs w:val="18"/>
                <w:color w:val="auto"/>
              </w:rPr>
              <w:t>Nine Months Ended</w:t>
            </w:r>
          </w:p>
        </w:tc>
      </w:tr>
      <w:tr>
        <w:trPr>
          <w:trHeight w:val="237"/>
        </w:trPr>
        <w:tc>
          <w:tcPr>
            <w:tcW w:w="5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right"/>
              <w:ind w:right="861"/>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20"/>
                <w:szCs w:val="20"/>
                <w:color w:val="auto"/>
              </w:rPr>
            </w:pPr>
          </w:p>
        </w:tc>
        <w:tc>
          <w:tcPr>
            <w:tcW w:w="2380" w:type="dxa"/>
            <w:vAlign w:val="bottom"/>
            <w:gridSpan w:val="5"/>
          </w:tcPr>
          <w:p>
            <w:pPr>
              <w:jc w:val="right"/>
              <w:ind w:right="721"/>
              <w:spacing w:after="0"/>
              <w:rPr>
                <w:sz w:val="20"/>
                <w:szCs w:val="20"/>
                <w:color w:val="auto"/>
              </w:rPr>
            </w:pPr>
            <w:r>
              <w:rPr>
                <w:rFonts w:ascii="Arial" w:cs="Arial" w:eastAsia="Arial" w:hAnsi="Arial"/>
                <w:sz w:val="18"/>
                <w:szCs w:val="18"/>
                <w:color w:val="auto"/>
              </w:rPr>
              <w:t>September 30,</w:t>
            </w:r>
          </w:p>
        </w:tc>
      </w:tr>
      <w:tr>
        <w:trPr>
          <w:trHeight w:val="237"/>
        </w:trPr>
        <w:tc>
          <w:tcPr>
            <w:tcW w:w="59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(5,198,905)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(1,918,239)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(10,746,514)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(9,217,108)</w:t>
            </w: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Foreign currency translation gain (loss)</w:t>
            </w:r>
          </w:p>
        </w:tc>
        <w:tc>
          <w:tcPr>
            <w:tcW w:w="220" w:type="dxa"/>
            <w:vAlign w:val="bottom"/>
          </w:tcPr>
          <w:p>
            <w:pPr>
              <w:spacing w:after="0"/>
              <w:rPr>
                <w:sz w:val="20"/>
                <w:szCs w:val="20"/>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18,966</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29,057</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60,991</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(6,972)</w:t>
            </w:r>
          </w:p>
        </w:tc>
      </w:tr>
      <w:tr>
        <w:trPr>
          <w:trHeight w:val="250"/>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(5,179,939</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(1,889,182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(10,685,523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(9,224,080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Accumulated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100" w:type="dxa"/>
            <w:vAlign w:val="bottom"/>
            <w:gridSpan w:val="6"/>
            <w:vMerge w:val="restart"/>
          </w:tcPr>
          <w:p>
            <w:pPr>
              <w:jc w:val="right"/>
              <w:ind w:right="54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Additional</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Other</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100" w:type="dxa"/>
            <w:vAlign w:val="bottom"/>
            <w:gridSpan w:val="6"/>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Paid-in</w:t>
            </w:r>
          </w:p>
        </w:tc>
        <w:tc>
          <w:tcPr>
            <w:tcW w:w="1280" w:type="dxa"/>
            <w:vAlign w:val="bottom"/>
            <w:gridSpan w:val="3"/>
          </w:tcPr>
          <w:p>
            <w:pPr>
              <w:jc w:val="right"/>
              <w:ind w:right="181"/>
              <w:spacing w:after="0"/>
              <w:rPr>
                <w:sz w:val="20"/>
                <w:szCs w:val="20"/>
                <w:color w:val="auto"/>
              </w:rPr>
            </w:pPr>
            <w:r>
              <w:rPr>
                <w:rFonts w:ascii="Arial" w:cs="Arial" w:eastAsia="Arial" w:hAnsi="Arial"/>
                <w:sz w:val="18"/>
                <w:szCs w:val="18"/>
                <w:color w:val="auto"/>
                <w:w w:val="96"/>
              </w:rPr>
              <w:t>Accumulated</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Comprehensive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Nine Months Ended September 30, 2021</w:t>
            </w:r>
          </w:p>
        </w:tc>
        <w:tc>
          <w:tcPr>
            <w:tcW w:w="1020" w:type="dxa"/>
            <w:vAlign w:val="bottom"/>
            <w:tcBorders>
              <w:top w:val="single" w:sz="8" w:color="auto"/>
            </w:tcBorders>
            <w:gridSpan w:val="2"/>
          </w:tcPr>
          <w:p>
            <w:pPr>
              <w:jc w:val="right"/>
              <w:ind w:right="320"/>
              <w:spacing w:after="0" w:line="202" w:lineRule="exact"/>
              <w:rPr>
                <w:sz w:val="20"/>
                <w:szCs w:val="20"/>
                <w:color w:val="auto"/>
              </w:rPr>
            </w:pPr>
            <w:r>
              <w:rPr>
                <w:rFonts w:ascii="Arial" w:cs="Arial" w:eastAsia="Arial" w:hAnsi="Arial"/>
                <w:sz w:val="18"/>
                <w:szCs w:val="18"/>
                <w:color w:val="auto"/>
              </w:rPr>
              <w:t>Shares</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Capital</w:t>
            </w:r>
          </w:p>
        </w:tc>
        <w:tc>
          <w:tcPr>
            <w:tcW w:w="100" w:type="dxa"/>
            <w:vAlign w:val="bottom"/>
          </w:tcPr>
          <w:p>
            <w:pPr>
              <w:spacing w:after="0"/>
              <w:rPr>
                <w:sz w:val="17"/>
                <w:szCs w:val="17"/>
                <w:color w:val="auto"/>
              </w:rPr>
            </w:pPr>
          </w:p>
        </w:tc>
        <w:tc>
          <w:tcPr>
            <w:tcW w:w="1180" w:type="dxa"/>
            <w:vAlign w:val="bottom"/>
            <w:gridSpan w:val="2"/>
          </w:tcPr>
          <w:p>
            <w:pPr>
              <w:jc w:val="right"/>
              <w:ind w:right="421"/>
              <w:spacing w:after="0" w:line="202" w:lineRule="exact"/>
              <w:rPr>
                <w:sz w:val="20"/>
                <w:szCs w:val="20"/>
                <w:color w:val="auto"/>
              </w:rPr>
            </w:pPr>
            <w:r>
              <w:rPr>
                <w:rFonts w:ascii="Arial" w:cs="Arial" w:eastAsia="Arial" w:hAnsi="Arial"/>
                <w:sz w:val="18"/>
                <w:szCs w:val="18"/>
                <w:color w:val="auto"/>
              </w:rPr>
              <w:t>Deficit</w:t>
            </w:r>
          </w:p>
        </w:tc>
        <w:tc>
          <w:tcPr>
            <w:tcW w:w="200" w:type="dxa"/>
            <w:vAlign w:val="bottom"/>
          </w:tcPr>
          <w:p>
            <w:pPr>
              <w:spacing w:after="0"/>
              <w:rPr>
                <w:sz w:val="17"/>
                <w:szCs w:val="17"/>
                <w:color w:val="auto"/>
              </w:rPr>
            </w:pPr>
          </w:p>
        </w:tc>
        <w:tc>
          <w:tcPr>
            <w:tcW w:w="1140" w:type="dxa"/>
            <w:vAlign w:val="bottom"/>
            <w:gridSpan w:val="2"/>
          </w:tcPr>
          <w:p>
            <w:pPr>
              <w:jc w:val="center"/>
              <w:ind w:right="400"/>
              <w:spacing w:after="0" w:line="202" w:lineRule="exact"/>
              <w:rPr>
                <w:sz w:val="20"/>
                <w:szCs w:val="20"/>
                <w:color w:val="auto"/>
              </w:rPr>
            </w:pPr>
            <w:r>
              <w:rPr>
                <w:rFonts w:ascii="Arial" w:cs="Arial" w:eastAsia="Arial" w:hAnsi="Arial"/>
                <w:sz w:val="18"/>
                <w:szCs w:val="18"/>
                <w:color w:val="auto"/>
                <w:w w:val="91"/>
              </w:rPr>
              <w:t>Income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
        </w:trPr>
        <w:tc>
          <w:tcPr>
            <w:tcW w:w="294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Balances, December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19,642,401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102,651,304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(98,234,151)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4,579,759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tcPr>
          <w:p>
            <w:pPr>
              <w:ind w:left="180"/>
              <w:spacing w:after="0"/>
              <w:rPr>
                <w:sz w:val="20"/>
                <w:szCs w:val="20"/>
                <w:color w:val="auto"/>
              </w:rPr>
            </w:pPr>
            <w:r>
              <w:rPr>
                <w:rFonts w:ascii="Arial" w:cs="Arial" w:eastAsia="Arial" w:hAnsi="Arial"/>
                <w:sz w:val="18"/>
                <w:szCs w:val="18"/>
                <w:color w:val="auto"/>
              </w:rPr>
              <w:t>Sale of common stock for cash</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1,642,856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10,282,834</w:t>
            </w:r>
          </w:p>
        </w:tc>
        <w:tc>
          <w:tcPr>
            <w:tcW w:w="1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10,282,998</w:t>
            </w: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4,795,069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4,795,069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tcPr>
          <w:p>
            <w:pPr>
              <w:ind w:left="180"/>
              <w:spacing w:after="0"/>
              <w:rPr>
                <w:sz w:val="20"/>
                <w:szCs w:val="20"/>
                <w:color w:val="auto"/>
              </w:rPr>
            </w:pPr>
            <w:r>
              <w:rPr>
                <w:rFonts w:ascii="Arial" w:cs="Arial" w:eastAsia="Arial" w:hAnsi="Arial"/>
                <w:sz w:val="18"/>
                <w:szCs w:val="18"/>
                <w:color w:val="auto"/>
                <w:w w:val="98"/>
              </w:rPr>
              <w:t>Settlement of accrued expense with stock options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349,376</w:t>
            </w:r>
          </w:p>
        </w:tc>
        <w:tc>
          <w:tcPr>
            <w:tcW w:w="1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349,376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Convertible notes converted to common stock</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1,171,296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6,232,223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6,232,340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tcPr>
          <w:p>
            <w:pPr>
              <w:ind w:left="180"/>
              <w:spacing w:after="0"/>
              <w:rPr>
                <w:sz w:val="20"/>
                <w:szCs w:val="20"/>
                <w:color w:val="auto"/>
              </w:rPr>
            </w:pPr>
            <w:r>
              <w:rPr>
                <w:rFonts w:ascii="Arial" w:cs="Arial" w:eastAsia="Arial" w:hAnsi="Arial"/>
                <w:sz w:val="18"/>
                <w:szCs w:val="18"/>
                <w:color w:val="auto"/>
              </w:rPr>
              <w:t>Stock option exercise for cash</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4,802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24,659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24,660</w:t>
            </w: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Warrant exercise for cash</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60,834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273,747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273,753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tcPr>
          <w:p>
            <w:pPr>
              <w:ind w:left="180"/>
              <w:spacing w:after="0"/>
              <w:rPr>
                <w:sz w:val="20"/>
                <w:szCs w:val="20"/>
                <w:color w:val="auto"/>
              </w:rPr>
            </w:pPr>
            <w:r>
              <w:rPr>
                <w:rFonts w:ascii="Arial" w:cs="Arial" w:eastAsia="Arial" w:hAnsi="Arial"/>
                <w:sz w:val="18"/>
                <w:szCs w:val="18"/>
                <w:color w:val="auto"/>
              </w:rPr>
              <w:t>Cashless stock option exercise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412,569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Cashless warrant exercise</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263,661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tcPr>
          <w:p>
            <w:pPr>
              <w:ind w:left="180"/>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w w:val="99"/>
              </w:rPr>
              <w:t>(10,746,514)</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(10,746,514)</w:t>
            </w:r>
          </w:p>
        </w:tc>
        <w:tc>
          <w:tcPr>
            <w:tcW w:w="0" w:type="dxa"/>
            <w:vAlign w:val="bottom"/>
          </w:tcPr>
          <w:p>
            <w:pPr>
              <w:spacing w:after="0"/>
              <w:rPr>
                <w:sz w:val="1"/>
                <w:szCs w:val="1"/>
                <w:color w:val="auto"/>
              </w:rPr>
            </w:pPr>
          </w:p>
        </w:tc>
      </w:tr>
      <w:tr>
        <w:trPr>
          <w:trHeight w:val="229"/>
        </w:trPr>
        <w:tc>
          <w:tcPr>
            <w:tcW w:w="4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60,991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60,991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Balances, September 30, 2021</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80" w:type="dxa"/>
            <w:vAlign w:val="bottom"/>
            <w:gridSpan w:val="3"/>
            <w:vMerge w:val="continue"/>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23,198,419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2,319</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124,609,145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0"/>
              </w:rPr>
              <w:t>(108,980,665</w:t>
            </w:r>
          </w:p>
        </w:tc>
        <w:tc>
          <w:tcPr>
            <w:tcW w:w="200" w:type="dxa"/>
            <w:vAlign w:val="bottom"/>
            <w:vMerge w:val="continue"/>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221,633</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15,852,432</w:t>
            </w:r>
          </w:p>
        </w:tc>
        <w:tc>
          <w:tcPr>
            <w:tcW w:w="0" w:type="dxa"/>
            <w:vAlign w:val="bottom"/>
          </w:tcPr>
          <w:p>
            <w:pPr>
              <w:spacing w:after="0"/>
              <w:rPr>
                <w:sz w:val="1"/>
                <w:szCs w:val="1"/>
                <w:color w:val="auto"/>
              </w:rPr>
            </w:pPr>
          </w:p>
        </w:tc>
      </w:tr>
      <w:tr>
        <w:trPr>
          <w:trHeight w:val="216"/>
        </w:trPr>
        <w:tc>
          <w:tcPr>
            <w:tcW w:w="29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80" w:type="dxa"/>
            <w:vAlign w:val="bottom"/>
            <w:gridSpan w:val="3"/>
          </w:tcPr>
          <w:p>
            <w:pPr>
              <w:spacing w:after="0" w:line="176" w:lineRule="exact"/>
              <w:rPr>
                <w:sz w:val="20"/>
                <w:szCs w:val="20"/>
                <w:color w:val="auto"/>
              </w:rPr>
            </w:pPr>
            <w:r>
              <w:rPr>
                <w:rFonts w:ascii="Arial" w:cs="Arial" w:eastAsia="Arial" w:hAnsi="Arial"/>
                <w:sz w:val="18"/>
                <w:szCs w:val="18"/>
                <w:color w:val="auto"/>
              </w:rPr>
              <w:t>Three Months Ended September 30, 2021</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9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Balances, June 30, 2021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21,363,027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111,493,973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0"/>
              </w:rPr>
              <w:t>(103,781,760)</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202,667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7,917,017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tcPr>
          <w:p>
            <w:pPr>
              <w:ind w:left="180"/>
              <w:spacing w:after="0"/>
              <w:rPr>
                <w:sz w:val="20"/>
                <w:szCs w:val="20"/>
                <w:color w:val="auto"/>
              </w:rPr>
            </w:pPr>
            <w:r>
              <w:rPr>
                <w:rFonts w:ascii="Arial" w:cs="Arial" w:eastAsia="Arial" w:hAnsi="Arial"/>
                <w:sz w:val="18"/>
                <w:szCs w:val="18"/>
                <w:color w:val="auto"/>
              </w:rPr>
              <w:t>Sale of common stock for cash</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1,642,856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10,282,834</w:t>
            </w:r>
          </w:p>
        </w:tc>
        <w:tc>
          <w:tcPr>
            <w:tcW w:w="1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10,282,998</w:t>
            </w: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2,533,943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2,533,943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tcPr>
          <w:p>
            <w:pPr>
              <w:ind w:left="180"/>
              <w:spacing w:after="0"/>
              <w:rPr>
                <w:sz w:val="20"/>
                <w:szCs w:val="20"/>
                <w:color w:val="auto"/>
              </w:rPr>
            </w:pPr>
            <w:r>
              <w:rPr>
                <w:rFonts w:ascii="Arial" w:cs="Arial" w:eastAsia="Arial" w:hAnsi="Arial"/>
                <w:sz w:val="18"/>
                <w:szCs w:val="18"/>
                <w:color w:val="auto"/>
              </w:rPr>
              <w:t>Stock option exercise for cash</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4,802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24,659</w:t>
            </w:r>
          </w:p>
        </w:tc>
        <w:tc>
          <w:tcPr>
            <w:tcW w:w="1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24,660</w:t>
            </w: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Warrant exercise for cash</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60,834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273,747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273,753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tcPr>
          <w:p>
            <w:pPr>
              <w:ind w:left="180"/>
              <w:spacing w:after="0"/>
              <w:rPr>
                <w:sz w:val="20"/>
                <w:szCs w:val="20"/>
                <w:color w:val="auto"/>
              </w:rPr>
            </w:pPr>
            <w:r>
              <w:rPr>
                <w:rFonts w:ascii="Arial" w:cs="Arial" w:eastAsia="Arial" w:hAnsi="Arial"/>
                <w:sz w:val="18"/>
                <w:szCs w:val="18"/>
                <w:color w:val="auto"/>
              </w:rPr>
              <w:t>Cashless stock option exercise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125,998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Cashless warrant exercise</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tcPr>
          <w:p>
            <w:pPr>
              <w:ind w:left="180"/>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(5,198,905)</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(5,198,905)</w:t>
            </w:r>
          </w:p>
        </w:tc>
        <w:tc>
          <w:tcPr>
            <w:tcW w:w="0" w:type="dxa"/>
            <w:vAlign w:val="bottom"/>
          </w:tcPr>
          <w:p>
            <w:pPr>
              <w:spacing w:after="0"/>
              <w:rPr>
                <w:sz w:val="1"/>
                <w:szCs w:val="1"/>
                <w:color w:val="auto"/>
              </w:rPr>
            </w:pPr>
          </w:p>
        </w:tc>
      </w:tr>
      <w:tr>
        <w:trPr>
          <w:trHeight w:val="230"/>
        </w:trPr>
        <w:tc>
          <w:tcPr>
            <w:tcW w:w="4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18,966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gridSpan w:val="3"/>
            <w:vMerge w:val="restart"/>
          </w:tcPr>
          <w:p>
            <w:pPr>
              <w:ind w:left="180"/>
              <w:spacing w:after="0"/>
              <w:rPr>
                <w:sz w:val="20"/>
                <w:szCs w:val="20"/>
                <w:color w:val="auto"/>
              </w:rPr>
            </w:pPr>
            <w:r>
              <w:rPr>
                <w:rFonts w:ascii="Arial" w:cs="Arial" w:eastAsia="Arial" w:hAnsi="Arial"/>
                <w:sz w:val="18"/>
                <w:szCs w:val="18"/>
                <w:color w:val="auto"/>
              </w:rPr>
              <w:t>Balances, September 30, 2021</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80" w:type="dxa"/>
            <w:vAlign w:val="bottom"/>
            <w:gridSpan w:val="3"/>
            <w:vMerge w:val="continue"/>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23,198,419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2,319</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124,609,145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0"/>
              </w:rPr>
              <w:t>(108,980,665</w:t>
            </w:r>
          </w:p>
        </w:tc>
        <w:tc>
          <w:tcPr>
            <w:tcW w:w="200" w:type="dxa"/>
            <w:vAlign w:val="bottom"/>
            <w:vMerge w:val="continue"/>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221,633</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15,852,432</w:t>
            </w:r>
          </w:p>
        </w:tc>
        <w:tc>
          <w:tcPr>
            <w:tcW w:w="0" w:type="dxa"/>
            <w:vAlign w:val="bottom"/>
          </w:tcPr>
          <w:p>
            <w:pPr>
              <w:spacing w:after="0"/>
              <w:rPr>
                <w:sz w:val="1"/>
                <w:szCs w:val="1"/>
                <w:color w:val="auto"/>
              </w:rPr>
            </w:pPr>
          </w:p>
        </w:tc>
      </w:tr>
      <w:tr>
        <w:trPr>
          <w:trHeight w:val="216"/>
        </w:trPr>
        <w:tc>
          <w:tcPr>
            <w:tcW w:w="29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80" w:type="dxa"/>
            <w:vAlign w:val="bottom"/>
            <w:gridSpan w:val="3"/>
          </w:tcPr>
          <w:p>
            <w:pPr>
              <w:spacing w:after="0" w:line="176" w:lineRule="exact"/>
              <w:rPr>
                <w:sz w:val="20"/>
                <w:szCs w:val="20"/>
                <w:color w:val="auto"/>
              </w:rPr>
            </w:pPr>
            <w:r>
              <w:rPr>
                <w:rFonts w:ascii="Arial" w:cs="Arial" w:eastAsia="Arial" w:hAnsi="Arial"/>
                <w:sz w:val="18"/>
                <w:szCs w:val="18"/>
                <w:color w:val="auto"/>
              </w:rPr>
              <w:t>Nine Months Ended September 30, 2020</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Balances, December 31, 2019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17,270,848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95,032,252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9"/>
              </w:rPr>
              <w:t>(86,935,593)</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177,385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8,275,771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tcPr>
          <w:p>
            <w:pPr>
              <w:ind w:left="180"/>
              <w:spacing w:after="0"/>
              <w:rPr>
                <w:sz w:val="20"/>
                <w:szCs w:val="20"/>
                <w:color w:val="auto"/>
              </w:rPr>
            </w:pPr>
            <w:r>
              <w:rPr>
                <w:rFonts w:ascii="Arial" w:cs="Arial" w:eastAsia="Arial" w:hAnsi="Arial"/>
                <w:sz w:val="18"/>
                <w:szCs w:val="18"/>
                <w:color w:val="auto"/>
              </w:rPr>
              <w:t>Modification of warrants issued with debt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95,223</w:t>
            </w:r>
          </w:p>
        </w:tc>
        <w:tc>
          <w:tcPr>
            <w:tcW w:w="1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95,223</w:t>
            </w: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Sale of common stock for cash</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114,719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199,988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tcPr>
          <w:p>
            <w:pPr>
              <w:ind w:left="180"/>
              <w:spacing w:after="0"/>
              <w:rPr>
                <w:sz w:val="20"/>
                <w:szCs w:val="20"/>
                <w:color w:val="auto"/>
              </w:rPr>
            </w:pPr>
            <w:r>
              <w:rPr>
                <w:rFonts w:ascii="Arial" w:cs="Arial" w:eastAsia="Arial" w:hAnsi="Arial"/>
                <w:sz w:val="18"/>
                <w:szCs w:val="18"/>
                <w:color w:val="auto"/>
              </w:rPr>
              <w:t>Warrant exercise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727,107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1,248,910</w:t>
            </w:r>
          </w:p>
        </w:tc>
        <w:tc>
          <w:tcPr>
            <w:tcW w:w="1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1,248,983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Warrant exercise inducement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366,795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366,795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tcPr>
          <w:p>
            <w:pPr>
              <w:ind w:left="18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741,653</w:t>
            </w:r>
          </w:p>
        </w:tc>
        <w:tc>
          <w:tcPr>
            <w:tcW w:w="1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741,668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8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stock to settle accounts</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payable</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8,270</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8,270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gridSpan w:val="3"/>
          </w:tcPr>
          <w:p>
            <w:pPr>
              <w:ind w:left="180"/>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(9,217,108)</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(9,217,108)</w:t>
            </w:r>
          </w:p>
        </w:tc>
        <w:tc>
          <w:tcPr>
            <w:tcW w:w="0" w:type="dxa"/>
            <w:vAlign w:val="bottom"/>
          </w:tcPr>
          <w:p>
            <w:pPr>
              <w:spacing w:after="0"/>
              <w:rPr>
                <w:sz w:val="1"/>
                <w:szCs w:val="1"/>
                <w:color w:val="auto"/>
              </w:rPr>
            </w:pPr>
          </w:p>
        </w:tc>
      </w:tr>
      <w:tr>
        <w:trPr>
          <w:trHeight w:val="230"/>
        </w:trPr>
        <w:tc>
          <w:tcPr>
            <w:tcW w:w="4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(6,972)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gridSpan w:val="3"/>
            <w:vMerge w:val="restart"/>
          </w:tcPr>
          <w:p>
            <w:pPr>
              <w:ind w:left="180"/>
              <w:spacing w:after="0"/>
              <w:rPr>
                <w:sz w:val="20"/>
                <w:szCs w:val="20"/>
                <w:color w:val="auto"/>
              </w:rPr>
            </w:pPr>
            <w:r>
              <w:rPr>
                <w:rFonts w:ascii="Arial" w:cs="Arial" w:eastAsia="Arial" w:hAnsi="Arial"/>
                <w:sz w:val="18"/>
                <w:szCs w:val="18"/>
                <w:color w:val="auto"/>
              </w:rPr>
              <w:t>Balances, September 30, 2020</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80" w:type="dxa"/>
            <w:vAlign w:val="bottom"/>
            <w:gridSpan w:val="3"/>
            <w:vMerge w:val="continue"/>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18,266,214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97,693,091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(96,152,701</w:t>
            </w:r>
          </w:p>
        </w:tc>
        <w:tc>
          <w:tcPr>
            <w:tcW w:w="200" w:type="dxa"/>
            <w:vAlign w:val="bottom"/>
            <w:vMerge w:val="continue"/>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170,413</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1,712,630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80" w:type="dxa"/>
            <w:vAlign w:val="bottom"/>
            <w:gridSpan w:val="3"/>
          </w:tcPr>
          <w:p>
            <w:pPr>
              <w:spacing w:after="0" w:line="176" w:lineRule="exact"/>
              <w:rPr>
                <w:sz w:val="20"/>
                <w:szCs w:val="20"/>
                <w:color w:val="auto"/>
              </w:rPr>
            </w:pPr>
            <w:r>
              <w:rPr>
                <w:rFonts w:ascii="Arial" w:cs="Arial" w:eastAsia="Arial" w:hAnsi="Arial"/>
                <w:sz w:val="18"/>
                <w:szCs w:val="18"/>
                <w:color w:val="auto"/>
              </w:rPr>
              <w:t>Three Months Ended September 30, 2020</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Balances, June 30, 2020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18,221,807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97,581,421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9"/>
              </w:rPr>
              <w:t>(94,234,462)</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141,356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3,490,137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tcPr>
          <w:p>
            <w:pPr>
              <w:ind w:left="180"/>
              <w:spacing w:after="0"/>
              <w:rPr>
                <w:sz w:val="20"/>
                <w:szCs w:val="20"/>
                <w:color w:val="auto"/>
              </w:rPr>
            </w:pPr>
            <w:r>
              <w:rPr>
                <w:rFonts w:ascii="Arial" w:cs="Arial" w:eastAsia="Arial" w:hAnsi="Arial"/>
                <w:sz w:val="18"/>
                <w:szCs w:val="18"/>
                <w:color w:val="auto"/>
              </w:rPr>
              <w:t>Warrant and stock cashless exercises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44,407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111,675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111,675</w:t>
            </w:r>
          </w:p>
        </w:tc>
        <w:tc>
          <w:tcPr>
            <w:tcW w:w="0" w:type="dxa"/>
            <w:vAlign w:val="bottom"/>
          </w:tcPr>
          <w:p>
            <w:pPr>
              <w:spacing w:after="0"/>
              <w:rPr>
                <w:sz w:val="1"/>
                <w:szCs w:val="1"/>
                <w:color w:val="auto"/>
              </w:rPr>
            </w:pPr>
          </w:p>
        </w:tc>
      </w:tr>
      <w:tr>
        <w:trPr>
          <w:trHeight w:val="216"/>
        </w:trPr>
        <w:tc>
          <w:tcPr>
            <w:tcW w:w="4080" w:type="dxa"/>
            <w:vAlign w:val="bottom"/>
            <w:gridSpan w:val="3"/>
          </w:tcPr>
          <w:p>
            <w:pPr>
              <w:ind w:left="180"/>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(1,918,239)</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(1,918,239)</w:t>
            </w:r>
          </w:p>
        </w:tc>
        <w:tc>
          <w:tcPr>
            <w:tcW w:w="0" w:type="dxa"/>
            <w:vAlign w:val="bottom"/>
          </w:tcPr>
          <w:p>
            <w:pPr>
              <w:spacing w:after="0"/>
              <w:rPr>
                <w:sz w:val="1"/>
                <w:szCs w:val="1"/>
                <w:color w:val="auto"/>
              </w:rPr>
            </w:pPr>
          </w:p>
        </w:tc>
      </w:tr>
      <w:tr>
        <w:trPr>
          <w:trHeight w:val="229"/>
        </w:trPr>
        <w:tc>
          <w:tcPr>
            <w:tcW w:w="4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29,057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gridSpan w:val="3"/>
            <w:vMerge w:val="restart"/>
          </w:tcPr>
          <w:p>
            <w:pPr>
              <w:ind w:left="180"/>
              <w:spacing w:after="0"/>
              <w:rPr>
                <w:sz w:val="20"/>
                <w:szCs w:val="20"/>
                <w:color w:val="auto"/>
              </w:rPr>
            </w:pPr>
            <w:r>
              <w:rPr>
                <w:rFonts w:ascii="Arial" w:cs="Arial" w:eastAsia="Arial" w:hAnsi="Arial"/>
                <w:sz w:val="18"/>
                <w:szCs w:val="18"/>
                <w:color w:val="auto"/>
              </w:rPr>
              <w:t>Balances, September 30, 2020</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gridSpan w:val="3"/>
            <w:vMerge w:val="continue"/>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18,266,214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97,693,091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(96,152,701</w:t>
            </w:r>
          </w:p>
        </w:tc>
        <w:tc>
          <w:tcPr>
            <w:tcW w:w="200" w:type="dxa"/>
            <w:vAlign w:val="bottom"/>
            <w:vMerge w:val="continue"/>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170,413</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1,712,630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6"/>
          </w:tcPr>
          <w:p>
            <w:pPr>
              <w:jc w:val="right"/>
              <w:ind w:right="620"/>
              <w:spacing w:after="0"/>
              <w:rPr>
                <w:sz w:val="20"/>
                <w:szCs w:val="20"/>
                <w:color w:val="auto"/>
              </w:rPr>
            </w:pPr>
            <w:r>
              <w:rPr>
                <w:rFonts w:ascii="Arial" w:cs="Arial" w:eastAsia="Arial" w:hAnsi="Arial"/>
                <w:sz w:val="18"/>
                <w:szCs w:val="18"/>
                <w:color w:val="auto"/>
              </w:rPr>
              <w:t>Nine Months Ended</w:t>
            </w:r>
          </w:p>
        </w:tc>
      </w:tr>
      <w:tr>
        <w:trPr>
          <w:trHeight w:val="237"/>
        </w:trPr>
        <w:tc>
          <w:tcPr>
            <w:tcW w:w="8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6"/>
          </w:tcPr>
          <w:p>
            <w:pPr>
              <w:jc w:val="right"/>
              <w:ind w:right="820"/>
              <w:spacing w:after="0"/>
              <w:rPr>
                <w:sz w:val="20"/>
                <w:szCs w:val="20"/>
                <w:color w:val="auto"/>
              </w:rPr>
            </w:pPr>
            <w:r>
              <w:rPr>
                <w:rFonts w:ascii="Arial" w:cs="Arial" w:eastAsia="Arial" w:hAnsi="Arial"/>
                <w:sz w:val="18"/>
                <w:szCs w:val="18"/>
                <w:color w:val="auto"/>
              </w:rPr>
              <w:t>September 30,</w:t>
            </w:r>
          </w:p>
        </w:tc>
      </w:tr>
      <w:tr>
        <w:trPr>
          <w:trHeight w:val="223"/>
        </w:trPr>
        <w:tc>
          <w:tcPr>
            <w:tcW w:w="8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680" w:type="dxa"/>
            <w:vAlign w:val="bottom"/>
          </w:tcPr>
          <w:p>
            <w:pPr>
              <w:jc w:val="center"/>
              <w:ind w:right="4770"/>
              <w:spacing w:after="0"/>
              <w:rPr>
                <w:sz w:val="20"/>
                <w:szCs w:val="20"/>
                <w:color w:val="auto"/>
              </w:rPr>
            </w:pPr>
            <w:r>
              <w:rPr>
                <w:rFonts w:ascii="Arial" w:cs="Arial" w:eastAsia="Arial" w:hAnsi="Arial"/>
                <w:sz w:val="18"/>
                <w:szCs w:val="18"/>
                <w:color w:val="auto"/>
                <w:w w:val="96"/>
              </w:rPr>
              <w:t>CASH FLOWS FROM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(10,746,514)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(9,217,108)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with cash flows from operations: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943,436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923,563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4,795,069</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741,668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(Gain)/loss on extinguishment of note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(971,522)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985,842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Amortization of debt discounts and issuance costs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554,020</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333,388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losses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1,035,629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Warrant exercise inducement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366,795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(92,993)</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73,442</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investment in direct financing lease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53,787</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48,341</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(524,943)</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450,755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47,480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(70,040)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336,099</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1,232,898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132,018</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(36,902)</w:t>
            </w: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(47,809)</w:t>
            </w: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3"/>
        </w:trPr>
        <w:tc>
          <w:tcPr>
            <w:tcW w:w="8680" w:type="dxa"/>
            <w:vAlign w:val="bottom"/>
            <w:tcBorders>
              <w:top w:val="single" w:sz="8" w:color="CCEEFF"/>
              <w:bottom w:val="single" w:sz="8" w:color="CCEEFF"/>
            </w:tcBorders>
            <w:shd w:val="clear" w:color="auto" w:fill="CCEEFF"/>
          </w:tcPr>
          <w:p>
            <w:pPr>
              <w:jc w:val="center"/>
              <w:ind w:right="4710"/>
              <w:spacing w:after="0"/>
              <w:rPr>
                <w:sz w:val="20"/>
                <w:szCs w:val="20"/>
                <w:color w:val="auto"/>
              </w:rPr>
            </w:pPr>
            <w:r>
              <w:rPr>
                <w:rFonts w:ascii="Arial" w:cs="Arial" w:eastAsia="Arial" w:hAnsi="Arial"/>
                <w:sz w:val="18"/>
                <w:szCs w:val="18"/>
                <w:color w:val="auto"/>
                <w:w w:val="92"/>
              </w:rPr>
              <w:t>Net cash flows from operating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(5,521,872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(3,131,729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jc w:val="center"/>
              <w:ind w:right="4810"/>
              <w:spacing w:after="0"/>
              <w:rPr>
                <w:sz w:val="20"/>
                <w:szCs w:val="20"/>
                <w:color w:val="auto"/>
              </w:rPr>
            </w:pPr>
            <w:r>
              <w:rPr>
                <w:rFonts w:ascii="Arial" w:cs="Arial" w:eastAsia="Arial" w:hAnsi="Arial"/>
                <w:sz w:val="18"/>
                <w:szCs w:val="18"/>
                <w:color w:val="auto"/>
                <w:w w:val="97"/>
              </w:rPr>
              <w:t>CASH FLOWS FROM INVESTING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(79,703)</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(8,643)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intangible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(23,702)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Investment in other assets</w:t>
            </w: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(172,880)</w:t>
            </w:r>
          </w:p>
        </w:tc>
      </w:tr>
      <w:tr>
        <w:trPr>
          <w:trHeight w:val="223"/>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flows from investing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(103,405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(181,523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jc w:val="center"/>
              <w:ind w:right="4770"/>
              <w:spacing w:after="0"/>
              <w:rPr>
                <w:sz w:val="20"/>
                <w:szCs w:val="20"/>
                <w:color w:val="auto"/>
              </w:rPr>
            </w:pPr>
            <w:r>
              <w:rPr>
                <w:rFonts w:ascii="Arial" w:cs="Arial" w:eastAsia="Arial" w:hAnsi="Arial"/>
                <w:sz w:val="18"/>
                <w:szCs w:val="18"/>
                <w:color w:val="auto"/>
                <w:w w:val="98"/>
              </w:rPr>
              <w:t>CASH FLOWS FROM FINANCING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sale of common stock, net of offering costs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10,282,998</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warrants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273,753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1,248,983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24,660</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1,510,000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paycheck protection program</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485,762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485,760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 of debt issuance costs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(104,800)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on notes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(4,400)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Principal payments on capital lease obligation</w:t>
            </w:r>
          </w:p>
        </w:tc>
        <w:tc>
          <w:tcPr>
            <w:tcW w:w="18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(28,981)</w:t>
            </w:r>
          </w:p>
        </w:tc>
        <w:tc>
          <w:tcPr>
            <w:tcW w:w="2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(29,669)</w:t>
            </w:r>
          </w:p>
        </w:tc>
      </w:tr>
      <w:tr>
        <w:trPr>
          <w:trHeight w:val="223"/>
        </w:trPr>
        <w:tc>
          <w:tcPr>
            <w:tcW w:w="8680" w:type="dxa"/>
            <w:vAlign w:val="bottom"/>
            <w:tcBorders>
              <w:top w:val="single" w:sz="8" w:color="CCEEFF"/>
              <w:bottom w:val="single" w:sz="8" w:color="CCEEFF"/>
            </w:tcBorders>
            <w:shd w:val="clear" w:color="auto" w:fill="CCEEFF"/>
          </w:tcPr>
          <w:p>
            <w:pPr>
              <w:jc w:val="center"/>
              <w:ind w:right="4710"/>
              <w:spacing w:after="0"/>
              <w:rPr>
                <w:sz w:val="20"/>
                <w:szCs w:val="20"/>
                <w:color w:val="auto"/>
              </w:rPr>
            </w:pPr>
            <w:r>
              <w:rPr>
                <w:rFonts w:ascii="Arial" w:cs="Arial" w:eastAsia="Arial" w:hAnsi="Arial"/>
                <w:sz w:val="18"/>
                <w:szCs w:val="18"/>
                <w:color w:val="auto"/>
                <w:w w:val="93"/>
              </w:rPr>
              <w:t>Net cash flows from financing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11,033,792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3,110,274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Foreign Currencies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59,607</w:t>
            </w: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(96,653)</w:t>
            </w:r>
          </w:p>
        </w:tc>
      </w:tr>
      <w:tr>
        <w:trPr>
          <w:trHeight w:val="216"/>
        </w:trPr>
        <w:tc>
          <w:tcPr>
            <w:tcW w:w="8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Cash</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5,468,122</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(299,631)</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Cash, Beginning of the Period</w:t>
            </w: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3,765,277</w:t>
            </w: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567,081</w:t>
            </w:r>
          </w:p>
        </w:tc>
        <w:tc>
          <w:tcPr>
            <w:tcW w:w="80" w:type="dxa"/>
            <w:vAlign w:val="bottom"/>
          </w:tcPr>
          <w:p>
            <w:pPr>
              <w:spacing w:after="0"/>
              <w:rPr>
                <w:sz w:val="19"/>
                <w:szCs w:val="19"/>
                <w:color w:val="auto"/>
              </w:rPr>
            </w:pPr>
          </w:p>
        </w:tc>
      </w:tr>
      <w:tr>
        <w:trPr>
          <w:trHeight w:val="248"/>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End of the Period</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9,233,399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267,450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0"/>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Cash paid for interest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10,984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7,505</w:t>
            </w:r>
          </w:p>
        </w:tc>
        <w:tc>
          <w:tcPr>
            <w:tcW w:w="80" w:type="dxa"/>
            <w:vAlign w:val="bottom"/>
          </w:tcPr>
          <w:p>
            <w:pPr>
              <w:spacing w:after="0"/>
              <w:rPr>
                <w:sz w:val="19"/>
                <w:szCs w:val="19"/>
                <w:color w:val="auto"/>
              </w:rPr>
            </w:pPr>
          </w:p>
        </w:tc>
      </w:tr>
      <w:tr>
        <w:trPr>
          <w:trHeight w:val="34"/>
        </w:trPr>
        <w:tc>
          <w:tcPr>
            <w:tcW w:w="8680" w:type="dxa"/>
            <w:vAlign w:val="bottom"/>
            <w:tcBorders>
              <w:bottom w:val="single" w:sz="8" w:color="CCEEFF"/>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48"/>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23,540</w:t>
            </w:r>
          </w:p>
        </w:tc>
        <w:tc>
          <w:tcPr>
            <w:tcW w:w="100" w:type="dxa"/>
            <w:vAlign w:val="bottom"/>
            <w:tcBorders>
              <w:bottom w:val="single" w:sz="8" w:color="CCEEFF"/>
            </w:tcBorders>
            <w:gridSpan w:val="2"/>
            <w:shd w:val="clear" w:color="auto" w:fill="CCEEFF"/>
          </w:tcPr>
          <w:p>
            <w:pPr>
              <w:spacing w:after="0"/>
              <w:rPr>
                <w:sz w:val="21"/>
                <w:szCs w:val="2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0"/>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Reclass from other assets to intangible assets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8,270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34"/>
        </w:trPr>
        <w:tc>
          <w:tcPr>
            <w:tcW w:w="8680" w:type="dxa"/>
            <w:vAlign w:val="bottom"/>
            <w:tcBorders>
              <w:bottom w:val="single" w:sz="8" w:color="CCEEFF"/>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48"/>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Modification of warrants issued with convertible debt</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95,223</w:t>
            </w:r>
          </w:p>
        </w:tc>
        <w:tc>
          <w:tcPr>
            <w:tcW w:w="100" w:type="dxa"/>
            <w:vAlign w:val="bottom"/>
            <w:tcBorders>
              <w:bottom w:val="single" w:sz="8" w:color="CCEEFF"/>
            </w:tcBorders>
            <w:gridSpan w:val="2"/>
            <w:shd w:val="clear" w:color="auto" w:fill="CCEEFF"/>
          </w:tcPr>
          <w:p>
            <w:pPr>
              <w:spacing w:after="0"/>
              <w:rPr>
                <w:sz w:val="21"/>
                <w:szCs w:val="2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7"/>
        </w:trPr>
        <w:tc>
          <w:tcPr>
            <w:tcW w:w="8680" w:type="dxa"/>
            <w:vAlign w:val="bottom"/>
          </w:tcPr>
          <w:p>
            <w:pPr>
              <w:ind w:left="340"/>
              <w:spacing w:after="0"/>
              <w:rPr>
                <w:sz w:val="20"/>
                <w:szCs w:val="20"/>
                <w:color w:val="auto"/>
              </w:rPr>
            </w:pPr>
            <w:r>
              <w:rPr>
                <w:rFonts w:ascii="Arial" w:cs="Arial" w:eastAsia="Arial" w:hAnsi="Arial"/>
                <w:sz w:val="18"/>
                <w:szCs w:val="18"/>
                <w:color w:val="auto"/>
              </w:rPr>
              <w:t>Exchange of notes payable and accrued interest for convertible notes payable</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2,662,000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4"/>
        </w:trPr>
        <w:tc>
          <w:tcPr>
            <w:tcW w:w="8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48"/>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Settlement of accounts payable with issuance of common stock</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349,376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7"/>
        </w:trPr>
        <w:tc>
          <w:tcPr>
            <w:tcW w:w="8680" w:type="dxa"/>
            <w:vAlign w:val="bottom"/>
          </w:tcPr>
          <w:p>
            <w:pPr>
              <w:ind w:left="340"/>
              <w:spacing w:after="0"/>
              <w:rPr>
                <w:sz w:val="20"/>
                <w:szCs w:val="20"/>
                <w:color w:val="auto"/>
              </w:rPr>
            </w:pPr>
            <w:r>
              <w:rPr>
                <w:rFonts w:ascii="Arial" w:cs="Arial" w:eastAsia="Arial" w:hAnsi="Arial"/>
                <w:sz w:val="18"/>
                <w:szCs w:val="18"/>
                <w:color w:val="auto"/>
              </w:rPr>
              <w:t>Conversion of convertible note payable and accrued interest to common stock</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6,232,340</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34"/>
        </w:trPr>
        <w:tc>
          <w:tcPr>
            <w:tcW w:w="8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875"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are prepared in accordance with instructions for Form 10-Q and include all adjustments (consisting only of normal recurring accruals) which we considered as necessary for a fair presentation of the results for the periods presented. Certain information and footnote disclosures normally included in the consolidated financial statements prepared in accordance with accounting principles generally accepted in the United States of America have been condensed or omitted. It is suggested that these condensed consolidated financial statements be read in conjunction with the Company’s Annual Report on Form 10-K for the year ended December 31, 2020. The results of operations for the nine months ended September 30, 2021 are not necessarily indicative of the results to be expected for future periods or the full year.</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condensed consolidated financial statements include the accounts of Ipsidy Inc. and its wholly-owned subsidiaries MultiPay S.A.S., ID Global LATAM, IDGS S.A.S., ID Solutions, Inc., FIN Holdings Inc., Ipsidy Enterprises Limited, Cards Plus Pty Ltd. and Ipsidy Peru S.A.C. (collectively the “Company”). All significant intercompany balances and transactions have been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Annual Meeting of stockholders of the Company held on March 22, 2021, the stockholders approved an amendment to our certificate of incorporation to effect a reverse stock split at a ratio not less than 1-for-2 and not greater than 1-for-50, with the exact ratio to be set within that range at the discretion of our board of directors before December 31, 2021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14, 2021 (the “Effective Time”), the Company completed a 1-for-30 reverse stock split of its Common Stock, as previously authorized at the Annual Meeting. Pursuant to the reverse stock split, at the Effective Time, every 30 issued shares of Common Stock were automatically combined into one share of Common Stock without any change in the par value per share.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par value of the Company’s Common Stock was unchanged at $0.0001 per share after the reverse stock split. As a result, on the effective date of the reverse stock split, the stated capital on the Company’s balance sheet attributable to Common Stock was reduced proportionately based on the reverse stock split ratio of 1-for-30 and the additional paid-in capital account was credited with the amount by which the stated capital was reduced.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the reverse stock split, net income or loss per share, and other per share amounts were adjusted because there are fewer shares of the Company’s Common Stock outstanding.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net income or loss per share and other per share amounts for periods ending before the reverse stock split were recast to give retroactive effect to the reverse stock split.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the Company had an accumulated deficit of approximately $109.0 million. For the nine months ended September 30, 2021 the Company earned revenue of approximately $1.7 million and incurred a loss from operations of approximately $11.1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reports of our independent registered public accounting firm on our consolidated financial statements for the years ended December 31, 2020 and 2019 contained an explanatory paragraph regarding our ability to continue as a going concern based upon our net losses.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8"/>
          <w:szCs w:val="18"/>
          <w:color w:val="auto"/>
        </w:rPr>
        <w:t>These unaudited condensed consolidated financial statements have been prepared on a going concern basis, which implies the Company will continue to meet its obligations and continue its operations for the next fiscal year. The continuation of the Company as a going concern is dependent upon financial support from the Company’s current shareholders, the ability of the Company to obtain additional financing to continue operations, the Company’s ability to generate sufficient cash flows from operations, successfully locating and negotiating with other business entities for potential acquisition and /or acquiring new clients to generate revenues and cash flows.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26, 2021, the Company’s completed its public offering (the “Offering”) of 1,642,856 shares of its common stock at a public offering price of $7.00 per share, including 214,285 shares sold upon full exercise of the underwriter’s option to purchase additional shares, for gross proceeds of approximately $11.5 million, before deducting underwriting discounts and offering expenses.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November 2021, the Company filed an S-3 to register an indeterminate number of securities of each identified class of securities up to a proposed aggregate offering price of $200,000,000, which may from time to time be offered in unspecified numbers and at indeterminate prices.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no assurance that the Company will ever be profitable or be able to secure funding or generate sufficient revenues to sustain operations. As such, there is substantial doubt about the Company’s ability to continue as a going concern. These unaudited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25" w:lineRule="exact"/>
        <w:rPr>
          <w:sz w:val="20"/>
          <w:szCs w:val="20"/>
          <w:color w:val="auto"/>
        </w:rPr>
      </w:pPr>
    </w:p>
    <w:p>
      <w:pPr>
        <w:jc w:val="both"/>
        <w:ind w:firstLine="51"/>
        <w:spacing w:after="0" w:line="257" w:lineRule="auto"/>
        <w:rPr>
          <w:sz w:val="20"/>
          <w:szCs w:val="20"/>
          <w:color w:val="auto"/>
        </w:rPr>
      </w:pPr>
      <w:r>
        <w:rPr>
          <w:rFonts w:ascii="Arial" w:cs="Arial" w:eastAsia="Arial" w:hAnsi="Arial"/>
          <w:sz w:val="18"/>
          <w:szCs w:val="18"/>
          <w:color w:val="auto"/>
        </w:rPr>
        <w:t>Covid-19 emerged globally in December 2019, and it has been declared a pandemic. Covid-19 is still impacting customers, business, results and financial condition throughout the world. The Company’s day-to-day operations have been impacted differently depending on geographic location and services that are being performed. The Cards Plus business located in South Africa operations has had limitations on its operations as they are following the guidance and requirements of the South African government. Our operations in the United States and Colombia have suffered less immediate impact as most staff can work remotely and can continue to develop our product offerings.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That said we have seen our business opportunities develop more slowly as business partners and potential customers include Covid-19 considerations.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Furthermore, working remotely can cause a delay in decision making and finalization of negotiations and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computes net loss per share in accordance with FASB ASC 260, “Earnings per Share”. ASC 260 requires presentation of both basic and diluted earnings per share (“EPS”) on the face of the statement of operations. Basic EPS is computed by dividing net loss available to common shareholders by the weighted average number of common shares outstanding during the period. Diluted EPS gives effect to all dilutive potential common shares outstanding during the period including stock options, using the treasury stock method, and convertible notes and stock warrants, using the if-converted method. In computing diluted EPS, the average stock price for the period is used in determining the number of shares assumed to be purchased from the exercise of stock options, warrants and conversion of convertible notes. Diluted EPS excludes all dilutive potential common shares if their effect is anti-dilutive. The following potentially dilutive securities were excluded from the calculation of diluted loss per share for the three and nine months ended September 30, 2021 and 2020 because their effect was antidilutive: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40" w:type="dxa"/>
            <w:vAlign w:val="bottom"/>
          </w:tcPr>
          <w:p>
            <w:pPr>
              <w:spacing w:after="0"/>
              <w:rPr>
                <w:sz w:val="20"/>
                <w:szCs w:val="20"/>
                <w:color w:val="auto"/>
              </w:rPr>
            </w:pPr>
            <w:r>
              <w:rPr>
                <w:rFonts w:ascii="Arial" w:cs="Arial" w:eastAsia="Arial" w:hAnsi="Arial"/>
                <w:sz w:val="18"/>
                <w:szCs w:val="18"/>
                <w:color w:val="auto"/>
              </w:rPr>
              <w:t>Security</w:t>
            </w:r>
          </w:p>
        </w:tc>
        <w:tc>
          <w:tcPr>
            <w:tcW w:w="6060" w:type="dxa"/>
            <w:vAlign w:val="bottom"/>
            <w:gridSpan w:val="3"/>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1120" w:type="dxa"/>
            <w:vAlign w:val="bottom"/>
          </w:tcPr>
          <w:p>
            <w:pPr>
              <w:ind w:left="38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Convertible notes payable</w:t>
            </w:r>
          </w:p>
        </w:tc>
        <w:tc>
          <w:tcPr>
            <w:tcW w:w="4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117,529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7"/>
              </w:rPr>
              <w:t>1,182,557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Warrants</w:t>
            </w:r>
          </w:p>
        </w:tc>
        <w:tc>
          <w:tcPr>
            <w:tcW w:w="6280" w:type="dxa"/>
            <w:vAlign w:val="bottom"/>
            <w:gridSpan w:val="4"/>
          </w:tcPr>
          <w:p>
            <w:pPr>
              <w:jc w:val="right"/>
              <w:ind w:right="220"/>
              <w:spacing w:after="0"/>
              <w:rPr>
                <w:sz w:val="20"/>
                <w:szCs w:val="20"/>
                <w:color w:val="auto"/>
              </w:rPr>
            </w:pPr>
            <w:r>
              <w:rPr>
                <w:rFonts w:ascii="Arial" w:cs="Arial" w:eastAsia="Arial" w:hAnsi="Arial"/>
                <w:sz w:val="18"/>
                <w:szCs w:val="18"/>
                <w:color w:val="auto"/>
              </w:rPr>
              <w:t>1,413,611</w:t>
            </w:r>
          </w:p>
        </w:tc>
        <w:tc>
          <w:tcPr>
            <w:tcW w:w="1220" w:type="dxa"/>
            <w:vAlign w:val="bottom"/>
            <w:gridSpan w:val="2"/>
          </w:tcPr>
          <w:p>
            <w:pPr>
              <w:ind w:left="400"/>
              <w:spacing w:after="0"/>
              <w:rPr>
                <w:sz w:val="20"/>
                <w:szCs w:val="20"/>
                <w:color w:val="auto"/>
              </w:rPr>
            </w:pPr>
            <w:r>
              <w:rPr>
                <w:rFonts w:ascii="Arial" w:cs="Arial" w:eastAsia="Arial" w:hAnsi="Arial"/>
                <w:sz w:val="18"/>
                <w:szCs w:val="18"/>
                <w:color w:val="auto"/>
                <w:w w:val="99"/>
              </w:rPr>
              <w:t>1,581,774</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940" w:type="dxa"/>
            <w:vAlign w:val="bottom"/>
            <w:gridSpan w:val="2"/>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9,322,153</w:t>
            </w: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3,660,778</w:t>
            </w:r>
          </w:p>
        </w:tc>
        <w:tc>
          <w:tcPr>
            <w:tcW w:w="0" w:type="dxa"/>
            <w:vAlign w:val="bottom"/>
          </w:tcPr>
          <w:p>
            <w:pPr>
              <w:spacing w:after="0"/>
              <w:rPr>
                <w:sz w:val="1"/>
                <w:szCs w:val="1"/>
                <w:color w:val="auto"/>
              </w:rPr>
            </w:pPr>
          </w:p>
        </w:tc>
      </w:tr>
      <w:tr>
        <w:trPr>
          <w:trHeight w:val="27"/>
        </w:trPr>
        <w:tc>
          <w:tcPr>
            <w:tcW w:w="3740" w:type="dxa"/>
            <w:vAlign w:val="bottom"/>
            <w:shd w:val="clear" w:color="auto" w:fill="CCEEFF"/>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Pr>
          <w:p>
            <w:pPr>
              <w:spacing w:after="0"/>
              <w:rPr>
                <w:sz w:val="21"/>
                <w:szCs w:val="21"/>
                <w:color w:val="auto"/>
              </w:rPr>
            </w:pPr>
          </w:p>
        </w:tc>
        <w:tc>
          <w:tcPr>
            <w:tcW w:w="4940" w:type="dxa"/>
            <w:vAlign w:val="bottom"/>
            <w:gridSpan w:val="2"/>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10,853,293</w:t>
            </w:r>
          </w:p>
        </w:tc>
        <w:tc>
          <w:tcPr>
            <w:tcW w:w="1220" w:type="dxa"/>
            <w:vAlign w:val="bottom"/>
            <w:gridSpan w:val="2"/>
          </w:tcPr>
          <w:p>
            <w:pPr>
              <w:ind w:left="400"/>
              <w:spacing w:after="0"/>
              <w:rPr>
                <w:sz w:val="20"/>
                <w:szCs w:val="20"/>
                <w:color w:val="auto"/>
              </w:rPr>
            </w:pPr>
            <w:r>
              <w:rPr>
                <w:rFonts w:ascii="Arial" w:cs="Arial" w:eastAsia="Arial" w:hAnsi="Arial"/>
                <w:sz w:val="18"/>
                <w:szCs w:val="18"/>
                <w:color w:val="auto"/>
                <w:w w:val="99"/>
              </w:rPr>
              <w:t>6,425,109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820" w:type="dxa"/>
            <w:vAlign w:val="bottom"/>
            <w:vMerge w:val="restart"/>
          </w:tcPr>
          <w:p>
            <w:pPr>
              <w:jc w:val="right"/>
              <w:ind w:right="28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Inventory of plastic/ID cards, digital printing material, which are held by Cards Plus Pty Ltd., are at the lower of cost (using the average method) or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Plastic/ID cards and digital printing material are used to provide plastic loyal ID and other types of cards.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Inventories at September 30, 2021 and December 31, 2020 consist of cards inventory. As of September 30, 2021 and December 31, 2020, the Company recorded an inventory valuation allowance of approximately $26,000 and $18,000 to reflect net realizable value of the cards inventory.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Any adjustments to reduce the cost of inventories to their net realizable value are recognized in earnings in the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Cards Plus – The Company recognizes revenue for the design and production of cards at the point in time when products are shipped, or services have been performed due to the short term nature of the contracts. Additionally, the cards produced by the Company have no alternative use and the Company has an enforceable right to payment for work performed should the contract be cancelled. As of September 30, 2021 and December 31, 2020, Cards Plus had approximately $40,000 and $88,000, respectively, of contract liability from payments received in advance that will be earned in future periods.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Payment Processing – The Company recognizes revenue for variable fees generated for payment processing solutions that are earned on a usage fee over time based on monthly transaction volumes or on a monthly flat fee rate. Additionally, the Company also sells certain equipment from time to time for which revenue is recognized upon delivery to the customer.</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Identity Solutions Software – The Company recognizes revenue based on the identified performance obligations over the performance period for fixed consideration and for variable fees generated that are earned on a usage fee based over time based on monthly transaction volumes or on a monthly flat fee rate. The Company had a contract liability of approximately $330,000 and $150,000 as of September 30, 2021 and December 31, 2020 relating to certain revenue that will be earned in future periods. The majority of the $150,000 of deferred revenue contract liability as of December 31, 2020 was earned in the first quarter of fiscal year 2021. As of September 30, 2021, the majority of the deferred revenue contract liability of $330,000 will be recognized in the ensuing two quarters.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All contracts are reviewed for their respective performance obligations and related revenue and expense recognition implications. Certain of the revenues are derived from identity services that could include multiple performance obligations. A performance obligation is defined as a promise to provide a “distinct” good or service to a customer. The Company has determined that one possible treatment under U.S. GAAP is that these services will represent a stand-ready series of distinct daily services that are substantially the same, with the same pattern of transfer to the customer. Further, the Company has determined that the performance obligation to provide account access and facilitate transactions should meet the criteria for the “as invoiced” practical expedient, in that the Company has a right to consideration from a customer in an amount that corresponds directly with the value to the customer of the Company’s performance completed to date. As a result, the Company anticipates it may recognize revenue in the amount to which the Company has a right to invoice, based on completed performance at the relevant date. Additionally, the contracts could include implementation services, or support on an “as needed” basis and we will review each contract and determine whether such performance obligations are separate and distinct and apply the new standard accordingly to the revenue and expense derived from or related to each such service.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Revenue related to direct financing leases is outside the scope of Topic 606 and is recognized over the term of the lease using the effective interest method.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2 – OTHER 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Other current assets consisted of the following as of September 30, 2021 and December 31, 2020: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w w:val="89"/>
              </w:rPr>
              <w:t>September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Prepaid licensing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103,521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30,841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 of use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99,667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131,568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Prepaid marketing expense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263,929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Payroll tax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Prepaid services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175,000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38,479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36,243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929,692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237,769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3 – PROPERTY AND EQUIPMENT, NET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Property and equipment consisted of the following as of September 30, 2021 and December 31, 2020: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September 30,</w:t>
            </w: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Equipment under finance lease</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163,407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163,407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541,029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(413,324)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(363,417)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127,705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97,829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totaled $49,827 and $40,231 for the nine months ended September 30, 2021 and 2020,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consisted of the following at September 30, 2021 and December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w w:val="88"/>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 of use assets</w:t>
            </w:r>
          </w:p>
        </w:tc>
        <w:tc>
          <w:tcPr>
            <w:tcW w:w="4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49,856</w:t>
            </w:r>
          </w:p>
        </w:tc>
        <w:tc>
          <w:tcPr>
            <w:tcW w:w="0" w:type="dxa"/>
            <w:vAlign w:val="bottom"/>
          </w:tcPr>
          <w:p>
            <w:pPr>
              <w:spacing w:after="0"/>
              <w:rPr>
                <w:sz w:val="1"/>
                <w:szCs w:val="1"/>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Other</w:t>
            </w:r>
          </w:p>
        </w:tc>
        <w:tc>
          <w:tcPr>
            <w:tcW w:w="4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73,243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190,367</w:t>
            </w:r>
          </w:p>
        </w:tc>
        <w:tc>
          <w:tcPr>
            <w:tcW w:w="0" w:type="dxa"/>
            <w:vAlign w:val="bottom"/>
          </w:tcPr>
          <w:p>
            <w:pPr>
              <w:spacing w:after="0"/>
              <w:rPr>
                <w:sz w:val="1"/>
                <w:szCs w:val="1"/>
                <w:color w:val="auto"/>
              </w:rPr>
            </w:pPr>
          </w:p>
        </w:tc>
      </w:tr>
      <w:tr>
        <w:trPr>
          <w:trHeight w:val="27"/>
        </w:trPr>
        <w:tc>
          <w:tcPr>
            <w:tcW w:w="4020" w:type="dxa"/>
            <w:vAlign w:val="bottom"/>
            <w:shd w:val="clear" w:color="auto" w:fill="CCEEFF"/>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shd w:val="clear" w:color="auto" w:fill="CCEEFF"/>
          </w:tcPr>
          <w:p>
            <w:pPr>
              <w:spacing w:after="0"/>
              <w:rPr>
                <w:sz w:val="21"/>
                <w:szCs w:val="21"/>
                <w:color w:val="auto"/>
              </w:rPr>
            </w:pPr>
          </w:p>
        </w:tc>
        <w:tc>
          <w:tcPr>
            <w:tcW w:w="4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240,223</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bottom w:val="single" w:sz="8" w:color="CCEEFF"/>
            </w:tcBorders>
            <w:vMerge w:val="restart"/>
          </w:tcPr>
          <w:p>
            <w:pPr>
              <w:jc w:val="right"/>
              <w:ind w:right="2930"/>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0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5 – INTANGIBLE ASSETS, NET (OTHER THAN GOODWILL)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intangible assets consist primarily of acquired and developed software as well as intellectual property acquired from previous acquisitions and are amortized over their estimated useful lives as indicated below. The following is a summary of activity related to intangible assets for the nine months ended September 30,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Acquired and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Customer</w:t>
            </w: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Developed</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Intellectual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Relationships</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Software</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Property</w:t>
            </w:r>
          </w:p>
        </w:tc>
        <w:tc>
          <w:tcPr>
            <w:tcW w:w="2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Patents</w:t>
            </w:r>
          </w:p>
        </w:tc>
        <w:tc>
          <w:tcPr>
            <w:tcW w:w="2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Useful Lives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 Years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 Years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December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811,303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3,171,394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416,471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128,308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4,527,476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23,702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23,702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(122,645)</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(699,442)</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(61,018)</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(10,504)</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(893,609)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Carrying Value at September 30, 2021</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688,658</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2,471,952</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355,453</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141,506</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3,657,569</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000" w:type="dxa"/>
            <w:vAlign w:val="bottom"/>
            <w:gridSpan w:val="4"/>
          </w:tcPr>
          <w:p>
            <w:pPr>
              <w:spacing w:after="0"/>
              <w:rPr>
                <w:sz w:val="20"/>
                <w:szCs w:val="20"/>
                <w:color w:val="auto"/>
              </w:rPr>
            </w:pPr>
            <w:r>
              <w:rPr>
                <w:rFonts w:ascii="Arial" w:cs="Arial" w:eastAsia="Arial" w:hAnsi="Arial"/>
                <w:sz w:val="18"/>
                <w:szCs w:val="18"/>
                <w:color w:val="auto"/>
              </w:rPr>
              <w:t>The following is a summary of intangible assets as of September 30, 2021</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Acquired and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Customer</w:t>
            </w: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Developed</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Intellectual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Relationships</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Software</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Property</w:t>
            </w:r>
          </w:p>
        </w:tc>
        <w:tc>
          <w:tcPr>
            <w:tcW w:w="2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Patents</w:t>
            </w:r>
          </w:p>
        </w:tc>
        <w:tc>
          <w:tcPr>
            <w:tcW w:w="2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1,587,159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4,476,273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828,577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155,297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7,047,306</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(898,501)</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(2,004,321)</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(473,124)</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(13,791)</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(3,389,737)</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Carrying Value at September 30, 2021</w:t>
            </w: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688,658</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2,471,952</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355,453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141,506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3,657,569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totaled approximately $894,000 and $883,000 for the nine months ended September 30, 2021 and 2020,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Future expected amortization of intangible assets is as follows:</w:t>
            </w:r>
          </w:p>
        </w:tc>
        <w:tc>
          <w:tcPr>
            <w:tcW w:w="4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40" w:type="dxa"/>
            <w:vAlign w:val="bottom"/>
          </w:tcPr>
          <w:p>
            <w:pPr>
              <w:spacing w:after="0"/>
              <w:rPr>
                <w:sz w:val="20"/>
                <w:szCs w:val="20"/>
                <w:color w:val="auto"/>
              </w:rPr>
            </w:pPr>
            <w:r>
              <w:rPr>
                <w:rFonts w:ascii="Arial" w:cs="Arial" w:eastAsia="Arial" w:hAnsi="Arial"/>
                <w:sz w:val="18"/>
                <w:szCs w:val="18"/>
                <w:color w:val="auto"/>
              </w:rPr>
              <w:t>Fiscal Year Ending December 31,</w:t>
            </w:r>
          </w:p>
        </w:tc>
        <w:tc>
          <w:tcPr>
            <w:tcW w:w="4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5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297,060</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2022</w:t>
            </w: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1,094,905</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1,043,916</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2024</w:t>
            </w: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819,604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302,986</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99,098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spacing w:after="0"/>
              <w:rPr>
                <w:sz w:val="21"/>
                <w:szCs w:val="21"/>
                <w:color w:val="auto"/>
              </w:rPr>
            </w:pPr>
          </w:p>
        </w:tc>
        <w:tc>
          <w:tcPr>
            <w:tcW w:w="5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3,657,569</w:t>
            </w:r>
          </w:p>
        </w:tc>
        <w:tc>
          <w:tcPr>
            <w:tcW w:w="0" w:type="dxa"/>
            <w:vAlign w:val="bottom"/>
          </w:tcPr>
          <w:p>
            <w:pPr>
              <w:spacing w:after="0"/>
              <w:rPr>
                <w:sz w:val="1"/>
                <w:szCs w:val="1"/>
                <w:color w:val="auto"/>
              </w:rPr>
            </w:pPr>
          </w:p>
        </w:tc>
      </w:tr>
      <w:tr>
        <w:trPr>
          <w:trHeight w:val="21"/>
        </w:trPr>
        <w:tc>
          <w:tcPr>
            <w:tcW w:w="504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jc w:val="right"/>
              <w:ind w:right="4210"/>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0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6 – ACCOUNTS PAYABLE AND ACCRUED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1"/>
              </w:rPr>
              <w:t>Accounts payable and accrued expenses consisted of the following as of September 30, 2021 and December 31, 2020: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September 30,</w:t>
            </w:r>
          </w:p>
        </w:tc>
        <w:tc>
          <w:tcPr>
            <w:tcW w:w="1220" w:type="dxa"/>
            <w:vAlign w:val="bottom"/>
            <w:gridSpan w:val="4"/>
          </w:tcPr>
          <w:p>
            <w:pPr>
              <w:ind w:left="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311,024</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17,469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554,755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obligations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656,938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891,790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100,290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117,414</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577,958</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790,149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2,122,257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2,665,132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In June 2021, the majority of the accrued interest was converted into common stock. See Note 8.</w:t>
      </w:r>
    </w:p>
    <w:p>
      <w:pPr>
        <w:spacing w:after="0" w:line="225" w:lineRule="exact"/>
        <w:rPr>
          <w:sz w:val="20"/>
          <w:szCs w:val="20"/>
          <w:color w:val="auto"/>
        </w:rPr>
      </w:pPr>
    </w:p>
    <w:p>
      <w:pPr>
        <w:jc w:val="both"/>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Other expenses was accrued non-employee Directors’ Compensation of approximately $349,000 at December 31, 2020. In May 2021, the non-employee Directors were compensated for their service through a grant of stock options and therefore the balance of the accrual for Director’s Compensation was $ 0 as of September 30, 2021. See Note 10.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7 - NOTES PAYABLE,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The following is a summary of notes payable as of September 30, 2021 and December 31, 2020: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September 30,</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Paycheck Protection Program Loan #1</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485,760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Paycheck Protection Program Loan #2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Installment loan payable related to a vehicle acquisition payable in monthly payments of $539 per month at an interest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 of 10.8% per annum payable for 36 months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Notes Payable, Net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493,286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 current portion,</w:t>
            </w: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Notes Payable, net of current portion</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487,339</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493,286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Paycheck Protection Program Loans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May 2020, the Company received a loan of approximately $486,000 under the Paycheck Protection Program (“PPP”) as part of the Coronavirus Aid, Relief and Economic Security Act which is administered by the U.S. Small Business Association (“USSBA”) related to its U.S. Operations. The Company received notice from the USSBA in May 2021, that the May 2020 PPP loan was forgiven as we met the applicable requirements.</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January 2021, the Company received a second loan of approximately $486,000 under the PPP related to its U.S. Operations. The Company received notice from the USSBA in August 2021, that the January 2021 PPP loan was forgiven as the Company met the applicable requirements.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ASC 470, extinguishment accounting, the amount forgiven by the USSBA is recorded as other income – gain on extinguishment of notes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CONVERTIBLE NOTES PAYABLE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13, 2019, the Company entered into Securities Purchase Agreements with several accredited investors (the “8% Note Investors”) providing for the sale by the Company to the 8% Note Investors of 8% Convertible Notes in the aggregate amount of $428,000 (the “8% Notes”). The 8% Notes were to mature on November 30, 2021 and were a general unsecured obligation of the Company.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February 2020, the Company and the holders of the 8% Notes entered into an amendment agreement pursuant to which the principal and interest due under the 8% Notes will remain due and payable on the same terms as exist in the 8% Notes prior to modification, that the maturity shall be extended to the same maturity date as the 2020 Notes, namely February 28, 2022, and the 8% Notes became a secured obligation of the Company.</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14, 2020 the Company, entered into Securities Purchase Agreements with several accredited investors (the “2020 Note Investors”) providing for the sale by the Company to the 2020 Note Investors of 15% Senior Secured Convertible Notes in the aggregate amount of $1,510,000 (the “2020 Notes”). Philip D. Beck, Chief Executive Officer and Chairman of the Board, invested $50,000 in consideration of a 2020 Note in the principal amount of $50,000 paid by a deduction from his salary. Theodore Stern, a former director of the Company, invested $50,000 in consideration of a 2020 Note in the principal amount of $50,000. Herbert Selzer, a former director of the Company invested $100,000 in consideration of a 2020 Note in the principal amount of $100,000. Mr. Selzer provided $50,000 on the closing date and provided the balance of the funding in April 2020.</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2020 Notes mature February 28, 2022 and are a secured obligation of the Company. At the option of the 2020 Note Investors, they may at any time convert the 2020 Notes. The number of shares delivered shall be equal to 150% of the amount of the principal converted divided by the conversion price of $6.00 per share. The Company may require that the 2020 Note Investors convert all or a portion of the 2020 Notes, if the Company’s volume weighted average price for any preceding 20-day period is equal to or greater than $9.00.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this private offering, the Company paid Network 1 Financial Securities, Inc., a registered broker-dealer, a cash fee of approximately $104,800.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quarter of 2021, convertible notes totaling $120,000 and a portion of their accrued interest at the option of the noteholders were converted into approximately 33,000 shares of common stock of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both"/>
        <w:spacing w:after="0" w:line="272" w:lineRule="auto"/>
        <w:rPr>
          <w:sz w:val="20"/>
          <w:szCs w:val="20"/>
          <w:color w:val="auto"/>
        </w:rPr>
      </w:pPr>
      <w:r>
        <w:rPr>
          <w:rFonts w:ascii="Arial" w:cs="Arial" w:eastAsia="Arial" w:hAnsi="Arial"/>
          <w:sz w:val="17"/>
          <w:szCs w:val="17"/>
          <w:color w:val="auto"/>
        </w:rPr>
        <w:t>Additionally, during the nine months ended September 30, 2021, the Company received conversion notices from (i) the Stern Trust converting the principal amount, repayment premium and interest in the amount of approximately $3.5 million payable under the Restated Stern Note into approximately 561,000 shares of common stock, (ii) the 8% Note Investors converting principal and interest in the amount of approximately $0.4 million into approximately 180,000 shares of common stock and (iii) the 2020 Note Investors converting principal, repayment premium and interest in the amount of approximately $2.5 million into approximately 398,000 shares of common stock. The Stern Trust is owed approximately $0.7 million in interest under the Restated Stern Note, which has not been converted and remains outstanding. As a result, a total of approximately $6.1 million of Company net indebtedness was converted and the Company issued approximately 1,138,000 shares of common stock in the aggregate.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The following is a summary of the convertible notes payable outstanding at September 30, 2021:</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8% convertible notes payable issued December 2019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15% convertible notes payable issued February 2020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 convertible notes payable issued February 2020</w:t>
            </w: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662,000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020" w:type="dxa"/>
            <w:vAlign w:val="bottom"/>
            <w:vMerge w:val="restart"/>
          </w:tcPr>
          <w:p>
            <w:pPr>
              <w:spacing w:after="0"/>
              <w:rPr>
                <w:sz w:val="20"/>
                <w:szCs w:val="20"/>
                <w:color w:val="auto"/>
              </w:rPr>
            </w:pPr>
            <w:r>
              <w:rPr>
                <w:rFonts w:ascii="Arial" w:cs="Arial" w:eastAsia="Arial" w:hAnsi="Arial"/>
                <w:sz w:val="18"/>
                <w:szCs w:val="18"/>
                <w:color w:val="auto"/>
              </w:rPr>
              <w:t>Future maturities of convertible notes payable are as follows:</w:t>
            </w: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662,000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Payable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2021, the Company received conversion notices from Stern Trust of which Theodore Stern, (a former member of the Board of Directors until June 9, 2021) is the Trustee, converting the principal amount, repayment premium and interest in the amount of approximately $3.5 million payable under the Restated Stern Note into approximately 561,000 shares of common stock. Additionally, Theodore Stern and Herbert Selzer (also a former member of the Board of Directors until June 9, 2021) provided conversion notices for their respective 2020 Notes converting the principal, repayment premium and interest in the amount of approximately $256,000 into approximately 41,000 shares of common stock. The Stern Trust is owed approximately $0.7 million in interest under the Restated Stern Note, which has not been converted and remains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14, 2021, Phillip L. Kumnick resigned as Chief Executive Officer of Ipsidy Inc., and Thomas L. Thimot was appointed Chief Executive Officer in his place. Further, Philip R. Broenniman resigned as President and Chief Operating Officer and Cecil N. Smith III (Tripp) was appointed President and Chief Technology Officer. In May 2021 the Company granted to each of Mr. Kumnick and Mr. Broenniman options (the “May 2021 Options”) to acquire a total of 1,166,667 shares of common stock at an exercise price of $7.20 per share for a term of ten years that vest upon the achievement of certain market capitalization thresholds, or performance conditions. In November 2021 Mr. Kumnick and Mr. Broenniman agreed to cancel 300,000 and 200,000, respectively, of these stock options in consideration of removing certain service conditions.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Mr. Thomas Thimot and Mr. Cecil Smith, became employed by the Company as Chief Executive Officer and President and Chief Technology Officer effective June 14, 2021. Mr. Thimot and the Company entered into an Offer Letter pursuant to which Mr. Thimot will earn an annual salary of $325,000 with a bonus target at 50% of the base salary (pro-rated for 2021) upon terms to be agreed with the Compensation Committee for 2021 and on the understanding that the 2022 target will include a requirement of the Company achieving three times the annual revenue of 2021. Additionally, Mr. Thimot was granted an option to acquire 1,200,000 shares of common stock at an exercise price of $7.80 per share for a term of ten years of which half of the options vest monthly over four years and the balance is subject to certain performance vesting requirements.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14, 2021, Mr. Smith and the Company entered an into an Offer Letter pursuant to which Mr. Smith will earn an annual salary of $275,000 with a bonus target at 50% of the base salary (pro-rated for 2021) upon terms to be agreed with the Compensation Committee for 2021. In addition, Mr. Smith will receive a bonus of $50,000 after 90 days of service. Additionally. Mr. Smith was granted an option to acquire 600,000 shares of common stock at an exercise price of $7.80 per share for a term of ten years of which half of the options vest monthly over four years and the balance is subject to certain performance vesting requirements.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Appointment of Board of Directors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9, 2021 Theodore Stern, Herbert Selzer and Thomas Szoke resigned as directors of the Company. The size of the Board of directors was increased to seven and Dr. Michael A. Gorriz, Michael L. Koehneman, Sanjay Puri, Mr. Thimot and Jacqueline L. White were appointed as additional directors of the Company. Messrs. Stern, Selzer and Szoke did not advise the Company of any disagreement with the Company on any matter relating to its operations, policies or practices. Mr. Szoke will continue with the Company as Chief Solutions Architect.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granted each of the four new Board of Directors as of June 2021 stock options to acquire 62,500 shares of common stock or a total of 250,000 at an exercise price of $7.80 per share for a term of ten years that vest one third per year after each Annual Meeting. The Company granted the previously serving Board of Directors stock options to acquire 93,470 common shares that are vested as the services were previously rendered. The stock options were granted in lieu of other forms of Board of Director Compensation. The Company also granted Mr. Selzer and Mr. Stern 22,388 stock options to acquire common shares for service in 2021 prior to their resignation as Board Members. Upon their resignation as directors in June 2021, 13,992 stock options were vested and the balance was cancelled.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third quarter of 2021, the Company and Progress Partners Inc. (“Progress”) modified their Business Advisory Agreement dated May 6, 2020 (“Progress Agreement”). The amended Progress Agreement provides for Progress to undertake continuing business development activities for the Company, for which the Company agreed to pay Progress $350,000 which was paid, October 15, 2021. Additionally, the Company agreed to pay Progress, another $115,000 for additional consulting services. Mr. Puri, a Director of the Company beginning June 9, 2021 is an employee and Managing Director of Progress but is not a principal shareholder nor an executive officer of Progress.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color w:val="auto"/>
        </w:rPr>
        <w:t>–</w:t>
      </w:r>
      <w:r>
        <w:rPr>
          <w:rFonts w:ascii="Arial" w:cs="Arial" w:eastAsia="Arial" w:hAnsi="Arial"/>
          <w:sz w:val="18"/>
          <w:szCs w:val="18"/>
          <w:b w:val="1"/>
          <w:bCs w:val="1"/>
          <w:color w:val="auto"/>
        </w:rPr>
        <w:t xml:space="preserve">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26, 2021, the Company completed the Offering of 1,642,856 shares of its common stock at a public offering price of $7.00 per share, including 214,285 shares sold upon full exercise of the underwriter’s option to purchase additional shares, for gross proceeds of approximately $11.5 million, before deducting underwriting discounts and offering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2021, shares of common stock were issued as a result of the following non-cash transactions:</w:t>
      </w:r>
    </w:p>
    <w:p>
      <w:pPr>
        <w:spacing w:after="0" w:line="225"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first quarter of 2021, convertible notes totaling $120,000 and a portion of their accrued interest at the option of the noteholders were converted into approximately 33,000 shares of common stock of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7" w:name="page18"/>
    <w:bookmarkEnd w:id="17"/>
    <w:p>
      <w:pPr>
        <w:jc w:val="both"/>
        <w:ind w:left="660" w:hanging="328"/>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Additionally, during the three and nine months ended September 30, 2021, the Company received conversion notices from (i) the Stern Trust converting the principal amount, repayment premium and interest in the amount of approximately $3.5 million payable under the Restated Stern Note into approximately 561,000 shares of common stock, (ii) the 8% Note Investors converting principal and interest in the amount of approximately $0.4 million into approximately 180,000 shares of common stock and (iii) the 2020 Note Investors converting principal, repayment premium and interest in the amount of approximately $2.5 million into approximately 398,000 shares of common stock. The Stern Trust is owed approximately $0.7 million in interest under the Restated Stern Note, which has not been converted and remains outstanding. As a result, a total of approximately $6.1 million of Company indebtedness was converted and the Company issued approximately 1,138,000 shares of common stock in the aggregate.</w:t>
      </w:r>
    </w:p>
    <w:p>
      <w:pPr>
        <w:spacing w:after="0" w:line="19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warrant and stock option holders exercised their respective warrants and stock options by means of the cashless exercise feature and were issued approximately 549,000 common shares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warrant activity for the nine months ended September 30,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Weighted</w:t>
            </w: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19"/>
                <w:szCs w:val="19"/>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Number of</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Exercise</w:t>
            </w:r>
          </w:p>
        </w:tc>
        <w:tc>
          <w:tcPr>
            <w:tcW w:w="2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Shares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Price</w:t>
            </w:r>
          </w:p>
        </w:tc>
        <w:tc>
          <w:tcPr>
            <w:tcW w:w="200" w:type="dxa"/>
            <w:vAlign w:val="bottom"/>
          </w:tcPr>
          <w:p>
            <w:pPr>
              <w:spacing w:after="0"/>
              <w:rPr>
                <w:sz w:val="20"/>
                <w:szCs w:val="20"/>
                <w:color w:val="auto"/>
              </w:rPr>
            </w:pPr>
          </w:p>
        </w:tc>
        <w:tc>
          <w:tcPr>
            <w:tcW w:w="1220" w:type="dxa"/>
            <w:vAlign w:val="bottom"/>
          </w:tcPr>
          <w:p>
            <w:pPr>
              <w:ind w:left="460"/>
              <w:spacing w:after="0"/>
              <w:rPr>
                <w:sz w:val="20"/>
                <w:szCs w:val="20"/>
                <w:color w:val="auto"/>
              </w:rPr>
            </w:pPr>
            <w:r>
              <w:rPr>
                <w:rFonts w:ascii="Arial" w:cs="Arial" w:eastAsia="Arial" w:hAnsi="Arial"/>
                <w:sz w:val="18"/>
                <w:szCs w:val="18"/>
                <w:color w:val="auto"/>
              </w:rPr>
              <w:t>Life</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1,823,267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3.4 Years</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64,286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5"/>
              </w:rPr>
              <w:t>4.3 Years</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Exercised/cancelled</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(473,942)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 years</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Outstanding at September 30, 2021</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220" w:type="dxa"/>
            <w:vAlign w:val="bottom"/>
            <w:tcBorders>
              <w:top w:val="single" w:sz="8" w:color="CCEEFF"/>
            </w:tcBorders>
            <w:vMerge w:val="restart"/>
          </w:tcPr>
          <w:p>
            <w:pPr>
              <w:jc w:val="center"/>
              <w:spacing w:after="0"/>
              <w:rPr>
                <w:sz w:val="20"/>
                <w:szCs w:val="20"/>
                <w:color w:val="auto"/>
              </w:rPr>
            </w:pPr>
            <w:r>
              <w:rPr>
                <w:rFonts w:ascii="Arial" w:cs="Arial" w:eastAsia="Arial" w:hAnsi="Arial"/>
                <w:sz w:val="18"/>
                <w:szCs w:val="18"/>
                <w:color w:val="auto"/>
                <w:w w:val="85"/>
              </w:rPr>
              <w:t>3.2 Years</w:t>
            </w: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1,413,611</w:t>
            </w:r>
          </w:p>
        </w:tc>
        <w:tc>
          <w:tcPr>
            <w:tcW w:w="220" w:type="dxa"/>
            <w:vAlign w:val="bottom"/>
          </w:tcPr>
          <w:p>
            <w:pPr>
              <w:spacing w:after="0"/>
              <w:rPr>
                <w:sz w:val="20"/>
                <w:szCs w:val="20"/>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4.61</w:t>
            </w:r>
          </w:p>
        </w:tc>
        <w:tc>
          <w:tcPr>
            <w:tcW w:w="20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Underwriting Agreement in connection with the Offering, the Company issued underwriters warrants (the “Representative’s Warrants”) to purchase an aggregate of 64,286 shares of common stock (4.5% of the total shares issued in the Offering). The Representative’s Warrants are exercisable at a per share price of $8.75 (equal to 125% of the Offering price of the Company’s common stock). The Representative’s Warrants are exercisable for a term of four and one half years beginning on February 23,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2021, the Company determined the grant date fair value of the options granted using the Black Scholes Method and use the following assumptions: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Expected Volatility – 68-75%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Expected Term – 5.0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Risk Free Rate – 0.70- 0.78%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Dividend Rate – 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stock options for the nine months ended September 30, 2021 is summarized as follows:</w:t>
      </w:r>
    </w:p>
    <w:p>
      <w:pPr>
        <w:spacing w:after="0" w:line="225" w:lineRule="exact"/>
        <w:rPr>
          <w:sz w:val="20"/>
          <w:szCs w:val="20"/>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granted Mr. Thimot and Mr. Smith stock options to acquire 1,200,000 and 600,000 shares of common stock respectively upon their employment of which half of the options vest monthly over four years and the balance vest upon the achievement of certain market capitalization thresholds or performance conditions.</w:t>
      </w:r>
    </w:p>
    <w:p>
      <w:pPr>
        <w:spacing w:after="0" w:line="18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granted each of Mr. Kumnick and Mr. Broenniman stock options to acquire 583,333 shares of common stock that vest upon the achievement of certain market capitalization thresholds or performance conditions. In November 2021 Mr. Kumnick and Mr. Broenniman agreed to cancel 300,000 and 200,000, respectively, of these stock options in consideration of removing certain service conditions.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granted each of the four new Board of Directors as of June 2021 stock options to acquire 62,500 shares of common stock or a total of 250,000 that vest one third a year after each Annual Meeting.</w:t>
      </w:r>
    </w:p>
    <w:p>
      <w:pPr>
        <w:spacing w:after="0" w:line="17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granted the previously serving Board of Directors stock options to acquire 93,470 common shares that are vested as the services were rendered. The stock options were granted in lieu of other forms of Board of Director Compensation and was used to eliminate previously accrued Board of Director compensation. The Company also granted to each of Mr. Selzer and Mr. Stern 22,388 stock options to acquire common shares for service in 2021 prior to their resignation as Board Members. Upon their resignation as directors in June 2021, 6,997 stock options to each of them were vested and the balance was cancelled.</w:t>
      </w:r>
    </w:p>
    <w:p>
      <w:pPr>
        <w:spacing w:after="0" w:line="18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granted options to acquire 1,003,334 shares of common stock to employees. The options for 803,334 vest annually over a three-year period, 100,000 vest equally over a four-year period, and the balance of 100,000 vest upon the achievement of certain market capitalization thresholds or performance conditions.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options have a term of ten years and all options were granted at market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stock options for the nine months ended September 30, 2021,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4"/>
          </w:tcPr>
          <w:p>
            <w:pPr>
              <w:jc w:val="center"/>
              <w:ind w:right="400"/>
              <w:spacing w:after="0"/>
              <w:rPr>
                <w:sz w:val="20"/>
                <w:szCs w:val="20"/>
                <w:color w:val="auto"/>
              </w:rPr>
            </w:pPr>
            <w:r>
              <w:rPr>
                <w:rFonts w:ascii="Arial" w:cs="Arial" w:eastAsia="Arial" w:hAnsi="Arial"/>
                <w:sz w:val="18"/>
                <w:szCs w:val="18"/>
                <w:color w:val="auto"/>
                <w:w w:val="95"/>
              </w:rPr>
              <w:t>Number of</w:t>
            </w:r>
          </w:p>
        </w:tc>
        <w:tc>
          <w:tcPr>
            <w:tcW w:w="80" w:type="dxa"/>
            <w:vAlign w:val="bottom"/>
          </w:tcPr>
          <w:p>
            <w:pPr>
              <w:spacing w:after="0"/>
              <w:rPr>
                <w:sz w:val="19"/>
                <w:szCs w:val="19"/>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4"/>
          </w:tcPr>
          <w:p>
            <w:pPr>
              <w:jc w:val="center"/>
              <w:ind w:right="40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Term (Yrs.)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5,645,802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4.50</w:t>
            </w:r>
          </w:p>
        </w:tc>
        <w:tc>
          <w:tcPr>
            <w:tcW w:w="1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8,823,639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4,358,246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7.95</w:t>
            </w: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(504,804)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1.54</w:t>
            </w: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3,485,482</w:t>
            </w:r>
          </w:p>
        </w:tc>
        <w:tc>
          <w:tcPr>
            <w:tcW w:w="0" w:type="dxa"/>
            <w:vAlign w:val="bottom"/>
          </w:tcPr>
          <w:p>
            <w:pPr>
              <w:spacing w:after="0"/>
              <w:rPr>
                <w:sz w:val="1"/>
                <w:szCs w:val="1"/>
                <w:color w:val="auto"/>
              </w:rPr>
            </w:pPr>
          </w:p>
        </w:tc>
      </w:tr>
      <w:tr>
        <w:trPr>
          <w:trHeight w:val="237"/>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Forfeited/cancelled</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(177,091)</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4.30</w:t>
            </w:r>
          </w:p>
        </w:tc>
        <w:tc>
          <w:tcPr>
            <w:tcW w:w="1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2021</w:t>
            </w: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9,322,153</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6.28</w:t>
            </w:r>
          </w:p>
        </w:tc>
        <w:tc>
          <w:tcPr>
            <w:tcW w:w="1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48,380,894</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Exercisable as of September 30, 2021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4,708,113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79"/>
              </w:rPr>
              <w:t>4.5</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30,866,033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120" w:type="dxa"/>
            <w:vAlign w:val="bottom"/>
            <w:gridSpan w:val="2"/>
          </w:tcPr>
          <w:p>
            <w:pPr>
              <w:spacing w:after="0"/>
              <w:rPr>
                <w:sz w:val="20"/>
                <w:szCs w:val="20"/>
                <w:color w:val="auto"/>
              </w:rPr>
            </w:pPr>
            <w:r>
              <w:rPr>
                <w:rFonts w:ascii="Arial" w:cs="Arial" w:eastAsia="Arial" w:hAnsi="Arial"/>
                <w:sz w:val="18"/>
                <w:szCs w:val="18"/>
                <w:color w:val="auto"/>
                <w:w w:val="91"/>
              </w:rPr>
              <w:t>The following table summarizes stock option information as of September 30, 2021:</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12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w w:val="90"/>
              </w:rPr>
              <w:t>Outstanding</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Life (Yrs.)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Exercisable</w:t>
            </w:r>
          </w:p>
        </w:tc>
        <w:tc>
          <w:tcPr>
            <w:tcW w:w="0" w:type="dxa"/>
            <w:vAlign w:val="bottom"/>
          </w:tcPr>
          <w:p>
            <w:pPr>
              <w:spacing w:after="0"/>
              <w:rPr>
                <w:sz w:val="1"/>
                <w:szCs w:val="1"/>
                <w:color w:val="auto"/>
              </w:rPr>
            </w:pPr>
          </w:p>
        </w:tc>
      </w:tr>
      <w:tr>
        <w:trPr>
          <w:trHeight w:val="216"/>
        </w:trPr>
        <w:tc>
          <w:tcPr>
            <w:tcW w:w="5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$.03 - $4.00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3,664,901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3,208,347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$4.01 - $7.00</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162,784</w:t>
            </w:r>
          </w:p>
        </w:tc>
        <w:tc>
          <w:tcPr>
            <w:tcW w:w="220" w:type="dxa"/>
            <w:vAlign w:val="bottom"/>
          </w:tcPr>
          <w:p>
            <w:pPr>
              <w:spacing w:after="0"/>
              <w:rPr>
                <w:sz w:val="18"/>
                <w:szCs w:val="18"/>
                <w:color w:val="auto"/>
              </w:rPr>
            </w:pP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162,784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$7.01 - $10.00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4,007,801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270,315</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$10.01 - $13.50</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1,486,667</w:t>
            </w:r>
          </w:p>
        </w:tc>
        <w:tc>
          <w:tcPr>
            <w:tcW w:w="220" w:type="dxa"/>
            <w:vAlign w:val="bottom"/>
          </w:tcPr>
          <w:p>
            <w:pPr>
              <w:spacing w:after="0"/>
              <w:rPr>
                <w:sz w:val="19"/>
                <w:szCs w:val="19"/>
                <w:color w:val="auto"/>
              </w:rPr>
            </w:pP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1,066,667</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9,322,153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79"/>
              </w:rPr>
              <w:t>7.1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98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19" w:name="page20"/>
    <w:bookmarkEnd w:id="19"/>
    <w:p>
      <w:pPr>
        <w:jc w:val="both"/>
        <w:spacing w:after="0" w:line="286" w:lineRule="auto"/>
        <w:rPr>
          <w:sz w:val="20"/>
          <w:szCs w:val="20"/>
          <w:color w:val="auto"/>
        </w:rPr>
      </w:pPr>
      <w:r>
        <w:rPr>
          <w:rFonts w:ascii="Arial" w:cs="Arial" w:eastAsia="Arial" w:hAnsi="Arial"/>
          <w:sz w:val="17"/>
          <w:szCs w:val="17"/>
          <w:color w:val="auto"/>
        </w:rPr>
        <w:t>During the nine months ended September 30, 2021, the Company recognized approximately $3,567,000 of stock option compensation expense of which approximately $2,388,000 relates to performance-based awards of directors and officers. As of September 30, 2021, there was approximately $15,443,000 of unrecognized compensation costs related to stock options outstanding that are expected to be expensed through 2025.</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Additionally, the Company recorded approximately $1,228,000 for restricted stock expense as the Company met certain performance thresholds.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stock-based compensation expense consisting of stock options and restricted stock in the nine months ended September 30, 2021 was approximately $4,795,000.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Annual Meeting of Stockholders held on March 22, 2021, the stockholders approved and ratified an increase of 2,500,000 shares of common stock allocated to the Company’s 2017 Incentive Stock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6 for additional information regarding accrued Directors’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DIRECT FINANCING LEASE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and an entity in Colombia entered into a rental contract for the rental of 78 kiosks to provide cash collection and fare services at transportation stations. The lease term began in May 2016 when the kiosk was installed and operational and when the lease commenced. The term of the rental contract is ten years at an approximate monthly rental of $11,900. The lease has the option at the end of the lease term to purchase each unit for approximately $40. The term of the lease approximates the expected economic life of the kiosks. The lease was accounted for as a direct financing lease.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recorded the transaction as its net investment in the lease and will receive monthly payments of $11,856 before estimated executory costs, or $142,272, annually, to reduce investment in the lease and record income associated with the related amount due. Executory costs are estimated to be $1,677 per month and initial direct costs are not considered significant. The transaction resulted in incremental revenue in the quarter ended September 30, 2021 of approximately $38,000.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equipment is subject to a direct lease valued at approximately $748,000. At the inception of the lease term, the aggregate minimum future lease payments to be received is approximately $1,422,000 before executory cost. Unearned income recorded at the inception of this lease was approximately $474,000 and will be recorded over the term of the lease using the effective income rate method. Future minimum lease payments to be received under the lease for the next five years and thereafter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6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6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30,537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2022</w:t>
            </w:r>
          </w:p>
        </w:tc>
        <w:tc>
          <w:tcPr>
            <w:tcW w:w="6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122,148</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122,148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2024</w:t>
            </w:r>
          </w:p>
        </w:tc>
        <w:tc>
          <w:tcPr>
            <w:tcW w:w="6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122,148</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122,148</w:t>
            </w:r>
          </w:p>
        </w:tc>
        <w:tc>
          <w:tcPr>
            <w:tcW w:w="0" w:type="dxa"/>
            <w:vAlign w:val="bottom"/>
          </w:tcPr>
          <w:p>
            <w:pPr>
              <w:spacing w:after="0"/>
              <w:rPr>
                <w:sz w:val="1"/>
                <w:szCs w:val="1"/>
                <w:color w:val="auto"/>
              </w:rPr>
            </w:pPr>
          </w:p>
        </w:tc>
      </w:tr>
      <w:tr>
        <w:trPr>
          <w:trHeight w:val="236"/>
        </w:trPr>
        <w:tc>
          <w:tcPr>
            <w:tcW w:w="3700" w:type="dxa"/>
            <w:vAlign w:val="bottom"/>
          </w:tcPr>
          <w:p>
            <w:pPr>
              <w:spacing w:after="0"/>
              <w:rPr>
                <w:sz w:val="20"/>
                <w:szCs w:val="20"/>
                <w:color w:val="auto"/>
              </w:rPr>
            </w:pPr>
            <w:r>
              <w:rPr>
                <w:rFonts w:ascii="Arial" w:cs="Arial" w:eastAsia="Arial" w:hAnsi="Arial"/>
                <w:sz w:val="18"/>
                <w:szCs w:val="18"/>
                <w:color w:val="auto"/>
              </w:rPr>
              <w:t>Thereafter</w:t>
            </w:r>
          </w:p>
        </w:tc>
        <w:tc>
          <w:tcPr>
            <w:tcW w:w="6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40,716</w:t>
            </w:r>
          </w:p>
        </w:tc>
        <w:tc>
          <w:tcPr>
            <w:tcW w:w="0" w:type="dxa"/>
            <w:vAlign w:val="bottom"/>
          </w:tcPr>
          <w:p>
            <w:pPr>
              <w:spacing w:after="0"/>
              <w:rPr>
                <w:sz w:val="1"/>
                <w:szCs w:val="1"/>
                <w:color w:val="auto"/>
              </w:rPr>
            </w:pPr>
          </w:p>
        </w:tc>
      </w:tr>
      <w:tr>
        <w:trPr>
          <w:trHeight w:val="236"/>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w:t>
            </w:r>
          </w:p>
        </w:tc>
        <w:tc>
          <w:tcPr>
            <w:tcW w:w="63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559,845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Less deferred revenue</w:t>
            </w:r>
          </w:p>
        </w:tc>
        <w:tc>
          <w:tcPr>
            <w:tcW w:w="6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(118,929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 lease</w:t>
            </w:r>
          </w:p>
        </w:tc>
        <w:tc>
          <w:tcPr>
            <w:tcW w:w="6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440,916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6320" w:type="dxa"/>
            <w:vAlign w:val="bottom"/>
            <w:tcBorders>
              <w:top w:val="single" w:sz="8" w:color="CCEEFF"/>
              <w:bottom w:val="single" w:sz="8" w:color="CCEEFF"/>
            </w:tcBorders>
            <w:vMerge w:val="restart"/>
          </w:tcPr>
          <w:p>
            <w:pPr>
              <w:jc w:val="right"/>
              <w:ind w:right="4210"/>
              <w:spacing w:after="0"/>
              <w:rPr>
                <w:sz w:val="20"/>
                <w:szCs w:val="20"/>
                <w:color w:val="auto"/>
              </w:rPr>
            </w:pPr>
            <w:r>
              <w:rPr>
                <w:rFonts w:ascii="Arial" w:cs="Arial" w:eastAsia="Arial" w:hAnsi="Arial"/>
                <w:sz w:val="18"/>
                <w:szCs w:val="18"/>
                <w:color w:val="auto"/>
              </w:rPr>
              <w:t>17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0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12 – LEASE OBLIGATION PAYABLE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entered into a lease in March 2017 for the rental of its printer for its secured plastic and credential card products business under an arrangement that is classified as a finance lease. The leased equipment is amortized on a straight-line basis over its lease term including the last payment (61 payments) which would transfer ownership to the Company. The cost basis of the lease equipment is $163,407 and the accumulated amortization as of September 30, 2021 is $147,334. The following is a schedule showing the future minimum lease payments under finance lease by year and the present value of the minimum lease payments as of September 30, 2021. The interest rate related to the lease obligation is 12% and the maturity date is March 31,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10,774</w:t>
            </w: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10,774</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(735)</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a party to various legal or administrative proceedings arising in the ordinary course of our business. While any litigation contains an element of uncertainty, we have no reason to believe the outcome of such proceedings will have a material adverse effect on the financial condition or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i w:val="1"/>
                <w:iCs w:val="1"/>
                <w:color w:val="auto"/>
              </w:rPr>
              <w:t>Leases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For the nine months ended September 30, 2021, lease expense was approximately $141,000 inclusive of short-term leases.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w w:val="98"/>
              </w:rPr>
              <w:t>The lease related balances included in the Condensed Consolidated Balance Sheet as of September 30, 2021 were as follows: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operating lease ROU assets - included in other current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99,667</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ROU assets – included in Other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99,667</w:t>
            </w:r>
          </w:p>
        </w:tc>
        <w:tc>
          <w:tcPr>
            <w:tcW w:w="0" w:type="dxa"/>
            <w:vAlign w:val="bottom"/>
          </w:tcPr>
          <w:p>
            <w:pPr>
              <w:spacing w:after="0"/>
              <w:rPr>
                <w:sz w:val="1"/>
                <w:szCs w:val="1"/>
                <w:color w:val="auto"/>
              </w:rPr>
            </w:pPr>
          </w:p>
        </w:tc>
      </w:tr>
      <w:tr>
        <w:trPr>
          <w:trHeight w:val="21"/>
        </w:trPr>
        <w:tc>
          <w:tcPr>
            <w:tcW w:w="10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ROU liabilities – included in Accounts payable and accrued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100,290</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ROU liabilities – included in Other liabilities</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100,290</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18</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002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The weighted average lease of the remaining term is 1.0 year or less and weighted average discount rate used in the calculations was 13.55%.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maturity of the Company’s operating lease liabilities as of September 30,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34,692</w:t>
            </w: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66,564</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payments</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10020" w:type="dxa"/>
            <w:vAlign w:val="bottom"/>
            <w:tcBorders>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Imputed interest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100,290</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rents office space in Long Beach, New York at a monthly cost of $2,500. The agreement is month to month and can be terminated on 30 days’ notice.</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leased an office location in Bogota, Colombia with a base rent of approximately $8,500 per month which was adjusted for inflation when compared to its initial lease date in 2017. The lease expired in April 2021. In April 2021, MultiPay entered into a six-month lease for a monthly rental of approximately $1,375 which terminated in September 2021. In October 2021, MultiPay entered into a one-year lease for approximately $2,900 per month.</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leases space for its operation in South Africa. The current lease is through June 30, 2022 and the approximate monthly rent is $8,000.</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14 –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segment and geographic information provided in the table below is being reported consistent with the Company’s method of internal reporting. Operating segments are defined as components of an enterprise for which separate financial information is available and which is evaluated regularly by the chief operating decision maker (“CODM”) in deciding how to allocate resources and in assessing performance. The CODM regularly reviews net revenue and gross profit by geographic regions. The Company’s products and services operate in two reportable segments; identity management and payment processing.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revenue, profit/loss and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CODM evaluates performance and allocates resources based on net revenue and operating results of the geographic region as the current operations of each geography are either primarily identity management or payment processing. Identity management revenue is generated in North America and Africa and payment processing revenue is earned in South America which are the three geographic regions of the Company. We have included the lease income in payment processing as the leases are related to unattended ticketing kiosks.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Long lived assets are in North America, South America and Africa. Most assets are intangible assets recorded from the acquisition of MultiPay (South America) in 2015 and FIN Holdings (North America and Africa) in 2016. Long-lived assets for North America, South America and Africa amounted to approximately $7.7 million, $0.1 million and $0.2 million consisting of property and equipment – net, intangible assets – net and goodwill.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spacing w:after="0" w:line="308" w:lineRule="auto"/>
        <w:rPr>
          <w:sz w:val="20"/>
          <w:szCs w:val="20"/>
          <w:color w:val="auto"/>
        </w:rPr>
      </w:pPr>
      <w:r>
        <w:rPr>
          <w:rFonts w:ascii="Arial" w:cs="Arial" w:eastAsia="Arial" w:hAnsi="Arial"/>
          <w:sz w:val="17"/>
          <w:szCs w:val="17"/>
          <w:color w:val="auto"/>
        </w:rPr>
        <w:t>Analysis of revenue by segment and geographic region and reconciliation to consolidated revenue, gross profit, and net loss are provided below. The Company has included in the schedule below an allocation of corporate overhead based on management’s estimate of resource requirements.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961"/>
              <w:spacing w:after="0"/>
              <w:rPr>
                <w:sz w:val="20"/>
                <w:szCs w:val="20"/>
                <w:color w:val="auto"/>
              </w:rPr>
            </w:pPr>
            <w:r>
              <w:rPr>
                <w:rFonts w:ascii="Arial" w:cs="Arial" w:eastAsia="Arial" w:hAnsi="Arial"/>
                <w:sz w:val="18"/>
                <w:szCs w:val="18"/>
                <w:color w:val="auto"/>
              </w:rPr>
              <w:t>(Unaudited)</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621"/>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0"/>
                <w:szCs w:val="20"/>
                <w:color w:val="auto"/>
              </w:rPr>
            </w:pPr>
          </w:p>
        </w:tc>
        <w:tc>
          <w:tcPr>
            <w:tcW w:w="2320" w:type="dxa"/>
            <w:vAlign w:val="bottom"/>
            <w:gridSpan w:val="4"/>
          </w:tcPr>
          <w:p>
            <w:pPr>
              <w:jc w:val="right"/>
              <w:ind w:right="411"/>
              <w:spacing w:after="0"/>
              <w:rPr>
                <w:sz w:val="20"/>
                <w:szCs w:val="20"/>
                <w:color w:val="auto"/>
              </w:rPr>
            </w:pPr>
            <w:r>
              <w:rPr>
                <w:rFonts w:ascii="Arial" w:cs="Arial" w:eastAsia="Arial" w:hAnsi="Arial"/>
                <w:sz w:val="18"/>
                <w:szCs w:val="18"/>
                <w:color w:val="auto"/>
              </w:rPr>
              <w:t>Nine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361"/>
              <w:spacing w:after="0"/>
              <w:rPr>
                <w:sz w:val="20"/>
                <w:szCs w:val="20"/>
                <w:color w:val="auto"/>
              </w:rPr>
            </w:pPr>
            <w:r>
              <w:rPr>
                <w:rFonts w:ascii="Arial" w:cs="Arial" w:eastAsia="Arial" w:hAnsi="Arial"/>
                <w:sz w:val="18"/>
                <w:szCs w:val="18"/>
                <w:color w:val="auto"/>
                <w:w w:val="88"/>
              </w:rPr>
              <w:t>September</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88"/>
              </w:rPr>
              <w:t>September,</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ind w:right="281"/>
              <w:spacing w:after="0"/>
              <w:rPr>
                <w:sz w:val="20"/>
                <w:szCs w:val="20"/>
                <w:color w:val="auto"/>
              </w:rPr>
            </w:pPr>
            <w:r>
              <w:rPr>
                <w:rFonts w:ascii="Arial" w:cs="Arial" w:eastAsia="Arial" w:hAnsi="Arial"/>
                <w:sz w:val="18"/>
                <w:szCs w:val="18"/>
                <w:color w:val="auto"/>
                <w:w w:val="88"/>
              </w:rPr>
              <w:t>September,</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88"/>
              </w:rPr>
              <w:t>September,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162,433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176,448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464,181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445,700</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South America</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89,581</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106,453</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275,179</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292,208</w:t>
            </w:r>
          </w:p>
        </w:tc>
        <w:tc>
          <w:tcPr>
            <w:tcW w:w="0" w:type="dxa"/>
            <w:vAlign w:val="bottom"/>
          </w:tcPr>
          <w:p>
            <w:pPr>
              <w:spacing w:after="0"/>
              <w:rPr>
                <w:sz w:val="1"/>
                <w:szCs w:val="1"/>
                <w:color w:val="auto"/>
              </w:rPr>
            </w:pPr>
          </w:p>
        </w:tc>
      </w:tr>
      <w:tr>
        <w:trPr>
          <w:trHeight w:val="24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2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276,335</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232,791</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955,769</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892,692</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bottom w:val="single" w:sz="8" w:color="CCEEFF"/>
            </w:tcBorders>
          </w:tcPr>
          <w:p>
            <w:pPr>
              <w:spacing w:after="0"/>
              <w:rPr>
                <w:sz w:val="18"/>
                <w:szCs w:val="18"/>
                <w:color w:val="auto"/>
              </w:rPr>
            </w:pPr>
          </w:p>
        </w:tc>
        <w:tc>
          <w:tcPr>
            <w:tcW w:w="23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528,349</w:t>
            </w:r>
          </w:p>
        </w:tc>
        <w:tc>
          <w:tcPr>
            <w:tcW w:w="2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515,692</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1,695,129</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1,630,600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Identity Management</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438,768</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409,239</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1,419,950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1,338,392</w:t>
            </w:r>
          </w:p>
        </w:tc>
        <w:tc>
          <w:tcPr>
            <w:tcW w:w="0" w:type="dxa"/>
            <w:vAlign w:val="bottom"/>
          </w:tcPr>
          <w:p>
            <w:pPr>
              <w:spacing w:after="0"/>
              <w:rPr>
                <w:sz w:val="1"/>
                <w:szCs w:val="1"/>
                <w:color w:val="auto"/>
              </w:rPr>
            </w:pPr>
          </w:p>
        </w:tc>
      </w:tr>
      <w:tr>
        <w:trPr>
          <w:trHeight w:val="25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Payment Processing</w:t>
            </w:r>
          </w:p>
        </w:tc>
        <w:tc>
          <w:tcPr>
            <w:tcW w:w="2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89,581</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106,453</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275,179</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292,208</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bottom w:val="single" w:sz="8" w:color="CCEEFF"/>
            </w:tcBorders>
          </w:tcPr>
          <w:p>
            <w:pPr>
              <w:spacing w:after="0"/>
              <w:rPr>
                <w:sz w:val="18"/>
                <w:szCs w:val="18"/>
                <w:color w:val="auto"/>
              </w:rPr>
            </w:pPr>
          </w:p>
        </w:tc>
        <w:tc>
          <w:tcPr>
            <w:tcW w:w="23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528,349</w:t>
            </w:r>
          </w:p>
        </w:tc>
        <w:tc>
          <w:tcPr>
            <w:tcW w:w="2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515,692</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1,695,129</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1,630,600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(3,614,358)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(562,729)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(6,902,429)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(1,536,138)</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South America</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(1,655,667)</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(937,281)</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(3,440,771)</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(4,852,094)</w:t>
            </w:r>
          </w:p>
        </w:tc>
        <w:tc>
          <w:tcPr>
            <w:tcW w:w="0" w:type="dxa"/>
            <w:vAlign w:val="bottom"/>
          </w:tcPr>
          <w:p>
            <w:pPr>
              <w:spacing w:after="0"/>
              <w:rPr>
                <w:sz w:val="1"/>
                <w:szCs w:val="1"/>
                <w:color w:val="auto"/>
              </w:rPr>
            </w:pPr>
          </w:p>
        </w:tc>
      </w:tr>
      <w:tr>
        <w:trPr>
          <w:trHeight w:val="25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2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(392,624)</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(211,276)</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(796,946)</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(802,283)</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bottom w:val="single" w:sz="8" w:color="CCEEFF"/>
            </w:tcBorders>
          </w:tcPr>
          <w:p>
            <w:pPr>
              <w:spacing w:after="0"/>
              <w:rPr>
                <w:sz w:val="18"/>
                <w:szCs w:val="18"/>
                <w:color w:val="auto"/>
              </w:rPr>
            </w:pPr>
          </w:p>
        </w:tc>
        <w:tc>
          <w:tcPr>
            <w:tcW w:w="23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(5,662,649</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(1,711,286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(11,140,146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(7,190,515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Identity Management</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(4,010,982)</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(774,005)</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(7,699,375)</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(2,338,421)</w:t>
            </w:r>
          </w:p>
        </w:tc>
        <w:tc>
          <w:tcPr>
            <w:tcW w:w="0" w:type="dxa"/>
            <w:vAlign w:val="bottom"/>
          </w:tcPr>
          <w:p>
            <w:pPr>
              <w:spacing w:after="0"/>
              <w:rPr>
                <w:sz w:val="1"/>
                <w:szCs w:val="1"/>
                <w:color w:val="auto"/>
              </w:rPr>
            </w:pPr>
          </w:p>
        </w:tc>
      </w:tr>
      <w:tr>
        <w:trPr>
          <w:trHeight w:val="25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Payment Processing</w:t>
            </w:r>
          </w:p>
        </w:tc>
        <w:tc>
          <w:tcPr>
            <w:tcW w:w="2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(1,655,667)</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(937,281)</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(3,440,771)</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(4,852,094)</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bottom w:val="single" w:sz="8" w:color="CCEEFF"/>
            </w:tcBorders>
          </w:tcPr>
          <w:p>
            <w:pPr>
              <w:spacing w:after="0"/>
              <w:rPr>
                <w:sz w:val="18"/>
                <w:szCs w:val="18"/>
                <w:color w:val="auto"/>
              </w:rPr>
            </w:pPr>
          </w:p>
        </w:tc>
        <w:tc>
          <w:tcPr>
            <w:tcW w:w="23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(5,662,649</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(1,711,286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(11,140,146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(7,190,515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Interest Expense</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(25,780)</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(212,658)</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(579,768)</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(701,861)</w:t>
            </w:r>
          </w:p>
        </w:tc>
        <w:tc>
          <w:tcPr>
            <w:tcW w:w="0" w:type="dxa"/>
            <w:vAlign w:val="bottom"/>
          </w:tcPr>
          <w:p>
            <w:pPr>
              <w:spacing w:after="0"/>
              <w:rPr>
                <w:sz w:val="1"/>
                <w:szCs w:val="1"/>
                <w:color w:val="auto"/>
              </w:rPr>
            </w:pPr>
          </w:p>
        </w:tc>
      </w:tr>
      <w:tr>
        <w:trPr>
          <w:trHeight w:val="237"/>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2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492,498</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16,779</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985,916</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(1,301,192)</w:t>
            </w:r>
          </w:p>
        </w:tc>
        <w:tc>
          <w:tcPr>
            <w:tcW w:w="0" w:type="dxa"/>
            <w:vAlign w:val="bottom"/>
          </w:tcPr>
          <w:p>
            <w:pPr>
              <w:spacing w:after="0"/>
              <w:rPr>
                <w:sz w:val="1"/>
                <w:szCs w:val="1"/>
                <w:color w:val="auto"/>
              </w:rPr>
            </w:pPr>
          </w:p>
        </w:tc>
      </w:tr>
      <w:tr>
        <w:trPr>
          <w:trHeight w:val="216"/>
        </w:trPr>
        <w:tc>
          <w:tcPr>
            <w:tcW w:w="36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(3,015,256)</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(1,907,165)</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9"/>
              </w:rPr>
              <w:t>(10,733,998)</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(9,193,568)</w:t>
            </w:r>
          </w:p>
        </w:tc>
        <w:tc>
          <w:tcPr>
            <w:tcW w:w="0" w:type="dxa"/>
            <w:vAlign w:val="bottom"/>
          </w:tcPr>
          <w:p>
            <w:pPr>
              <w:spacing w:after="0"/>
              <w:rPr>
                <w:sz w:val="1"/>
                <w:szCs w:val="1"/>
                <w:color w:val="auto"/>
              </w:rPr>
            </w:pPr>
          </w:p>
        </w:tc>
      </w:tr>
      <w:tr>
        <w:trPr>
          <w:trHeight w:val="216"/>
        </w:trPr>
        <w:tc>
          <w:tcPr>
            <w:tcW w:w="36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(2,974)</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(11,074)</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(12,516)</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(23,540)</w:t>
            </w:r>
          </w:p>
        </w:tc>
        <w:tc>
          <w:tcPr>
            <w:tcW w:w="0" w:type="dxa"/>
            <w:vAlign w:val="bottom"/>
          </w:tcPr>
          <w:p>
            <w:pPr>
              <w:spacing w:after="0"/>
              <w:rPr>
                <w:sz w:val="1"/>
                <w:szCs w:val="1"/>
                <w:color w:val="auto"/>
              </w:rPr>
            </w:pPr>
          </w:p>
        </w:tc>
      </w:tr>
      <w:tr>
        <w:trPr>
          <w:trHeight w:val="216"/>
        </w:trPr>
        <w:tc>
          <w:tcPr>
            <w:tcW w:w="36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1"/>
              <w:spacing w:after="0" w:line="256" w:lineRule="exact"/>
              <w:rPr>
                <w:sz w:val="20"/>
                <w:szCs w:val="20"/>
                <w:color w:val="auto"/>
              </w:rPr>
            </w:pPr>
            <w:r>
              <w:rPr>
                <w:rFonts w:ascii="Arial" w:cs="Arial" w:eastAsia="Arial" w:hAnsi="Arial"/>
                <w:sz w:val="16"/>
                <w:szCs w:val="16"/>
                <w:color w:val="auto"/>
              </w:rPr>
              <w:t>(5,198,905</w:t>
            </w:r>
            <w:r>
              <w:rPr>
                <w:rFonts w:ascii="Arial" w:cs="Arial" w:eastAsia="Arial" w:hAnsi="Arial"/>
                <w:sz w:val="29"/>
                <w:szCs w:val="29"/>
                <w:color w:val="auto"/>
                <w:vertAlign w:val="superscript"/>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(1,918,239</w:t>
            </w:r>
            <w:r>
              <w:rPr>
                <w:rFonts w:ascii="Arial" w:cs="Arial" w:eastAsia="Arial" w:hAnsi="Arial"/>
                <w:sz w:val="29"/>
                <w:szCs w:val="29"/>
                <w:color w:val="auto"/>
                <w:vertAlign w:val="superscript"/>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(10,746,514</w:t>
            </w:r>
            <w:r>
              <w:rPr>
                <w:rFonts w:ascii="Arial" w:cs="Arial" w:eastAsia="Arial" w:hAnsi="Arial"/>
                <w:sz w:val="29"/>
                <w:szCs w:val="29"/>
                <w:color w:val="auto"/>
                <w:vertAlign w:val="superscript"/>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(9,217,108</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the Company had an accumulated deficit of approximately $109.0 million. For the nine months ended September 30, 2021, the Company earned revenue of approximately $1.7 million and incurred a loss from operations of approximately $11.1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reports of our independent registered public accounting firm on our consolidated financial statements for the years ended December 31, 2020 and 2019 contained an explanatory paragraph regarding our ability to continue as a going concern based upon our net losses.</w:t>
      </w:r>
    </w:p>
    <w:p>
      <w:pPr>
        <w:spacing w:after="0" w:line="17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These unaudited condensed consolidated financial statements have been prepared on a going concern basis, which implies the Company will continue to meet its obligations and continue its operations for the next fiscal year. The continuation of the Company as a going concern is dependent upon financial support from the Company’s current shareholders, the ability of the Company to obtain additional equity financing to continue operations, the Company’s ability to generate sufficient cash flows from operations, successfully locating and negotiating with other business entities for potential acquisition and /or acquiring new clients to generate revenues and cash flows.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January 2021, the Company received a second loan of approximately $486,000 under the PPP of the USSBA related to its U.S. operations. The first PPP loan was received in 2020 and both of the PPP loans were forgiven as the Company met the applicable requirements.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26, 2021, the Company’s completed its public offering (the “Offering”) of 1,642,856 shares of its common stock at a public offering price of $7.00 per share, including 214,285 shares sold upon full exercise of the underwriter’s option to purchase additional shares, for gross proceeds of approximately $11.5 million, before deducting underwriting discounts and offering expenses.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November 2021, the Company filed an S-3 to register an indeterminate number of securities of each identified class of securities up to a proposed aggregate offering price of $200,000,000, which may from time to time be offered in unspecified numbers and at indeterminate prices.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no assurance that the Company will ever be profitable or be able to secure funding or generate sufficient revenues to sustain operations. As such, there is substantial doubt about the Company’s ability to continue as a going concern. These unaudited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authID.ai (Ipsidy Inc.) is a leading provider of secure, mobile, biometric identity verification software products delivered by an easy to integrate Identity as a Service (IDaaS) platform. Our mission is to eliminate all passwords and to be the preferred global platform for biometric identity authentication. Our vision is to enable every organization to “Recognise Your Customer” instantly, without friction or loss of privacy, powered by the most sophisticated biometric and artificial intelligence technologies.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explosive growth in online and mobile commerce, telemedicine, remote working and digital activities of all descriptions is self-evident to everyone who lived into 2021. Identity theft, phishing attacks, spear-phishing, password vulnerabilities, account takeovers, benefits fraud - words that have entered our daily lexicon it seems like overnight. These risks are significant impediments to the operations and growth of any business or organization, and dealing with the consequences of these criminal activities has created significant friction in both time, cost and lost opportunity. Consider all the methods that organizations have had to implement in order to prevent fraud. The requests to receive and enter one-time passwords. The maddening questions you get asked – whether on-line or when reaching out to a call center – what was your first pet’s name? who was your best friend in high school? These steps all add up to friction, making it difficult for consumers to login, transact and execute daily tasks. Surely there is a better way to address these challenges? authID.ai believes there 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8"/>
          <w:szCs w:val="18"/>
          <w:color w:val="auto"/>
        </w:rPr>
        <w:t>authID.ai provides secure, biometric, identity verification, FIDO2 passwordless login and strong customer authentication. We maintain a global, cloud-based, IDaaS platform for our enterprise customers to enable their users to easily verify and authenticate their identity through a mobile phone or portable device of their choosing (as opposed to dedicated hardware). We establish a proven identity, creating a root of trust that ensures the highest level of assurance for our passwordless login and step-up verification products. Our system enables participants to consent to transactions using their biometric information with a digitally signed authentication response, embedding the underlying transaction data and each user’s identity attributes within every electronic transaction message processed through our platform.</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Digital transformation across all market segments requires trusted identity. Our identity platform offers innovative solutions that are flexible, fast and easy to integrate and offer seamless user experiences. authID’s products help advance digital transformation efforts without the fear of identity fraud, while delivering frictionless user experiences. We believe that it is also essential that every electronic transaction has an audit trail, proving that the identity of the individual was duly authenticated. Our platform provides biometric and multi-factor identity software, which are intended to establish, authenticate, and verify identity across a wide range of use cases and electronic transactions.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authID ’s products focus on the broad requirement for enabling frictionless commerce by allowing an entity to instantly “Recognise their Customer”. Organizations of all descriptions require cost-effective and secure means of growing their business while mitigating identity fraud. We aim to offer our enterprise customers products that can be integrated easily into each of their business and organizational operations, in order to facilitate their adoption and enhance the end user customer experience.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management believes that some of the advantages of our IDaaS Platform approach are the ability to leverage the platform to support a variety of vertical markets and the adaptability of the platform to the requirements of new markets and new products requiring cost-effective, secure, and configurable mobile solutions. Our target markets include banking, fintech and other disrupters of traditional commerce, small and medium sized businesses, and system integrators working with government and Fortune 1000 enterprises. At its core, the Company’s offering, combining its proprietary and acquired biometric and artificial intelligence technologies (or AI), is intended to facilitate frictionless commerce, whether in the physical or digital world. The Company intends to increase its investment in developing, patenting, and acquiring the various elements necessary to enhance the platform, which are intended to allow us to achieve our goals. One of the principal intended areas of investment is to enhance and expand our use of artificial intelligence in proprietary software, that we believe will increase our value to enterprise customers and stockholders alike.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authid.ai is dedicated to developing advanced methods of protecting consumer privacy and deploying ethical and socially responsible AI. authID is developing a culture that proactively encourages and rewards our employees for considering the ethical implications of our products. We believe that a proactive commitment to ethical AI presents a strong business opportunity for authID and will enable us to bring more accurate products to market more quickly and with less risk to better serve our global user base. Our methods to achieve ethical AI include engaging the users of our products with informed consent, prioritizing the security of our user’s personal information, considering and avoiding potential bias in our algorithms, and monitoring of algorithm performance in our applications.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was incorporated in the State of Delaware on September 21, 2011 and changed its name to Ipsidy Inc. on February 1, 2017, and our common stock is currently (beginning July 13, 2021) traded on the NASDAQ under the trading symbol “AUID”. Our corporate headquarters is located at 670 Long Beach Blvd., Long Beach, NY 11561 and our main phone number is (516) 274-8700. We maintain a website at www.authID.ai. The contents of our website are not incorporated into, or otherwise to be regarded as part of, this Quarterly Report on Form 10-Q</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discussion includes information about Adjusted EBITDA that is not prepared in accordance with GAAP. Adjusted EBITDA is not based on any standardized methodology prescribed by GAAP and is not necessarily comparable to similar measures presented by other companies. A reconciliation of this non-GAAP measure is included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Adjusted EBITDA is a non-GAAP financial measure that represents GAAP net income (loss) adjusted to exclude (1) interest expense, (2) interest income,</w:t>
      </w:r>
    </w:p>
    <w:p>
      <w:pPr>
        <w:spacing w:after="0" w:line="46" w:lineRule="exact"/>
        <w:rPr>
          <w:sz w:val="20"/>
          <w:szCs w:val="20"/>
          <w:color w:val="auto"/>
        </w:rPr>
      </w:pPr>
    </w:p>
    <w:p>
      <w:pPr>
        <w:ind w:right="20" w:firstLine="8"/>
        <w:spacing w:after="0" w:line="260" w:lineRule="auto"/>
        <w:tabs>
          <w:tab w:leader="none" w:pos="2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provision for income taxes, (4) depreciation and amortization, (5) stock-based compensation expense (stock options and restricted stock) and (6) certain other items management believes affect the comparability of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Other items include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2021:</w:t>
      </w:r>
    </w:p>
    <w:p>
      <w:pPr>
        <w:spacing w:after="0" w:line="225" w:lineRule="exact"/>
        <w:rPr>
          <w:sz w:val="20"/>
          <w:szCs w:val="20"/>
          <w:color w:val="auto"/>
        </w:rPr>
      </w:pPr>
    </w:p>
    <w:p>
      <w:pPr>
        <w:ind w:right="6600" w:firstLine="332"/>
        <w:spacing w:after="0" w:line="500"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Gain on extinguishment of notes payable - $1.0 million For the nine months ended September 30, 2020:</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on extinguishment of debt of $1.0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Impairment loss of $0.9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Warrant exercise inducement expense $0.4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Severance expense $0.4 million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believes that Adjusted EBITDA, when viewed with our results under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 and it will be a focus as we invest in and grow the business. Additionally, we will continue to use Adjusted EBITDA in connection with our executive performance-based compensation in 2021.</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7" w:name="page28"/>
    <w:bookmarkEnd w:id="27"/>
    <w:p>
      <w:pPr>
        <w:ind w:right="20"/>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it in isolation from, or as a substitute for, analysis of our results as reported under GAAP. Some of these limitations are:</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our cash expenditures or future requirements for capital expenditures or contractual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include the impact of certain charges or gains resulting from matters we consider not to be indicative of our ongoing operations.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GAAP results and using Adjusted EBITDA only as a supplement to our GAAP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Reconciliation of Net Loss to Adjusted EBITDA</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2"/>
        </w:trPr>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right"/>
              <w:ind w:right="660"/>
              <w:spacing w:after="0"/>
              <w:rPr>
                <w:sz w:val="20"/>
                <w:szCs w:val="20"/>
                <w:color w:val="auto"/>
              </w:rPr>
            </w:pPr>
            <w:r>
              <w:rPr>
                <w:rFonts w:ascii="Arial" w:cs="Arial" w:eastAsia="Arial" w:hAnsi="Arial"/>
                <w:sz w:val="18"/>
                <w:szCs w:val="18"/>
                <w:color w:val="auto"/>
              </w:rPr>
              <w:t>For the Quarter Ended</w:t>
            </w:r>
          </w:p>
        </w:tc>
        <w:tc>
          <w:tcPr>
            <w:tcW w:w="160" w:type="dxa"/>
            <w:vAlign w:val="bottom"/>
          </w:tcPr>
          <w:p>
            <w:pPr>
              <w:spacing w:after="0"/>
              <w:rPr>
                <w:sz w:val="24"/>
                <w:szCs w:val="24"/>
                <w:color w:val="auto"/>
              </w:rPr>
            </w:pPr>
          </w:p>
        </w:tc>
        <w:tc>
          <w:tcPr>
            <w:tcW w:w="2380" w:type="dxa"/>
            <w:vAlign w:val="bottom"/>
            <w:gridSpan w:val="6"/>
          </w:tcPr>
          <w:p>
            <w:pPr>
              <w:jc w:val="right"/>
              <w:ind w:right="320"/>
              <w:spacing w:after="0"/>
              <w:rPr>
                <w:sz w:val="20"/>
                <w:szCs w:val="20"/>
                <w:color w:val="auto"/>
              </w:rPr>
            </w:pPr>
            <w:r>
              <w:rPr>
                <w:rFonts w:ascii="Arial" w:cs="Arial" w:eastAsia="Arial" w:hAnsi="Arial"/>
                <w:sz w:val="18"/>
                <w:szCs w:val="18"/>
                <w:color w:val="auto"/>
                <w:w w:val="92"/>
              </w:rPr>
              <w:t>For the Nine Months Ended</w:t>
            </w:r>
          </w:p>
        </w:tc>
      </w:tr>
      <w:tr>
        <w:trPr>
          <w:trHeight w:val="202"/>
        </w:trPr>
        <w:tc>
          <w:tcPr>
            <w:tcW w:w="5980" w:type="dxa"/>
            <w:vAlign w:val="bottom"/>
          </w:tcPr>
          <w:p>
            <w:pPr>
              <w:spacing w:after="0"/>
              <w:rPr>
                <w:sz w:val="17"/>
                <w:szCs w:val="17"/>
                <w:color w:val="auto"/>
              </w:rPr>
            </w:pPr>
          </w:p>
        </w:tc>
        <w:tc>
          <w:tcPr>
            <w:tcW w:w="1380" w:type="dxa"/>
            <w:vAlign w:val="bottom"/>
            <w:tcBorders>
              <w:top w:val="single" w:sz="8" w:color="auto"/>
            </w:tcBorders>
            <w:gridSpan w:val="3"/>
          </w:tcPr>
          <w:p>
            <w:pPr>
              <w:jc w:val="center"/>
              <w:ind w:right="260"/>
              <w:spacing w:after="0" w:line="201" w:lineRule="exact"/>
              <w:rPr>
                <w:sz w:val="20"/>
                <w:szCs w:val="20"/>
                <w:color w:val="auto"/>
              </w:rPr>
            </w:pPr>
            <w:r>
              <w:rPr>
                <w:rFonts w:ascii="Arial" w:cs="Arial" w:eastAsia="Arial" w:hAnsi="Arial"/>
                <w:sz w:val="18"/>
                <w:szCs w:val="18"/>
                <w:color w:val="auto"/>
                <w:w w:val="88"/>
              </w:rPr>
              <w:t>September 30,</w:t>
            </w:r>
          </w:p>
        </w:tc>
        <w:tc>
          <w:tcPr>
            <w:tcW w:w="112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w w:val="91"/>
              </w:rPr>
              <w:t>September 30,</w:t>
            </w:r>
          </w:p>
        </w:tc>
        <w:tc>
          <w:tcPr>
            <w:tcW w:w="220" w:type="dxa"/>
            <w:vAlign w:val="bottom"/>
          </w:tcPr>
          <w:p>
            <w:pPr>
              <w:spacing w:after="0"/>
              <w:rPr>
                <w:sz w:val="17"/>
                <w:szCs w:val="17"/>
                <w:color w:val="auto"/>
              </w:rPr>
            </w:pPr>
          </w:p>
        </w:tc>
        <w:tc>
          <w:tcPr>
            <w:tcW w:w="1320" w:type="dxa"/>
            <w:vAlign w:val="bottom"/>
            <w:tcBorders>
              <w:top w:val="single" w:sz="8" w:color="auto"/>
            </w:tcBorders>
            <w:gridSpan w:val="3"/>
          </w:tcPr>
          <w:p>
            <w:pPr>
              <w:ind w:left="20"/>
              <w:spacing w:after="0" w:line="201" w:lineRule="exact"/>
              <w:rPr>
                <w:sz w:val="20"/>
                <w:szCs w:val="20"/>
                <w:color w:val="auto"/>
              </w:rPr>
            </w:pPr>
            <w:r>
              <w:rPr>
                <w:rFonts w:ascii="Arial" w:cs="Arial" w:eastAsia="Arial" w:hAnsi="Arial"/>
                <w:sz w:val="18"/>
                <w:szCs w:val="18"/>
                <w:color w:val="auto"/>
              </w:rPr>
              <w:t>September 30,</w:t>
            </w:r>
          </w:p>
        </w:tc>
        <w:tc>
          <w:tcPr>
            <w:tcW w:w="112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w w:val="91"/>
              </w:rPr>
              <w:t>September 30,</w:t>
            </w:r>
          </w:p>
        </w:tc>
        <w:tc>
          <w:tcPr>
            <w:tcW w:w="100" w:type="dxa"/>
            <w:vAlign w:val="bottom"/>
            <w:gridSpan w:val="2"/>
          </w:tcPr>
          <w:p>
            <w:pPr>
              <w:spacing w:after="0"/>
              <w:rPr>
                <w:sz w:val="17"/>
                <w:szCs w:val="17"/>
                <w:color w:val="auto"/>
              </w:rPr>
            </w:pPr>
          </w:p>
        </w:tc>
      </w:tr>
      <w:tr>
        <w:trPr>
          <w:trHeight w:val="237"/>
        </w:trPr>
        <w:tc>
          <w:tcPr>
            <w:tcW w:w="5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(5,198,905)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(1,918,239)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(10,746,514)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(9,217,108)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Add Back:</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25,780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212,658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579,768</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701,861</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Debt extinguishment – loss/(gain)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(485,762)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(971,522)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985,842</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Warrant exercise inducement expense</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366,795</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Severance cost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426,175</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expense/(income)</w:t>
            </w: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(6,736)</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(16,779)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(14,394)</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(51,445)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319,017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276,232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943,436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923,563</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Taxes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2,974</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11,074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12,516</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23,540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1,035,629</w:t>
            </w:r>
          </w:p>
        </w:tc>
        <w:tc>
          <w:tcPr>
            <w:tcW w:w="8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Stock compensation</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2,533,943</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112,125</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4,795,069</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741,668</w:t>
            </w:r>
          </w:p>
        </w:tc>
        <w:tc>
          <w:tcPr>
            <w:tcW w:w="8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5980" w:type="dxa"/>
            <w:vAlign w:val="bottom"/>
          </w:tcPr>
          <w:p>
            <w:pPr>
              <w:spacing w:after="0"/>
              <w:rPr>
                <w:sz w:val="20"/>
                <w:szCs w:val="20"/>
                <w:color w:val="auto"/>
              </w:rPr>
            </w:pPr>
            <w:r>
              <w:rPr>
                <w:rFonts w:ascii="Arial" w:cs="Arial" w:eastAsia="Arial" w:hAnsi="Arial"/>
                <w:sz w:val="18"/>
                <w:szCs w:val="18"/>
                <w:color w:val="auto"/>
              </w:rPr>
              <w:t>Adjusted EBITDA (Non-GAAP)</w:t>
            </w: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line="256" w:lineRule="exact"/>
              <w:rPr>
                <w:sz w:val="20"/>
                <w:szCs w:val="20"/>
                <w:color w:val="auto"/>
              </w:rPr>
            </w:pPr>
            <w:r>
              <w:rPr>
                <w:rFonts w:ascii="Arial" w:cs="Arial" w:eastAsia="Arial" w:hAnsi="Arial"/>
                <w:sz w:val="16"/>
                <w:szCs w:val="16"/>
                <w:color w:val="auto"/>
              </w:rPr>
              <w:t>(2,809,689</w:t>
            </w:r>
            <w:r>
              <w:rPr>
                <w:rFonts w:ascii="Arial" w:cs="Arial" w:eastAsia="Arial" w:hAnsi="Arial"/>
                <w:sz w:val="29"/>
                <w:szCs w:val="29"/>
                <w:color w:val="auto"/>
                <w:vertAlign w:val="superscript"/>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(1,322,929</w:t>
            </w:r>
            <w:r>
              <w:rPr>
                <w:rFonts w:ascii="Arial" w:cs="Arial" w:eastAsia="Arial" w:hAnsi="Arial"/>
                <w:sz w:val="29"/>
                <w:szCs w:val="29"/>
                <w:color w:val="auto"/>
                <w:vertAlign w:val="superscript"/>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(5,401,641</w:t>
            </w:r>
            <w:r>
              <w:rPr>
                <w:rFonts w:ascii="Arial" w:cs="Arial" w:eastAsia="Arial" w:hAnsi="Arial"/>
                <w:sz w:val="29"/>
                <w:szCs w:val="29"/>
                <w:color w:val="auto"/>
                <w:vertAlign w:val="superscript"/>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line="256" w:lineRule="exact"/>
              <w:rPr>
                <w:sz w:val="20"/>
                <w:szCs w:val="20"/>
                <w:color w:val="auto"/>
              </w:rPr>
            </w:pPr>
            <w:r>
              <w:rPr>
                <w:rFonts w:ascii="Arial" w:cs="Arial" w:eastAsia="Arial" w:hAnsi="Arial"/>
                <w:sz w:val="16"/>
                <w:szCs w:val="16"/>
                <w:color w:val="auto"/>
              </w:rPr>
              <w:t>(4,063,480</w:t>
            </w:r>
            <w:r>
              <w:rPr>
                <w:rFonts w:ascii="Arial" w:cs="Arial" w:eastAsia="Arial" w:hAnsi="Arial"/>
                <w:sz w:val="29"/>
                <w:szCs w:val="29"/>
                <w:color w:val="auto"/>
                <w:vertAlign w:val="superscript"/>
              </w:rPr>
              <w:t>)</w:t>
            </w:r>
          </w:p>
        </w:tc>
      </w:tr>
      <w:tr>
        <w:trPr>
          <w:trHeight w:val="20"/>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Adjusted EBITDA loss for the nine months ended September 30, 2021, increased by approximately $1.3 million compared to the previous year, principally due to higher compensation, marketing and targeting technology.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2021 and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and nine months ended September 30, 2021, the Company had revenues of approximately $0.5 million and $1.7 million compared to $0.5 million and $1.6 million in the three months and nine months ended September 30, 2020. The revenue in the three and nine month periods ended September 30, 2021 was higher at Cards Plus compared to the prior year, when business was severely impacted due to Covid-19. Ipsidy, North America new revenue increased slightly in the nine month period ended September 30, 2021 and revenue at MultiPay decreased slightly in the three and nine month periods ended September 30, 2021.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September 30, 2021, cost of sales was higher than the cost of sales in the three months ended September 30, 2020, principally due to higher revenue at Cards Plus. In the nine-month period ended September 30, 2021, compared to September 30, 2020, cost of sales was lower as Cards Plus sold products at higher margins.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three-month and nine-month periods ended September 30, 2021, compared to September 30, 2020, general and administrative expense increased by approximately $3.8 million and $4.9 million due to increased compensation, marketing and technology costs in addition to higher non-cash stock compensation charges. Stock compensation charges were $2.4 million and $4.1 million higher in three and nine months ended September 30, 2021 compared to the prior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three-month and nine-month periods ended September 30, 2021, compared to September 30, 2020, research and development expenses increased by approximately $0.1 million and $0.2 million as the Company has focused resources on key products initiatives.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loss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2020, the Company recorded an impairment loss associated with goodwill of one of its reporting units of approximately $1,036,000.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current pandemic and its potential impact on future results, the Company updated its reporting unit projections, and it indicated a goodwill impairment as the carrying value was in excess of its estimated recoverable value. The fair value of the reporting unit was determined using a discounted cash flow analysis.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increased slightly both the three and nine months ended September 30, 2021 compared to September 30, 2020.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nine-month periods ended September 30, 2021, the Company recorded a gain on the extinguishment of a note payable of approximately $486,000 and $972,000, respectively, related to the forgiveness of the two Paycheck Protection Program loans as the Company met the applicable requirements.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nine months ended September 30, 2020, the Company recorded a charge of approximately $985,000 related to an extinguishment of a note payable and a charge of approximately $367,000 in connection with an inducement to certain warrant holders to exercise their outstanding warrants.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during the three months and nine months ended September 30, 2021 compared to the three and nine months ended September 30, 2020 as the Company received conversion notices from the majority of convertible noteholders in June 2021 and converted the Company’s outstanding indebtedness into common shares reducing its interest obligation.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2021 the Company had approximately $9.2 million of cash on hand and had working capital of approximately $7.4 million.</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operating activities was approximately $5.5 million and $3.1 million in the nine months ended September 30, 2021, and September 30, 2020,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2021, the Company received a second loan of approximately $486,000 under the Paycheck Protection Program of the U.S. Small Business Association (“USSBA”) related to its U.S. operations. The Company received notice in August 2021, the January 2021 Paycheck Protection Program loan was forgiven as the Company met the applicable requirements.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quarter of 2021, convertible notes totaling $120,000 and a portion of their accrued interest at the option of the noteholders were converted into approximately 33,000 shares of common stock of the Company.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in the nine months ended September 30, 2021, the Company received conversion notices from (i) the Stern Trust converting the principal amount, repayment premium and interest in the amount of approximately $3.5 million payable under the Restated Stern Note into approximately 561,000 shares of common stock, (ii) the 8% Note Investors converting principal and interest in the amount of approximately $0.4 million into approximately 180,000 shares of common stock and (iii) the 2020 Note Investors converting principal, repayment premium and interest in the amount of approximately $2.5 million into approximately 398,000 shares of common stock. The Stern Trust is owed approximately $0.7 million in interest under the Restated Stern Note, which has not been converted and remains outstanding. As a result, a total of approximately $6.1 million of Company net indebtedness was converted and the Company issued 1,138,000 shares of common stock in the aggregate.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26, 2021, the Company’s completed its public offering (the “Offering”) of 1,642,856 shares of its common stock at a public offering price of $7.00 per share, including 214,285 shares sold upon full exercise of the underwriter’s option to purchase additional shares, for gross proceeds of approximately $11.5 million, before deducting underwriting discounts and offering expenses.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order to implement and grow our operations through December 31, 2022, achieve an expected revenue stream from our products and repay our outstanding convertible debt obligation, we expect that we will need to raise approximately $5.0 to $10.0 million. There is no guarantee that our current business plan will not change and, as a result of such change, that we will need additional capital to implement such business plan.</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November 2021, the Company filed an S-3 to register an indeterminate number of securities of each identified class of securities up to a proposed aggregate offering price of $200,000,000, which may from time to time be offered in unspecified numbers and at indeterminate prices.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 19</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Covid-19 emerged globally in December 2019, and it has been declared a pandemic. Covid-19 is still impacting customers, business, results and financial condition throughout the world. The Company’s day-to-day operations have been impacted differently depending on geographic location and services that are being performed. The Cards Plus business located in South Africa operations has had limitations on its operations as they are following the guidance and requirements of the South African government. Our operations in the United States and Colombia have suffered less immediate impact as most staff can work remotely and can continue to develop our product offerings.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That said we have seen our business opportunities develop more slowly as business partners and potential customers include Covid-19 considerations.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Furthermore, working remotely can cause a delay in decision making and finalization of negotiations and agreements.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 off-balance sheet arrangements that are reasonably likely to have a current or future effect on our financial condition, changes in financial condition, revenues or expenses, results of operations, liquidity, capital expenditures or capital resources that is deemed by our management to be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Policies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recent material accounting policies that may be the most critical to understanding of the financial results and conditions are discussed in Note 1 of the unaudited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include disclosure under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end of the period covered by this Quarterly Report, our Chief Executive Officer and Chief Financial Officer performed an evaluation of the effectiveness of our disclosure controls and procedures as defined in Rules 13a-15(e) and 15d-15(e) of the Exchange Act. Based on the evaluation, the Chief Executive Officer and Chief Financial Officer concluded that, as of September 30, 2021, the Company’s disclosure controls and procedures are effective to ensure that the information required to be disclosed by the Company in the report that it files or submits under the Exchange Act is recorded, processed, summarized, and reported within the time periods specified in SEC rules and forms.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under the Exchange Act) that occurred during the nine months ended September 30, 2021 that have materially affected, or are reasonably likely to materially affect, our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a party to various legal or administrative proceedings arising in the ordinary course of business. While any litigation contains an element of uncertainty, we have no reason to believe the outcome of such proceedings will have a material adverse effect on the financial condition or results of operations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Risk factors describing the major risks to our business can be found under Item 1A, “Risk Factors”, in our Annual Report on Form 10-K for the year ended December 31, 2020. There has been no material change in our risk factors from those previously discussed in the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to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39"/>
        </w:trPr>
        <w:tc>
          <w:tcPr>
            <w:tcW w:w="1180" w:type="dxa"/>
            <w:vAlign w:val="bottom"/>
          </w:tcPr>
          <w:p>
            <w:pPr>
              <w:spacing w:after="0"/>
              <w:rPr>
                <w:sz w:val="20"/>
                <w:szCs w:val="20"/>
                <w:color w:val="auto"/>
              </w:rPr>
            </w:pPr>
            <w:r>
              <w:rPr>
                <w:rFonts w:ascii="Arial" w:cs="Arial" w:eastAsia="Arial" w:hAnsi="Arial"/>
                <w:sz w:val="18"/>
                <w:szCs w:val="18"/>
                <w:color w:val="auto"/>
                <w:w w:val="94"/>
              </w:rPr>
              <w:t>Exhibit Number</w:t>
            </w:r>
          </w:p>
        </w:tc>
        <w:tc>
          <w:tcPr>
            <w:tcW w:w="660" w:type="dxa"/>
            <w:vAlign w:val="bottom"/>
          </w:tcPr>
          <w:p>
            <w:pPr>
              <w:spacing w:after="0"/>
              <w:rPr>
                <w:sz w:val="24"/>
                <w:szCs w:val="24"/>
                <w:color w:val="auto"/>
              </w:rPr>
            </w:pPr>
          </w:p>
        </w:tc>
        <w:tc>
          <w:tcPr>
            <w:tcW w:w="9400" w:type="dxa"/>
            <w:vAlign w:val="bottom"/>
            <w:gridSpan w:val="26"/>
          </w:tcPr>
          <w:p>
            <w:pPr>
              <w:spacing w:after="0"/>
              <w:rPr>
                <w:sz w:val="20"/>
                <w:szCs w:val="20"/>
                <w:color w:val="auto"/>
              </w:rPr>
            </w:pPr>
            <w:r>
              <w:rPr>
                <w:rFonts w:ascii="Arial" w:cs="Arial" w:eastAsia="Arial" w:hAnsi="Arial"/>
                <w:sz w:val="18"/>
                <w:szCs w:val="18"/>
                <w:color w:val="auto"/>
              </w:rPr>
              <w:t>Description</w:t>
            </w:r>
          </w:p>
        </w:tc>
      </w:tr>
      <w:tr>
        <w:trPr>
          <w:trHeight w:val="176"/>
        </w:trPr>
        <w:tc>
          <w:tcPr>
            <w:tcW w:w="11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660" w:type="dxa"/>
            <w:vAlign w:val="bottom"/>
            <w:tcBorders>
              <w:top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9"/>
              </w:rPr>
              <w:t>(1)</w:t>
            </w:r>
          </w:p>
        </w:tc>
        <w:tc>
          <w:tcPr>
            <w:tcW w:w="20" w:type="dxa"/>
            <w:vAlign w:val="bottom"/>
            <w:tcBorders>
              <w:top w:val="single" w:sz="8" w:color="CCEEFF"/>
            </w:tcBorders>
            <w:shd w:val="clear" w:color="auto" w:fill="CCEEFF"/>
          </w:tcPr>
          <w:p>
            <w:pPr>
              <w:spacing w:after="0"/>
              <w:rPr>
                <w:sz w:val="15"/>
                <w:szCs w:val="15"/>
                <w:color w:val="auto"/>
              </w:rPr>
            </w:pPr>
          </w:p>
        </w:tc>
        <w:tc>
          <w:tcPr>
            <w:tcW w:w="9380" w:type="dxa"/>
            <w:vAlign w:val="bottom"/>
            <w:tcBorders>
              <w:top w:val="single" w:sz="8" w:color="auto"/>
            </w:tcBorders>
            <w:gridSpan w:val="25"/>
            <w:shd w:val="clear" w:color="auto" w:fill="CCEEFF"/>
          </w:tcPr>
          <w:p>
            <w:pPr>
              <w:spacing w:after="0" w:line="176" w:lineRule="exact"/>
              <w:rPr>
                <w:rFonts w:ascii="Arial" w:cs="Arial" w:eastAsia="Arial" w:hAnsi="Arial"/>
                <w:sz w:val="18"/>
                <w:szCs w:val="18"/>
                <w:color w:val="0000EE"/>
              </w:rPr>
            </w:pPr>
            <w:hyperlink r:id="rId40">
              <w:r>
                <w:rPr>
                  <w:rFonts w:ascii="Arial" w:cs="Arial" w:eastAsia="Arial" w:hAnsi="Arial"/>
                  <w:sz w:val="18"/>
                  <w:szCs w:val="18"/>
                  <w:color w:val="0000EE"/>
                </w:rPr>
                <w:t>Amended &amp; Restated Certificate of Incorporation</w:t>
              </w:r>
            </w:hyperlink>
          </w:p>
        </w:tc>
      </w:tr>
      <w:tr>
        <w:trPr>
          <w:trHeight w:val="20"/>
        </w:trPr>
        <w:tc>
          <w:tcPr>
            <w:tcW w:w="1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80" w:type="dxa"/>
            <w:vAlign w:val="bottom"/>
          </w:tcPr>
          <w:p>
            <w:pPr>
              <w:spacing w:after="0" w:line="176" w:lineRule="exact"/>
              <w:rPr>
                <w:sz w:val="20"/>
                <w:szCs w:val="20"/>
                <w:color w:val="auto"/>
              </w:rPr>
            </w:pPr>
            <w:r>
              <w:rPr>
                <w:rFonts w:ascii="Arial" w:cs="Arial" w:eastAsia="Arial" w:hAnsi="Arial"/>
                <w:sz w:val="18"/>
                <w:szCs w:val="18"/>
                <w:color w:val="auto"/>
              </w:rPr>
              <w:t>3.2</w:t>
            </w:r>
          </w:p>
        </w:tc>
        <w:tc>
          <w:tcPr>
            <w:tcW w:w="6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9"/>
              </w:rPr>
              <w:t>(2)</w:t>
            </w:r>
          </w:p>
        </w:tc>
        <w:tc>
          <w:tcPr>
            <w:tcW w:w="9400" w:type="dxa"/>
            <w:vAlign w:val="bottom"/>
            <w:gridSpan w:val="26"/>
          </w:tcPr>
          <w:p>
            <w:pPr>
              <w:spacing w:after="0" w:line="176" w:lineRule="exact"/>
              <w:rPr>
                <w:rFonts w:ascii="Arial" w:cs="Arial" w:eastAsia="Arial" w:hAnsi="Arial"/>
                <w:sz w:val="18"/>
                <w:szCs w:val="18"/>
                <w:color w:val="0000EE"/>
              </w:rPr>
            </w:pPr>
            <w:hyperlink r:id="rId41">
              <w:r>
                <w:rPr>
                  <w:rFonts w:ascii="Arial" w:cs="Arial" w:eastAsia="Arial" w:hAnsi="Arial"/>
                  <w:sz w:val="18"/>
                  <w:szCs w:val="18"/>
                  <w:color w:val="0000EE"/>
                </w:rPr>
                <w:t>Amended &amp; Restated Bylaws</w:t>
              </w:r>
            </w:hyperlink>
          </w:p>
        </w:tc>
      </w:tr>
      <w:tr>
        <w:trPr>
          <w:trHeight w:val="21"/>
        </w:trPr>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5"/>
        </w:trPr>
        <w:tc>
          <w:tcPr>
            <w:tcW w:w="1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3.3</w:t>
            </w:r>
          </w:p>
        </w:tc>
        <w:tc>
          <w:tcPr>
            <w:tcW w:w="66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9"/>
              </w:rPr>
              <w:t>(3)</w:t>
            </w:r>
          </w:p>
        </w:tc>
        <w:tc>
          <w:tcPr>
            <w:tcW w:w="9400" w:type="dxa"/>
            <w:vAlign w:val="bottom"/>
            <w:gridSpan w:val="26"/>
            <w:shd w:val="clear" w:color="auto" w:fill="CCEEFF"/>
          </w:tcPr>
          <w:p>
            <w:pPr>
              <w:spacing w:after="0" w:line="176" w:lineRule="exact"/>
              <w:rPr>
                <w:rFonts w:ascii="Arial" w:cs="Arial" w:eastAsia="Arial" w:hAnsi="Arial"/>
                <w:sz w:val="18"/>
                <w:szCs w:val="18"/>
                <w:color w:val="0000EE"/>
              </w:rPr>
            </w:pPr>
            <w:hyperlink r:id="rId42">
              <w:r>
                <w:rPr>
                  <w:rFonts w:ascii="Arial" w:cs="Arial" w:eastAsia="Arial" w:hAnsi="Arial"/>
                  <w:sz w:val="18"/>
                  <w:szCs w:val="18"/>
                  <w:color w:val="0000EE"/>
                </w:rPr>
                <w:t>Certificate of Amendment dated June 1, 2021</w:t>
              </w:r>
            </w:hyperlink>
          </w:p>
        </w:tc>
      </w:tr>
      <w:tr>
        <w:trPr>
          <w:trHeight w:val="21"/>
        </w:trPr>
        <w:tc>
          <w:tcPr>
            <w:tcW w:w="1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8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6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9"/>
              </w:rPr>
              <w:t>(3)</w:t>
            </w:r>
          </w:p>
        </w:tc>
        <w:tc>
          <w:tcPr>
            <w:tcW w:w="9400" w:type="dxa"/>
            <w:vAlign w:val="bottom"/>
            <w:gridSpan w:val="26"/>
          </w:tcPr>
          <w:p>
            <w:pPr>
              <w:spacing w:after="0" w:line="176" w:lineRule="exact"/>
              <w:rPr>
                <w:rFonts w:ascii="Arial" w:cs="Arial" w:eastAsia="Arial" w:hAnsi="Arial"/>
                <w:sz w:val="18"/>
                <w:szCs w:val="18"/>
                <w:color w:val="0000EE"/>
              </w:rPr>
            </w:pPr>
            <w:hyperlink r:id="rId43">
              <w:r>
                <w:rPr>
                  <w:rFonts w:ascii="Arial" w:cs="Arial" w:eastAsia="Arial" w:hAnsi="Arial"/>
                  <w:sz w:val="18"/>
                  <w:szCs w:val="18"/>
                  <w:color w:val="0000EE"/>
                </w:rPr>
                <w:t>Form of Stock Option</w:t>
              </w:r>
            </w:hyperlink>
          </w:p>
        </w:tc>
      </w:tr>
      <w:tr>
        <w:trPr>
          <w:trHeight w:val="21"/>
        </w:trPr>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5"/>
        </w:trPr>
        <w:tc>
          <w:tcPr>
            <w:tcW w:w="1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66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9"/>
              </w:rPr>
              <w:t>(4)</w:t>
            </w:r>
          </w:p>
        </w:tc>
        <w:tc>
          <w:tcPr>
            <w:tcW w:w="9400" w:type="dxa"/>
            <w:vAlign w:val="bottom"/>
            <w:gridSpan w:val="26"/>
            <w:shd w:val="clear" w:color="auto" w:fill="CCEEFF"/>
          </w:tcPr>
          <w:p>
            <w:pPr>
              <w:spacing w:after="0" w:line="176" w:lineRule="exact"/>
              <w:rPr>
                <w:rFonts w:ascii="Arial" w:cs="Arial" w:eastAsia="Arial" w:hAnsi="Arial"/>
                <w:sz w:val="18"/>
                <w:szCs w:val="18"/>
                <w:color w:val="0000EE"/>
              </w:rPr>
            </w:pPr>
            <w:hyperlink r:id="rId44">
              <w:r>
                <w:rPr>
                  <w:rFonts w:ascii="Arial" w:cs="Arial" w:eastAsia="Arial" w:hAnsi="Arial"/>
                  <w:sz w:val="18"/>
                  <w:szCs w:val="18"/>
                  <w:color w:val="0000EE"/>
                </w:rPr>
                <w:t>Form of 8.0% Convertible Note</w:t>
              </w:r>
            </w:hyperlink>
          </w:p>
        </w:tc>
      </w:tr>
      <w:tr>
        <w:trPr>
          <w:trHeight w:val="21"/>
        </w:trPr>
        <w:tc>
          <w:tcPr>
            <w:tcW w:w="1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80" w:type="dxa"/>
            <w:vAlign w:val="bottom"/>
          </w:tcPr>
          <w:p>
            <w:pPr>
              <w:spacing w:after="0" w:line="176" w:lineRule="exact"/>
              <w:rPr>
                <w:sz w:val="20"/>
                <w:szCs w:val="20"/>
                <w:color w:val="auto"/>
              </w:rPr>
            </w:pPr>
            <w:r>
              <w:rPr>
                <w:rFonts w:ascii="Arial" w:cs="Arial" w:eastAsia="Arial" w:hAnsi="Arial"/>
                <w:sz w:val="18"/>
                <w:szCs w:val="18"/>
                <w:color w:val="auto"/>
              </w:rPr>
              <w:t>4.3</w:t>
            </w:r>
          </w:p>
        </w:tc>
        <w:tc>
          <w:tcPr>
            <w:tcW w:w="6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9"/>
              </w:rPr>
              <w:t>(5)</w:t>
            </w:r>
          </w:p>
        </w:tc>
        <w:tc>
          <w:tcPr>
            <w:tcW w:w="9400" w:type="dxa"/>
            <w:vAlign w:val="bottom"/>
            <w:gridSpan w:val="26"/>
          </w:tcPr>
          <w:p>
            <w:pPr>
              <w:spacing w:after="0" w:line="176" w:lineRule="exact"/>
              <w:rPr>
                <w:rFonts w:ascii="Arial" w:cs="Arial" w:eastAsia="Arial" w:hAnsi="Arial"/>
                <w:sz w:val="18"/>
                <w:szCs w:val="18"/>
                <w:color w:val="0000EE"/>
              </w:rPr>
            </w:pPr>
            <w:hyperlink r:id="rId45">
              <w:r>
                <w:rPr>
                  <w:rFonts w:ascii="Arial" w:cs="Arial" w:eastAsia="Arial" w:hAnsi="Arial"/>
                  <w:sz w:val="18"/>
                  <w:szCs w:val="18"/>
                  <w:color w:val="0000EE"/>
                </w:rPr>
                <w:t>Form of 15.0% Convertible Note</w:t>
              </w:r>
            </w:hyperlink>
          </w:p>
        </w:tc>
      </w:tr>
      <w:tr>
        <w:trPr>
          <w:trHeight w:val="20"/>
        </w:trPr>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6"/>
        </w:trPr>
        <w:tc>
          <w:tcPr>
            <w:tcW w:w="1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66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9"/>
              </w:rPr>
              <w:t>(5)</w:t>
            </w:r>
          </w:p>
        </w:tc>
        <w:tc>
          <w:tcPr>
            <w:tcW w:w="9400" w:type="dxa"/>
            <w:vAlign w:val="bottom"/>
            <w:gridSpan w:val="26"/>
            <w:shd w:val="clear" w:color="auto" w:fill="CCEEFF"/>
          </w:tcPr>
          <w:p>
            <w:pPr>
              <w:spacing w:after="0" w:line="176" w:lineRule="exact"/>
              <w:rPr>
                <w:rFonts w:ascii="Arial" w:cs="Arial" w:eastAsia="Arial" w:hAnsi="Arial"/>
                <w:sz w:val="18"/>
                <w:szCs w:val="18"/>
                <w:color w:val="0000EE"/>
              </w:rPr>
            </w:pPr>
            <w:hyperlink r:id="rId46">
              <w:r>
                <w:rPr>
                  <w:rFonts w:ascii="Arial" w:cs="Arial" w:eastAsia="Arial" w:hAnsi="Arial"/>
                  <w:sz w:val="18"/>
                  <w:szCs w:val="18"/>
                  <w:color w:val="0000EE"/>
                </w:rPr>
                <w:t>Amended and Restated Promissory Note issued to The Theodore Stern Revocable Trust</w:t>
              </w:r>
            </w:hyperlink>
          </w:p>
        </w:tc>
      </w:tr>
      <w:tr>
        <w:trPr>
          <w:trHeight w:val="20"/>
        </w:trPr>
        <w:tc>
          <w:tcPr>
            <w:tcW w:w="1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80" w:type="dxa"/>
            <w:vAlign w:val="bottom"/>
          </w:tcPr>
          <w:p>
            <w:pPr>
              <w:spacing w:after="0" w:line="176" w:lineRule="exact"/>
              <w:rPr>
                <w:sz w:val="20"/>
                <w:szCs w:val="20"/>
                <w:color w:val="auto"/>
              </w:rPr>
            </w:pPr>
            <w:r>
              <w:rPr>
                <w:rFonts w:ascii="Arial" w:cs="Arial" w:eastAsia="Arial" w:hAnsi="Arial"/>
                <w:sz w:val="18"/>
                <w:szCs w:val="18"/>
                <w:color w:val="auto"/>
              </w:rPr>
              <w:t>4.5</w:t>
            </w:r>
          </w:p>
        </w:tc>
        <w:tc>
          <w:tcPr>
            <w:tcW w:w="6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9"/>
              </w:rPr>
              <w:t>(6)</w:t>
            </w:r>
          </w:p>
        </w:tc>
        <w:tc>
          <w:tcPr>
            <w:tcW w:w="9400" w:type="dxa"/>
            <w:vAlign w:val="bottom"/>
            <w:gridSpan w:val="26"/>
          </w:tcPr>
          <w:p>
            <w:pPr>
              <w:spacing w:after="0" w:line="176" w:lineRule="exact"/>
              <w:rPr>
                <w:rFonts w:ascii="Arial" w:cs="Arial" w:eastAsia="Arial" w:hAnsi="Arial"/>
                <w:sz w:val="18"/>
                <w:szCs w:val="18"/>
                <w:color w:val="0000EE"/>
              </w:rPr>
            </w:pPr>
            <w:hyperlink r:id="rId47">
              <w:r>
                <w:rPr>
                  <w:rFonts w:ascii="Arial" w:cs="Arial" w:eastAsia="Arial" w:hAnsi="Arial"/>
                  <w:sz w:val="18"/>
                  <w:szCs w:val="18"/>
                  <w:color w:val="0000EE"/>
                </w:rPr>
                <w:t>Paycheck Protection Program Term Note dated May 6, 2020</w:t>
              </w:r>
            </w:hyperlink>
          </w:p>
        </w:tc>
      </w:tr>
      <w:tr>
        <w:trPr>
          <w:trHeight w:val="21"/>
        </w:trPr>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5"/>
        </w:trPr>
        <w:tc>
          <w:tcPr>
            <w:tcW w:w="1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4.6</w:t>
            </w:r>
          </w:p>
        </w:tc>
        <w:tc>
          <w:tcPr>
            <w:tcW w:w="66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9"/>
              </w:rPr>
              <w:t>(7)</w:t>
            </w:r>
          </w:p>
        </w:tc>
        <w:tc>
          <w:tcPr>
            <w:tcW w:w="9400" w:type="dxa"/>
            <w:vAlign w:val="bottom"/>
            <w:gridSpan w:val="26"/>
            <w:shd w:val="clear" w:color="auto" w:fill="CCEEFF"/>
          </w:tcPr>
          <w:p>
            <w:pPr>
              <w:spacing w:after="0" w:line="176" w:lineRule="exact"/>
              <w:rPr>
                <w:rFonts w:ascii="Arial" w:cs="Arial" w:eastAsia="Arial" w:hAnsi="Arial"/>
                <w:sz w:val="18"/>
                <w:szCs w:val="18"/>
                <w:color w:val="0000EE"/>
              </w:rPr>
            </w:pPr>
            <w:hyperlink r:id="rId48">
              <w:r>
                <w:rPr>
                  <w:rFonts w:ascii="Arial" w:cs="Arial" w:eastAsia="Arial" w:hAnsi="Arial"/>
                  <w:sz w:val="18"/>
                  <w:szCs w:val="18"/>
                  <w:color w:val="0000EE"/>
                </w:rPr>
                <w:t>Paycheck Protection Program Term Note dated February 1, 2021</w:t>
              </w:r>
            </w:hyperlink>
          </w:p>
        </w:tc>
      </w:tr>
      <w:tr>
        <w:trPr>
          <w:trHeight w:val="21"/>
        </w:trPr>
        <w:tc>
          <w:tcPr>
            <w:tcW w:w="1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8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6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9"/>
              </w:rPr>
              <w:t>(3)</w:t>
            </w:r>
          </w:p>
        </w:tc>
        <w:tc>
          <w:tcPr>
            <w:tcW w:w="9400" w:type="dxa"/>
            <w:vAlign w:val="bottom"/>
            <w:gridSpan w:val="26"/>
          </w:tcPr>
          <w:p>
            <w:pPr>
              <w:spacing w:after="0" w:line="176" w:lineRule="exact"/>
              <w:rPr>
                <w:rFonts w:ascii="Arial" w:cs="Arial" w:eastAsia="Arial" w:hAnsi="Arial"/>
                <w:sz w:val="18"/>
                <w:szCs w:val="18"/>
                <w:color w:val="0000EE"/>
              </w:rPr>
            </w:pPr>
            <w:hyperlink r:id="rId49">
              <w:r>
                <w:rPr>
                  <w:rFonts w:ascii="Arial" w:cs="Arial" w:eastAsia="Arial" w:hAnsi="Arial"/>
                  <w:sz w:val="18"/>
                  <w:szCs w:val="18"/>
                  <w:color w:val="0000EE"/>
                </w:rPr>
                <w:t>Form of Director Agreement</w:t>
              </w:r>
            </w:hyperlink>
          </w:p>
        </w:tc>
      </w:tr>
      <w:tr>
        <w:trPr>
          <w:trHeight w:val="21"/>
        </w:trPr>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6"/>
        </w:trPr>
        <w:tc>
          <w:tcPr>
            <w:tcW w:w="1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66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9"/>
              </w:rPr>
              <w:t>(3)</w:t>
            </w:r>
          </w:p>
        </w:tc>
        <w:tc>
          <w:tcPr>
            <w:tcW w:w="9400" w:type="dxa"/>
            <w:vAlign w:val="bottom"/>
            <w:gridSpan w:val="26"/>
            <w:shd w:val="clear" w:color="auto" w:fill="CCEEFF"/>
          </w:tcPr>
          <w:p>
            <w:pPr>
              <w:spacing w:after="0" w:line="176" w:lineRule="exact"/>
              <w:rPr>
                <w:rFonts w:ascii="Arial" w:cs="Arial" w:eastAsia="Arial" w:hAnsi="Arial"/>
                <w:sz w:val="18"/>
                <w:szCs w:val="18"/>
                <w:color w:val="0000EE"/>
              </w:rPr>
            </w:pPr>
            <w:hyperlink r:id="rId50">
              <w:r>
                <w:rPr>
                  <w:rFonts w:ascii="Arial" w:cs="Arial" w:eastAsia="Arial" w:hAnsi="Arial"/>
                  <w:sz w:val="18"/>
                  <w:szCs w:val="18"/>
                  <w:color w:val="0000EE"/>
                </w:rPr>
                <w:t>Form of Indemnification Agreement</w:t>
              </w:r>
            </w:hyperlink>
          </w:p>
        </w:tc>
      </w:tr>
      <w:tr>
        <w:trPr>
          <w:trHeight w:val="20"/>
        </w:trPr>
        <w:tc>
          <w:tcPr>
            <w:tcW w:w="1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8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6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3"/>
              </w:rPr>
              <w:t>(11)</w:t>
            </w:r>
          </w:p>
        </w:tc>
        <w:tc>
          <w:tcPr>
            <w:tcW w:w="9400" w:type="dxa"/>
            <w:vAlign w:val="bottom"/>
            <w:gridSpan w:val="26"/>
          </w:tcPr>
          <w:p>
            <w:pPr>
              <w:spacing w:after="0" w:line="176" w:lineRule="exact"/>
              <w:rPr>
                <w:rFonts w:ascii="Arial" w:cs="Arial" w:eastAsia="Arial" w:hAnsi="Arial"/>
                <w:sz w:val="18"/>
                <w:szCs w:val="18"/>
                <w:color w:val="0000EE"/>
              </w:rPr>
            </w:pPr>
            <w:hyperlink r:id="rId51">
              <w:r>
                <w:rPr>
                  <w:rFonts w:ascii="Arial" w:cs="Arial" w:eastAsia="Arial" w:hAnsi="Arial"/>
                  <w:sz w:val="18"/>
                  <w:szCs w:val="18"/>
                  <w:color w:val="0000EE"/>
                </w:rPr>
                <w:t>Executive Retention Agreement entered between the Company and Stuart P. Stoller dated January 31, 2017</w:t>
              </w:r>
            </w:hyperlink>
          </w:p>
        </w:tc>
      </w:tr>
      <w:tr>
        <w:trPr>
          <w:trHeight w:val="20"/>
        </w:trPr>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6"/>
        </w:trPr>
        <w:tc>
          <w:tcPr>
            <w:tcW w:w="1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66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9"/>
              </w:rPr>
              <w:t>(8)</w:t>
            </w:r>
          </w:p>
        </w:tc>
        <w:tc>
          <w:tcPr>
            <w:tcW w:w="9400" w:type="dxa"/>
            <w:vAlign w:val="bottom"/>
            <w:gridSpan w:val="26"/>
            <w:shd w:val="clear" w:color="auto" w:fill="CCEEFF"/>
          </w:tcPr>
          <w:p>
            <w:pPr>
              <w:spacing w:after="0" w:line="176" w:lineRule="exact"/>
              <w:rPr>
                <w:rFonts w:ascii="Arial" w:cs="Arial" w:eastAsia="Arial" w:hAnsi="Arial"/>
                <w:sz w:val="18"/>
                <w:szCs w:val="18"/>
                <w:color w:val="0000EE"/>
              </w:rPr>
            </w:pPr>
            <w:hyperlink r:id="rId52">
              <w:r>
                <w:rPr>
                  <w:rFonts w:ascii="Arial" w:cs="Arial" w:eastAsia="Arial" w:hAnsi="Arial"/>
                  <w:sz w:val="18"/>
                  <w:szCs w:val="18"/>
                  <w:color w:val="0000EE"/>
                </w:rPr>
                <w:t>Executive Retention Agreement entered between the Company and Thomas Szoke dated January 31 2017</w:t>
              </w:r>
            </w:hyperlink>
          </w:p>
        </w:tc>
      </w:tr>
      <w:tr>
        <w:trPr>
          <w:trHeight w:val="21"/>
        </w:trPr>
        <w:tc>
          <w:tcPr>
            <w:tcW w:w="1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80" w:type="dxa"/>
            <w:vAlign w:val="bottom"/>
          </w:tcPr>
          <w:p>
            <w:pPr>
              <w:spacing w:after="0" w:line="176" w:lineRule="exact"/>
              <w:rPr>
                <w:sz w:val="20"/>
                <w:szCs w:val="20"/>
                <w:color w:val="auto"/>
              </w:rPr>
            </w:pPr>
            <w:r>
              <w:rPr>
                <w:rFonts w:ascii="Arial" w:cs="Arial" w:eastAsia="Arial" w:hAnsi="Arial"/>
                <w:sz w:val="18"/>
                <w:szCs w:val="18"/>
                <w:color w:val="auto"/>
              </w:rPr>
              <w:t>10.5</w:t>
            </w:r>
          </w:p>
        </w:tc>
        <w:tc>
          <w:tcPr>
            <w:tcW w:w="6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9"/>
              </w:rPr>
              <w:t>(9)</w:t>
            </w:r>
          </w:p>
        </w:tc>
        <w:tc>
          <w:tcPr>
            <w:tcW w:w="9400" w:type="dxa"/>
            <w:vAlign w:val="bottom"/>
            <w:gridSpan w:val="26"/>
          </w:tcPr>
          <w:p>
            <w:pPr>
              <w:spacing w:after="0" w:line="176" w:lineRule="exact"/>
              <w:rPr>
                <w:rFonts w:ascii="Arial" w:cs="Arial" w:eastAsia="Arial" w:hAnsi="Arial"/>
                <w:sz w:val="18"/>
                <w:szCs w:val="18"/>
                <w:color w:val="0000EE"/>
              </w:rPr>
            </w:pPr>
            <w:hyperlink r:id="rId53">
              <w:r>
                <w:rPr>
                  <w:rFonts w:ascii="Arial" w:cs="Arial" w:eastAsia="Arial" w:hAnsi="Arial"/>
                  <w:sz w:val="18"/>
                  <w:szCs w:val="18"/>
                  <w:color w:val="0000EE"/>
                </w:rPr>
                <w:t>2017 Incentive Stock Plan</w:t>
              </w:r>
            </w:hyperlink>
          </w:p>
        </w:tc>
      </w:tr>
      <w:tr>
        <w:trPr>
          <w:trHeight w:val="21"/>
        </w:trPr>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5"/>
        </w:trPr>
        <w:tc>
          <w:tcPr>
            <w:tcW w:w="1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66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9"/>
              </w:rPr>
              <w:t>(3)</w:t>
            </w:r>
          </w:p>
        </w:tc>
        <w:tc>
          <w:tcPr>
            <w:tcW w:w="9400" w:type="dxa"/>
            <w:vAlign w:val="bottom"/>
            <w:gridSpan w:val="26"/>
            <w:shd w:val="clear" w:color="auto" w:fill="CCEEFF"/>
          </w:tcPr>
          <w:p>
            <w:pPr>
              <w:spacing w:after="0" w:line="176" w:lineRule="exact"/>
              <w:rPr>
                <w:rFonts w:ascii="Arial" w:cs="Arial" w:eastAsia="Arial" w:hAnsi="Arial"/>
                <w:sz w:val="18"/>
                <w:szCs w:val="18"/>
                <w:color w:val="0000EE"/>
              </w:rPr>
            </w:pPr>
            <w:hyperlink r:id="rId54">
              <w:r>
                <w:rPr>
                  <w:rFonts w:ascii="Arial" w:cs="Arial" w:eastAsia="Arial" w:hAnsi="Arial"/>
                  <w:sz w:val="18"/>
                  <w:szCs w:val="18"/>
                  <w:color w:val="0000EE"/>
                </w:rPr>
                <w:t>Executive Retention Agreement entered between the Company and Thomas L. Thimot dated June 14, 2021</w:t>
              </w:r>
            </w:hyperlink>
          </w:p>
        </w:tc>
      </w:tr>
      <w:tr>
        <w:trPr>
          <w:trHeight w:val="21"/>
        </w:trPr>
        <w:tc>
          <w:tcPr>
            <w:tcW w:w="1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80" w:type="dxa"/>
            <w:vAlign w:val="bottom"/>
          </w:tcPr>
          <w:p>
            <w:pPr>
              <w:spacing w:after="0" w:line="176" w:lineRule="exact"/>
              <w:rPr>
                <w:sz w:val="20"/>
                <w:szCs w:val="20"/>
                <w:color w:val="auto"/>
              </w:rPr>
            </w:pPr>
            <w:r>
              <w:rPr>
                <w:rFonts w:ascii="Arial" w:cs="Arial" w:eastAsia="Arial" w:hAnsi="Arial"/>
                <w:sz w:val="18"/>
                <w:szCs w:val="18"/>
                <w:color w:val="auto"/>
              </w:rPr>
              <w:t>10.8</w:t>
            </w:r>
          </w:p>
        </w:tc>
        <w:tc>
          <w:tcPr>
            <w:tcW w:w="6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9"/>
              </w:rPr>
              <w:t>(3)</w:t>
            </w:r>
          </w:p>
        </w:tc>
        <w:tc>
          <w:tcPr>
            <w:tcW w:w="9400" w:type="dxa"/>
            <w:vAlign w:val="bottom"/>
            <w:gridSpan w:val="26"/>
          </w:tcPr>
          <w:p>
            <w:pPr>
              <w:spacing w:after="0" w:line="176" w:lineRule="exact"/>
              <w:rPr>
                <w:rFonts w:ascii="Arial" w:cs="Arial" w:eastAsia="Arial" w:hAnsi="Arial"/>
                <w:sz w:val="18"/>
                <w:szCs w:val="18"/>
                <w:color w:val="0000EE"/>
              </w:rPr>
            </w:pPr>
            <w:hyperlink r:id="rId55">
              <w:r>
                <w:rPr>
                  <w:rFonts w:ascii="Arial" w:cs="Arial" w:eastAsia="Arial" w:hAnsi="Arial"/>
                  <w:sz w:val="18"/>
                  <w:szCs w:val="18"/>
                  <w:color w:val="0000EE"/>
                </w:rPr>
                <w:t>Executive Retention Agreement entered between the Company and Cecil N. Smith III dated June 14, 2021</w:t>
              </w:r>
            </w:hyperlink>
          </w:p>
        </w:tc>
      </w:tr>
      <w:tr>
        <w:trPr>
          <w:trHeight w:val="21"/>
        </w:trPr>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6"/>
        </w:trPr>
        <w:tc>
          <w:tcPr>
            <w:tcW w:w="1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66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9"/>
              </w:rPr>
              <w:t>(3)</w:t>
            </w:r>
          </w:p>
        </w:tc>
        <w:tc>
          <w:tcPr>
            <w:tcW w:w="9400" w:type="dxa"/>
            <w:vAlign w:val="bottom"/>
            <w:gridSpan w:val="26"/>
            <w:shd w:val="clear" w:color="auto" w:fill="CCEEFF"/>
          </w:tcPr>
          <w:p>
            <w:pPr>
              <w:spacing w:after="0" w:line="176" w:lineRule="exact"/>
              <w:rPr>
                <w:rFonts w:ascii="Arial" w:cs="Arial" w:eastAsia="Arial" w:hAnsi="Arial"/>
                <w:sz w:val="18"/>
                <w:szCs w:val="18"/>
                <w:color w:val="0000EE"/>
              </w:rPr>
            </w:pPr>
            <w:hyperlink r:id="rId56">
              <w:r>
                <w:rPr>
                  <w:rFonts w:ascii="Arial" w:cs="Arial" w:eastAsia="Arial" w:hAnsi="Arial"/>
                  <w:sz w:val="18"/>
                  <w:szCs w:val="18"/>
                  <w:color w:val="0000EE"/>
                </w:rPr>
                <w:t>Letter Agreement between the Company and Thomas L. Thimot dated June 14, 2021</w:t>
              </w:r>
            </w:hyperlink>
          </w:p>
        </w:tc>
      </w:tr>
      <w:tr>
        <w:trPr>
          <w:trHeight w:val="20"/>
        </w:trPr>
        <w:tc>
          <w:tcPr>
            <w:tcW w:w="1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80" w:type="dxa"/>
            <w:vAlign w:val="bottom"/>
          </w:tcPr>
          <w:p>
            <w:pPr>
              <w:spacing w:after="0" w:line="176" w:lineRule="exact"/>
              <w:rPr>
                <w:sz w:val="20"/>
                <w:szCs w:val="20"/>
                <w:color w:val="auto"/>
              </w:rPr>
            </w:pPr>
            <w:r>
              <w:rPr>
                <w:rFonts w:ascii="Arial" w:cs="Arial" w:eastAsia="Arial" w:hAnsi="Arial"/>
                <w:sz w:val="18"/>
                <w:szCs w:val="18"/>
                <w:color w:val="auto"/>
              </w:rPr>
              <w:t>10.10</w:t>
            </w:r>
          </w:p>
        </w:tc>
        <w:tc>
          <w:tcPr>
            <w:tcW w:w="6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9"/>
              </w:rPr>
              <w:t>(3)</w:t>
            </w:r>
          </w:p>
        </w:tc>
        <w:tc>
          <w:tcPr>
            <w:tcW w:w="9400" w:type="dxa"/>
            <w:vAlign w:val="bottom"/>
            <w:gridSpan w:val="26"/>
          </w:tcPr>
          <w:p>
            <w:pPr>
              <w:spacing w:after="0" w:line="176" w:lineRule="exact"/>
              <w:rPr>
                <w:rFonts w:ascii="Arial" w:cs="Arial" w:eastAsia="Arial" w:hAnsi="Arial"/>
                <w:sz w:val="18"/>
                <w:szCs w:val="18"/>
                <w:color w:val="0000EE"/>
              </w:rPr>
            </w:pPr>
            <w:hyperlink r:id="rId57">
              <w:r>
                <w:rPr>
                  <w:rFonts w:ascii="Arial" w:cs="Arial" w:eastAsia="Arial" w:hAnsi="Arial"/>
                  <w:sz w:val="18"/>
                  <w:szCs w:val="18"/>
                  <w:color w:val="0000EE"/>
                </w:rPr>
                <w:t>Letter Agreement between the Company and Cecil N. Smith III dated June 14, 2021</w:t>
              </w:r>
            </w:hyperlink>
          </w:p>
        </w:tc>
      </w:tr>
      <w:tr>
        <w:trPr>
          <w:trHeight w:val="20"/>
        </w:trPr>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6"/>
        </w:trPr>
        <w:tc>
          <w:tcPr>
            <w:tcW w:w="1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10.11*</w:t>
            </w:r>
          </w:p>
        </w:tc>
        <w:tc>
          <w:tcPr>
            <w:tcW w:w="660" w:type="dxa"/>
            <w:vAlign w:val="bottom"/>
            <w:shd w:val="clear" w:color="auto" w:fill="CCEEFF"/>
          </w:tcPr>
          <w:p>
            <w:pPr>
              <w:spacing w:after="0"/>
              <w:rPr>
                <w:sz w:val="15"/>
                <w:szCs w:val="15"/>
                <w:color w:val="auto"/>
              </w:rPr>
            </w:pPr>
          </w:p>
        </w:tc>
        <w:tc>
          <w:tcPr>
            <w:tcW w:w="9400" w:type="dxa"/>
            <w:vAlign w:val="bottom"/>
            <w:gridSpan w:val="26"/>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Letter Agreement between the Company and Phillip L. Kumnick dated as November 5, 2021</w:t>
              </w:r>
            </w:hyperlink>
          </w:p>
        </w:tc>
      </w:tr>
      <w:tr>
        <w:trPr>
          <w:trHeight w:val="21"/>
        </w:trPr>
        <w:tc>
          <w:tcPr>
            <w:tcW w:w="1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80" w:type="dxa"/>
            <w:vAlign w:val="bottom"/>
          </w:tcPr>
          <w:p>
            <w:pPr>
              <w:spacing w:after="0" w:line="176" w:lineRule="exact"/>
              <w:rPr>
                <w:sz w:val="20"/>
                <w:szCs w:val="20"/>
                <w:color w:val="auto"/>
              </w:rPr>
            </w:pPr>
            <w:r>
              <w:rPr>
                <w:rFonts w:ascii="Arial" w:cs="Arial" w:eastAsia="Arial" w:hAnsi="Arial"/>
                <w:sz w:val="18"/>
                <w:szCs w:val="18"/>
                <w:color w:val="auto"/>
              </w:rPr>
              <w:t>10.12*</w:t>
            </w:r>
          </w:p>
        </w:tc>
        <w:tc>
          <w:tcPr>
            <w:tcW w:w="660" w:type="dxa"/>
            <w:vAlign w:val="bottom"/>
          </w:tcPr>
          <w:p>
            <w:pPr>
              <w:spacing w:after="0"/>
              <w:rPr>
                <w:sz w:val="15"/>
                <w:szCs w:val="15"/>
                <w:color w:val="auto"/>
              </w:rPr>
            </w:pPr>
          </w:p>
        </w:tc>
        <w:tc>
          <w:tcPr>
            <w:tcW w:w="9400" w:type="dxa"/>
            <w:vAlign w:val="bottom"/>
            <w:gridSpan w:val="26"/>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Letter Agreement between the Company and Philip R. Broenniman dated as November 5, 2021</w:t>
              </w:r>
            </w:hyperlink>
          </w:p>
        </w:tc>
      </w:tr>
      <w:tr>
        <w:trPr>
          <w:trHeight w:val="21"/>
        </w:trPr>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5"/>
        </w:trPr>
        <w:tc>
          <w:tcPr>
            <w:tcW w:w="1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14.1</w:t>
            </w:r>
          </w:p>
        </w:tc>
        <w:tc>
          <w:tcPr>
            <w:tcW w:w="66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3"/>
              </w:rPr>
              <w:t>(10)</w:t>
            </w:r>
          </w:p>
        </w:tc>
        <w:tc>
          <w:tcPr>
            <w:tcW w:w="9400" w:type="dxa"/>
            <w:vAlign w:val="bottom"/>
            <w:gridSpan w:val="26"/>
            <w:shd w:val="clear" w:color="auto" w:fill="CCEEFF"/>
          </w:tcPr>
          <w:p>
            <w:pPr>
              <w:spacing w:after="0" w:line="176" w:lineRule="exact"/>
              <w:rPr>
                <w:rFonts w:ascii="Arial" w:cs="Arial" w:eastAsia="Arial" w:hAnsi="Arial"/>
                <w:sz w:val="18"/>
                <w:szCs w:val="18"/>
                <w:color w:val="0000EE"/>
              </w:rPr>
            </w:pPr>
            <w:hyperlink r:id="rId58">
              <w:r>
                <w:rPr>
                  <w:rFonts w:ascii="Arial" w:cs="Arial" w:eastAsia="Arial" w:hAnsi="Arial"/>
                  <w:sz w:val="18"/>
                  <w:szCs w:val="18"/>
                  <w:color w:val="0000EE"/>
                </w:rPr>
                <w:t>Code of Ethics</w:t>
              </w:r>
            </w:hyperlink>
          </w:p>
        </w:tc>
      </w:tr>
      <w:tr>
        <w:trPr>
          <w:trHeight w:val="21"/>
        </w:trPr>
        <w:tc>
          <w:tcPr>
            <w:tcW w:w="1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80" w:type="dxa"/>
            <w:vAlign w:val="bottom"/>
          </w:tcPr>
          <w:p>
            <w:pPr>
              <w:spacing w:after="0" w:line="176" w:lineRule="exact"/>
              <w:rPr>
                <w:sz w:val="20"/>
                <w:szCs w:val="20"/>
                <w:color w:val="auto"/>
              </w:rPr>
            </w:pPr>
            <w:r>
              <w:rPr>
                <w:rFonts w:ascii="Arial" w:cs="Arial" w:eastAsia="Arial" w:hAnsi="Arial"/>
                <w:sz w:val="18"/>
                <w:szCs w:val="18"/>
                <w:color w:val="auto"/>
              </w:rPr>
              <w:t>21.1</w:t>
            </w:r>
          </w:p>
        </w:tc>
        <w:tc>
          <w:tcPr>
            <w:tcW w:w="6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3"/>
              </w:rPr>
              <w:t>(10)</w:t>
            </w:r>
          </w:p>
        </w:tc>
        <w:tc>
          <w:tcPr>
            <w:tcW w:w="9400" w:type="dxa"/>
            <w:vAlign w:val="bottom"/>
            <w:gridSpan w:val="26"/>
          </w:tcPr>
          <w:p>
            <w:pPr>
              <w:spacing w:after="0" w:line="176" w:lineRule="exact"/>
              <w:rPr>
                <w:rFonts w:ascii="Arial" w:cs="Arial" w:eastAsia="Arial" w:hAnsi="Arial"/>
                <w:sz w:val="18"/>
                <w:szCs w:val="18"/>
                <w:color w:val="0000EE"/>
              </w:rPr>
            </w:pPr>
            <w:hyperlink r:id="rId59">
              <w:r>
                <w:rPr>
                  <w:rFonts w:ascii="Arial" w:cs="Arial" w:eastAsia="Arial" w:hAnsi="Arial"/>
                  <w:sz w:val="18"/>
                  <w:szCs w:val="18"/>
                  <w:color w:val="0000EE"/>
                </w:rPr>
                <w:t>List of Subsidiaries</w:t>
              </w:r>
            </w:hyperlink>
          </w:p>
        </w:tc>
      </w:tr>
      <w:tr>
        <w:trPr>
          <w:trHeight w:val="20"/>
        </w:trPr>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6"/>
        </w:trPr>
        <w:tc>
          <w:tcPr>
            <w:tcW w:w="1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660" w:type="dxa"/>
            <w:vAlign w:val="bottom"/>
            <w:shd w:val="clear" w:color="auto" w:fill="CCEEFF"/>
          </w:tcPr>
          <w:p>
            <w:pPr>
              <w:spacing w:after="0"/>
              <w:rPr>
                <w:sz w:val="15"/>
                <w:szCs w:val="15"/>
                <w:color w:val="auto"/>
              </w:rPr>
            </w:pPr>
          </w:p>
        </w:tc>
        <w:tc>
          <w:tcPr>
            <w:tcW w:w="9400" w:type="dxa"/>
            <w:vAlign w:val="bottom"/>
            <w:gridSpan w:val="26"/>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Certification of Chief Executive Officer pursuant to Rule 13a-14(a)/15d-14(a) of the Securities Exchange Act</w:t>
              </w:r>
            </w:hyperlink>
          </w:p>
        </w:tc>
      </w:tr>
      <w:tr>
        <w:trPr>
          <w:trHeight w:val="20"/>
        </w:trPr>
        <w:tc>
          <w:tcPr>
            <w:tcW w:w="1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8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660" w:type="dxa"/>
            <w:vAlign w:val="bottom"/>
          </w:tcPr>
          <w:p>
            <w:pPr>
              <w:spacing w:after="0"/>
              <w:rPr>
                <w:sz w:val="15"/>
                <w:szCs w:val="15"/>
                <w:color w:val="auto"/>
              </w:rPr>
            </w:pPr>
          </w:p>
        </w:tc>
        <w:tc>
          <w:tcPr>
            <w:tcW w:w="9400" w:type="dxa"/>
            <w:vAlign w:val="bottom"/>
            <w:gridSpan w:val="26"/>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Certification of Chief Financial Officer pursuant to Rule 13a-14(a)/15d-14(a) of the Securities Exchange Act</w:t>
              </w:r>
            </w:hyperlink>
          </w:p>
        </w:tc>
      </w:tr>
      <w:tr>
        <w:trPr>
          <w:trHeight w:val="20"/>
        </w:trPr>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5"/>
        </w:trPr>
        <w:tc>
          <w:tcPr>
            <w:tcW w:w="11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660" w:type="dxa"/>
            <w:vAlign w:val="bottom"/>
            <w:tcBorders>
              <w:bottom w:val="single" w:sz="8" w:color="CCEEFF"/>
            </w:tcBorders>
            <w:shd w:val="clear" w:color="auto" w:fill="CCEEFF"/>
          </w:tcPr>
          <w:p>
            <w:pPr>
              <w:spacing w:after="0"/>
              <w:rPr>
                <w:sz w:val="15"/>
                <w:szCs w:val="15"/>
                <w:color w:val="auto"/>
              </w:rPr>
            </w:pPr>
          </w:p>
        </w:tc>
        <w:tc>
          <w:tcPr>
            <w:tcW w:w="9400" w:type="dxa"/>
            <w:vAlign w:val="bottom"/>
            <w:tcBorders>
              <w:bottom w:val="single" w:sz="8" w:color="0000EE"/>
            </w:tcBorders>
            <w:gridSpan w:val="26"/>
            <w:shd w:val="clear" w:color="auto" w:fill="CCEEFF"/>
          </w:tcPr>
          <w:p>
            <w:pPr>
              <w:spacing w:after="0" w:line="17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Certification of Chief Executive Officer and Chief Financial Officer pursuant to 18 U.S.C. §1350, as adopted pursuant to Section</w:t>
              </w:r>
            </w:hyperlink>
          </w:p>
        </w:tc>
      </w:tr>
      <w:tr>
        <w:trPr>
          <w:trHeight w:val="196"/>
        </w:trPr>
        <w:tc>
          <w:tcPr>
            <w:tcW w:w="1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0" w:type="dxa"/>
            <w:vAlign w:val="bottom"/>
            <w:gridSpan w:val="26"/>
            <w:shd w:val="clear" w:color="auto" w:fill="CCEEFF"/>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906 of the Sarbanes-Oxley Act of 2002</w:t>
              </w:r>
            </w:hyperlink>
          </w:p>
        </w:tc>
      </w:tr>
      <w:tr>
        <w:trPr>
          <w:trHeight w:val="20"/>
        </w:trPr>
        <w:tc>
          <w:tcPr>
            <w:tcW w:w="1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101.INS</w:t>
            </w:r>
          </w:p>
        </w:tc>
        <w:tc>
          <w:tcPr>
            <w:tcW w:w="660" w:type="dxa"/>
            <w:vAlign w:val="bottom"/>
          </w:tcPr>
          <w:p>
            <w:pPr>
              <w:spacing w:after="0"/>
              <w:rPr>
                <w:sz w:val="18"/>
                <w:szCs w:val="18"/>
                <w:color w:val="auto"/>
              </w:rPr>
            </w:pPr>
          </w:p>
        </w:tc>
        <w:tc>
          <w:tcPr>
            <w:tcW w:w="9400" w:type="dxa"/>
            <w:vAlign w:val="bottom"/>
            <w:gridSpan w:val="26"/>
          </w:tcPr>
          <w:p>
            <w:pPr>
              <w:spacing w:after="0"/>
              <w:rPr>
                <w:sz w:val="20"/>
                <w:szCs w:val="20"/>
                <w:color w:val="auto"/>
              </w:rPr>
            </w:pPr>
            <w:r>
              <w:rPr>
                <w:rFonts w:ascii="Arial" w:cs="Arial" w:eastAsia="Arial" w:hAnsi="Arial"/>
                <w:sz w:val="18"/>
                <w:szCs w:val="18"/>
                <w:color w:val="auto"/>
              </w:rPr>
              <w:t>Inline XBRL Instance Document *</w:t>
            </w: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660" w:type="dxa"/>
            <w:vAlign w:val="bottom"/>
            <w:shd w:val="clear" w:color="auto" w:fill="CCEEFF"/>
          </w:tcPr>
          <w:p>
            <w:pPr>
              <w:spacing w:after="0"/>
              <w:rPr>
                <w:sz w:val="18"/>
                <w:szCs w:val="18"/>
                <w:color w:val="auto"/>
              </w:rPr>
            </w:pPr>
          </w:p>
        </w:tc>
        <w:tc>
          <w:tcPr>
            <w:tcW w:w="9400" w:type="dxa"/>
            <w:vAlign w:val="bottom"/>
            <w:gridSpan w:val="26"/>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 *</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101.CAL</w:t>
            </w:r>
          </w:p>
        </w:tc>
        <w:tc>
          <w:tcPr>
            <w:tcW w:w="660" w:type="dxa"/>
            <w:vAlign w:val="bottom"/>
          </w:tcPr>
          <w:p>
            <w:pPr>
              <w:spacing w:after="0"/>
              <w:rPr>
                <w:sz w:val="18"/>
                <w:szCs w:val="18"/>
                <w:color w:val="auto"/>
              </w:rPr>
            </w:pPr>
          </w:p>
        </w:tc>
        <w:tc>
          <w:tcPr>
            <w:tcW w:w="9400" w:type="dxa"/>
            <w:vAlign w:val="bottom"/>
            <w:gridSpan w:val="26"/>
          </w:tcPr>
          <w:p>
            <w:pPr>
              <w:spacing w:after="0"/>
              <w:rPr>
                <w:sz w:val="20"/>
                <w:szCs w:val="20"/>
                <w:color w:val="auto"/>
              </w:rPr>
            </w:pPr>
            <w:r>
              <w:rPr>
                <w:rFonts w:ascii="Arial" w:cs="Arial" w:eastAsia="Arial" w:hAnsi="Arial"/>
                <w:sz w:val="18"/>
                <w:szCs w:val="18"/>
                <w:color w:val="auto"/>
              </w:rPr>
              <w:t>Inline XBRL Taxonomy Extension Calculation Linkbase Document *</w:t>
            </w: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660" w:type="dxa"/>
            <w:vAlign w:val="bottom"/>
            <w:shd w:val="clear" w:color="auto" w:fill="CCEEFF"/>
          </w:tcPr>
          <w:p>
            <w:pPr>
              <w:spacing w:after="0"/>
              <w:rPr>
                <w:sz w:val="18"/>
                <w:szCs w:val="18"/>
                <w:color w:val="auto"/>
              </w:rPr>
            </w:pPr>
          </w:p>
        </w:tc>
        <w:tc>
          <w:tcPr>
            <w:tcW w:w="9400" w:type="dxa"/>
            <w:vAlign w:val="bottom"/>
            <w:gridSpan w:val="26"/>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 *</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101.LAB</w:t>
            </w:r>
          </w:p>
        </w:tc>
        <w:tc>
          <w:tcPr>
            <w:tcW w:w="660" w:type="dxa"/>
            <w:vAlign w:val="bottom"/>
          </w:tcPr>
          <w:p>
            <w:pPr>
              <w:spacing w:after="0"/>
              <w:rPr>
                <w:sz w:val="18"/>
                <w:szCs w:val="18"/>
                <w:color w:val="auto"/>
              </w:rPr>
            </w:pPr>
          </w:p>
        </w:tc>
        <w:tc>
          <w:tcPr>
            <w:tcW w:w="9400" w:type="dxa"/>
            <w:vAlign w:val="bottom"/>
            <w:gridSpan w:val="26"/>
          </w:tcPr>
          <w:p>
            <w:pPr>
              <w:spacing w:after="0"/>
              <w:rPr>
                <w:sz w:val="20"/>
                <w:szCs w:val="20"/>
                <w:color w:val="auto"/>
              </w:rPr>
            </w:pPr>
            <w:r>
              <w:rPr>
                <w:rFonts w:ascii="Arial" w:cs="Arial" w:eastAsia="Arial" w:hAnsi="Arial"/>
                <w:sz w:val="18"/>
                <w:szCs w:val="18"/>
                <w:color w:val="auto"/>
              </w:rPr>
              <w:t>Inline XBRL Taxonomy Extension Label Linkbase Document *</w:t>
            </w: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660" w:type="dxa"/>
            <w:vAlign w:val="bottom"/>
            <w:shd w:val="clear" w:color="auto" w:fill="CCEEFF"/>
          </w:tcPr>
          <w:p>
            <w:pPr>
              <w:spacing w:after="0"/>
              <w:rPr>
                <w:sz w:val="18"/>
                <w:szCs w:val="18"/>
                <w:color w:val="auto"/>
              </w:rPr>
            </w:pPr>
          </w:p>
        </w:tc>
        <w:tc>
          <w:tcPr>
            <w:tcW w:w="9400" w:type="dxa"/>
            <w:vAlign w:val="bottom"/>
            <w:gridSpan w:val="26"/>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 *</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0"/>
                <w:szCs w:val="20"/>
                <w:color w:val="auto"/>
              </w:rPr>
            </w:pPr>
          </w:p>
        </w:tc>
        <w:tc>
          <w:tcPr>
            <w:tcW w:w="9400" w:type="dxa"/>
            <w:vAlign w:val="bottom"/>
            <w:gridSpan w:val="2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8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March 23, 2021.</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January 22, 2021.</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June 15, 2021.</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December 16, 2019.</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18, 2020.</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May 13, 2020.</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the Form 10-Q Quarterly Report filed with the Securities Exchange Commission on May 6, 2021.</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6, 2017.</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the Form 10-Q Quarterly Report filed with the Securities Exchange Commission on May 4, 2018.</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the Form 10-K Annual Report filed with the Securities Exchange Commission on July 12, 2017.</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1, 2017.</w:t>
      </w:r>
    </w:p>
    <w:p>
      <w:pPr>
        <w:spacing w:after="0" w:line="225"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the Form S-1/A Amendment No. 1 to the S-1 Registration Statement filed with the Securities Exchange Commission on July 16, 2021</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IPSIDY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Thomas Thimot, Chief Executive Officer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154305</wp:posOffset>
            </wp:positionV>
            <wp:extent cx="1388745" cy="7886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138874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000"/>
        <w:spacing w:after="0"/>
        <w:rPr>
          <w:sz w:val="20"/>
          <w:szCs w:val="20"/>
          <w:color w:val="auto"/>
        </w:rPr>
      </w:pPr>
      <w:r>
        <w:rPr>
          <w:rFonts w:ascii="Arial" w:cs="Arial" w:eastAsia="Arial" w:hAnsi="Arial"/>
          <w:sz w:val="18"/>
          <w:szCs w:val="18"/>
          <w:b w:val="1"/>
          <w:bCs w:val="1"/>
          <w:color w:val="auto"/>
        </w:rPr>
        <w:t>Thomas L. Thimot</w:t>
      </w:r>
    </w:p>
    <w:p>
      <w:pPr>
        <w:spacing w:after="0" w:line="27"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tomthimot@authid.ai</w:t>
      </w:r>
    </w:p>
    <w:p>
      <w:pPr>
        <w:spacing w:after="0" w:line="211"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November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Phillip Kumnick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549 Quail Ridge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Albans, Missouri 63073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 Your Ipsidy Inc. (the “Company”) Options Grant dated as of May 5, 2021(“Option”)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Phillip:</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refer to our discussions regarding the above referenced Option and following our Board Meeting on October 25, 2021, at which an amendment to the Options was approved, I am writing on behalf of the Company, to record the terms which have been agreed.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consideration of our mutual agreements, set forth below the following amendments to your Option are hereby agreed. Words and expressions defined in the Option shall bear the same meaning in this letter.</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hereby agree to the cancellation of a total of 300,000 Shares under the Option comprising:</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204,167 Shares under Section 5(d) of the Option;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95,833 Shares under Section 5(c) of the Option.</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remaining Shares shall vest in accordance with Sections 5(a), (b), (c) or (e) of the Option, notwithstanding non-continuation of service to the Company (other than for cause), and Section 5(f) of the Option is hereby amended by the deletion of the second sentence and its replacement with the following:</w:t>
      </w:r>
    </w:p>
    <w:p>
      <w:pPr>
        <w:spacing w:after="0" w:line="183"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“If any vesting condition is not satisfied before the earlier of the expiration or termination date of this Option, or termination of the Optionee’s service to the Company for Cause, the Option shall lapse as to the unvested Shares.</w:t>
      </w:r>
    </w:p>
    <w:p>
      <w:pPr>
        <w:spacing w:after="0" w:line="170" w:lineRule="exact"/>
        <w:rPr>
          <w:rFonts w:ascii="Arial" w:cs="Arial" w:eastAsia="Arial" w:hAnsi="Arial"/>
          <w:sz w:val="18"/>
          <w:szCs w:val="18"/>
          <w:color w:val="auto"/>
        </w:rPr>
      </w:pPr>
    </w:p>
    <w:p>
      <w:pPr>
        <w:jc w:val="both"/>
        <w:ind w:left="660"/>
        <w:spacing w:after="0" w:line="271" w:lineRule="auto"/>
        <w:rPr>
          <w:rFonts w:ascii="Arial" w:cs="Arial" w:eastAsia="Arial" w:hAnsi="Arial"/>
          <w:sz w:val="18"/>
          <w:szCs w:val="18"/>
          <w:color w:val="auto"/>
        </w:rPr>
      </w:pPr>
      <w:r>
        <w:rPr>
          <w:rFonts w:ascii="Arial" w:cs="Arial" w:eastAsia="Arial" w:hAnsi="Arial"/>
          <w:sz w:val="17"/>
          <w:szCs w:val="17"/>
          <w:color w:val="auto"/>
        </w:rPr>
        <w:t>“Cause” shall mean you have: (i) willfully failed to perform, or been grossly negligent with respect to, any material duties assigned to you as a Director, other than due to a failure resulting from your disability; (ii) been convicted of, or pled guilty or no contest to, any felony or crime involving immoral or unethical turpitude; (iii) committed an act of fraud, misappropriation, embezzlement or dishonesty with respect to the Company or any of its affiliates; (iv) willfully violated any material Company policy; or (v) breached any of the material terms of the Invention Assignment &amp; Confidentiality Agreement, the Company’s share dealing code, the Employee’s non-competition agreement or any other reasonable policies of the Company where non-compliance would be materially detrimental to the Company and in the case of clauses (i), (iv) and (v), to the extent such violation or breach is then curable, failed to cure such violation or breach (as determined by the Board in good faith) during a thirty (30)-day period following the date on which the Company gives you written notice of the breach.”</w:t>
      </w:r>
    </w:p>
    <w:p>
      <w:pPr>
        <w:spacing w:after="0" w:line="178" w:lineRule="exact"/>
        <w:rPr>
          <w:rFonts w:ascii="Arial" w:cs="Arial" w:eastAsia="Arial" w:hAnsi="Arial"/>
          <w:sz w:val="18"/>
          <w:szCs w:val="18"/>
          <w:color w:val="auto"/>
        </w:rPr>
      </w:pPr>
    </w:p>
    <w:p>
      <w:pPr>
        <w:ind w:left="660" w:right="20"/>
        <w:spacing w:after="0" w:line="277" w:lineRule="auto"/>
        <w:rPr>
          <w:rFonts w:ascii="Arial" w:cs="Arial" w:eastAsia="Arial" w:hAnsi="Arial"/>
          <w:sz w:val="18"/>
          <w:szCs w:val="18"/>
          <w:color w:val="auto"/>
        </w:rPr>
      </w:pPr>
      <w:r>
        <w:rPr>
          <w:rFonts w:ascii="Arial" w:cs="Arial" w:eastAsia="Arial" w:hAnsi="Arial"/>
          <w:sz w:val="18"/>
          <w:szCs w:val="18"/>
          <w:color w:val="auto"/>
        </w:rPr>
        <w:t>(For purposes of the foregoing, it is acknowledged that the Option erroneously contains two Sections that are designated as “5(f),” and that the reference above to Section 5(f) refers to the second such Section.)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Ipsidy Inc. · 670 Long Beach Boulevard · Long Beach, New York 11561 · Tel +1 516 274 8700 · www.authid.ai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586105</wp:posOffset>
            </wp:positionV>
            <wp:extent cx="1388745" cy="7886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388745" cy="78867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Phillip L. Kumnick: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5, 2021</w:t>
      </w:r>
    </w:p>
    <w:p>
      <w:pPr>
        <w:spacing w:after="0" w:line="211"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addition, Section 7 of the Option is hereby deleted in its entirety and Section 8 of the Option is hereby replaced in its entirety with the following:</w:t>
      </w:r>
    </w:p>
    <w:p>
      <w:pPr>
        <w:spacing w:after="0" w:line="170" w:lineRule="exact"/>
        <w:rPr>
          <w:rFonts w:ascii="Arial" w:cs="Arial" w:eastAsia="Arial" w:hAnsi="Arial"/>
          <w:sz w:val="18"/>
          <w:szCs w:val="18"/>
          <w:color w:val="auto"/>
        </w:rPr>
      </w:pPr>
    </w:p>
    <w:p>
      <w:pPr>
        <w:jc w:val="both"/>
        <w:ind w:left="660" w:right="2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Death of Optionee</w:t>
      </w:r>
      <w:r>
        <w:rPr>
          <w:rFonts w:ascii="Arial" w:cs="Arial" w:eastAsia="Arial" w:hAnsi="Arial"/>
          <w:sz w:val="18"/>
          <w:szCs w:val="18"/>
          <w:color w:val="auto"/>
        </w:rPr>
        <w:t>. If the Optionee shall die, Optionee's personal representative or the person entitled to Optionee's rights hereunder may at any time prior to the expiration date of this Option exercise this Option and purchase Shares to the extent, but only to the extent, that Optionee could have exercised this Option if Optionee were still alive; provided, in any case, that this Option may be so exercised only to the extent that this Option has not previously been exercised by Optionee.”</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all other respects the terms of the Option shall remain in full force and effect.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sign and return a copy of this letter by way of confirmation of your agreement to its terms.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Ipsidy Inc. dba authID.ai</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Thomas L.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Thomas L. Thimot CEO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AGREED AND CONSENTED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Phillip L. Kumnick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Phillip L. Kumnick</w:t>
      </w:r>
      <w:r>
        <w:rPr>
          <w:sz w:val="20"/>
          <w:szCs w:val="20"/>
          <w:color w:val="auto"/>
        </w:rPr>
        <w:tab/>
      </w:r>
      <w:r>
        <w:rPr>
          <w:rFonts w:ascii="Arial" w:cs="Arial" w:eastAsia="Arial" w:hAnsi="Arial"/>
          <w:sz w:val="16"/>
          <w:szCs w:val="16"/>
          <w:color w:val="auto"/>
        </w:rPr>
        <w:t>November 5, 2021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670 Long Beach Boulevard, · Long Beach, New York 11561 ·. Tel +1 516 274 8700 ·. www.ipsidy.com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388745" cy="7886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extLst>
                    </a:blip>
                    <a:srcRect/>
                    <a:stretch>
                      <a:fillRect/>
                    </a:stretch>
                  </pic:blipFill>
                  <pic:spPr bwMode="auto">
                    <a:xfrm>
                      <a:off x="0" y="0"/>
                      <a:ext cx="138874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840"/>
        <w:spacing w:after="0"/>
        <w:rPr>
          <w:sz w:val="20"/>
          <w:szCs w:val="20"/>
          <w:color w:val="auto"/>
        </w:rPr>
      </w:pPr>
      <w:r>
        <w:rPr>
          <w:rFonts w:ascii="Arial" w:cs="Arial" w:eastAsia="Arial" w:hAnsi="Arial"/>
          <w:sz w:val="18"/>
          <w:szCs w:val="18"/>
          <w:b w:val="1"/>
          <w:bCs w:val="1"/>
          <w:color w:val="auto"/>
        </w:rPr>
        <w:t>Thomas L. Thimot</w:t>
      </w:r>
    </w:p>
    <w:p>
      <w:pPr>
        <w:spacing w:after="0" w:line="27" w:lineRule="exact"/>
        <w:rPr>
          <w:sz w:val="20"/>
          <w:szCs w:val="20"/>
          <w:color w:val="auto"/>
        </w:rPr>
      </w:pPr>
    </w:p>
    <w:p>
      <w:pPr>
        <w:ind w:left="884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tomthimot@authid.ai</w:t>
      </w:r>
    </w:p>
    <w:p>
      <w:pPr>
        <w:spacing w:after="0" w:line="211"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November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Philip R. Broenniman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2130 Hermosa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Boulder, Colorado 80304.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 Your Ipsidy Inc. (the “Company”) Options Grant dated as of May 5, 2021(“Option”)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Philip:</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refer to our discussions regarding the above referenced Option and following our Board Meeting on October 25, 2021, at which an amendment to the Options was approved, I am writing on behalf of the Company, to record the terms which have been agreed.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consideration of our mutual agreements, set forth below the following amendments to your Option are hereby agreed. Words and expressions defined in the Option shall bear the same meaning in this letter.</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You hereby agree to the cancellation of a total of 200,000 Shares under the Option comprising 200,000 Shares under Section 5(d) of the Option</w:t>
      </w:r>
    </w:p>
    <w:p>
      <w:pPr>
        <w:spacing w:after="0" w:line="248"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remaining Shares shall vest in accordance with Sections 5(a), (b), (c), (d) or (e) of the Option, notwithstanding non-continuation of service to the Company (other than for cause) and Section 5(f) of the Option is hereby amended by the deletion of the second sentence and its replacement with the following:</w:t>
      </w:r>
    </w:p>
    <w:p>
      <w:pPr>
        <w:spacing w:after="0" w:line="183"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“If any vesting condition is not satisfied before the earlier of the expiration or termination date of this Option, or termination of the Optionee’s service to the Company for Cause, the Option shall lapse as to the unvested Shares.</w:t>
      </w:r>
    </w:p>
    <w:p>
      <w:pPr>
        <w:spacing w:after="0" w:line="170" w:lineRule="exact"/>
        <w:rPr>
          <w:rFonts w:ascii="Arial" w:cs="Arial" w:eastAsia="Arial" w:hAnsi="Arial"/>
          <w:sz w:val="18"/>
          <w:szCs w:val="18"/>
          <w:color w:val="auto"/>
        </w:rPr>
      </w:pPr>
    </w:p>
    <w:p>
      <w:pPr>
        <w:jc w:val="both"/>
        <w:ind w:left="660"/>
        <w:spacing w:after="0" w:line="271" w:lineRule="auto"/>
        <w:rPr>
          <w:rFonts w:ascii="Arial" w:cs="Arial" w:eastAsia="Arial" w:hAnsi="Arial"/>
          <w:sz w:val="18"/>
          <w:szCs w:val="18"/>
          <w:color w:val="auto"/>
        </w:rPr>
      </w:pPr>
      <w:r>
        <w:rPr>
          <w:rFonts w:ascii="Arial" w:cs="Arial" w:eastAsia="Arial" w:hAnsi="Arial"/>
          <w:sz w:val="17"/>
          <w:szCs w:val="17"/>
          <w:color w:val="auto"/>
        </w:rPr>
        <w:t>“Cause” shall mean you have: (i) willfully failed to perform, or been grossly negligent with respect to, any material duties assigned to you as a Director, other than due to a failure resulting from your disability; (ii) been convicted of, or pled guilty or no contest to, any felony or crime involving immoral or unethical turpitude; (iii) committed an act of fraud, misappropriation, embezzlement or dishonesty with respect to the Company or any of its affiliates; (iv) willfully violated any material Company policy; or (v) breached any of the material terms of the Invention Assignment &amp; Confidentiality Agreement, the Company’s share dealing code, the Employee’s non-competition agreement or any other reasonable policies of the Company where non-compliance would be materially detrimental to the Company and in the case of clauses (i), (iv) and (v), to the extent such violation or breach is then curable, failed to cure such violation or breach (as determined by the Board in good faith) during a thirty (30)-day period following the date on which the Company gives you written notice of the breach.”</w:t>
      </w:r>
    </w:p>
    <w:p>
      <w:pPr>
        <w:spacing w:after="0" w:line="178" w:lineRule="exact"/>
        <w:rPr>
          <w:rFonts w:ascii="Arial" w:cs="Arial" w:eastAsia="Arial" w:hAnsi="Arial"/>
          <w:sz w:val="18"/>
          <w:szCs w:val="18"/>
          <w:color w:val="auto"/>
        </w:rPr>
      </w:pPr>
    </w:p>
    <w:p>
      <w:pPr>
        <w:ind w:left="660" w:right="20"/>
        <w:spacing w:after="0" w:line="277" w:lineRule="auto"/>
        <w:rPr>
          <w:rFonts w:ascii="Arial" w:cs="Arial" w:eastAsia="Arial" w:hAnsi="Arial"/>
          <w:sz w:val="18"/>
          <w:szCs w:val="18"/>
          <w:color w:val="auto"/>
        </w:rPr>
      </w:pPr>
      <w:r>
        <w:rPr>
          <w:rFonts w:ascii="Arial" w:cs="Arial" w:eastAsia="Arial" w:hAnsi="Arial"/>
          <w:sz w:val="18"/>
          <w:szCs w:val="18"/>
          <w:color w:val="auto"/>
        </w:rPr>
        <w:t>(For purposes of the foregoing, it is acknowledged that the Option erroneously contains two Sections that are designated as “5(f),” and that the reference above to Section 5(f) refers to the second such Section.)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Ipsidy Inc. · 670 Long Beach Boulevard · Long Beach, New York 11561 · Tel +1 516 274 8700 · www.authid.ai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88745" cy="7886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388745" cy="78867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Philip R. Broenniman: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5, 2021</w:t>
      </w:r>
    </w:p>
    <w:p>
      <w:pPr>
        <w:spacing w:after="0" w:line="211"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addition, Section 7 of the Option is hereby deleted in its entirety and Section 8 of the Option is hereby replaced in its entirety with the following:</w:t>
      </w:r>
    </w:p>
    <w:p>
      <w:pPr>
        <w:spacing w:after="0" w:line="170"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Death of Optionee</w:t>
      </w:r>
      <w:r>
        <w:rPr>
          <w:rFonts w:ascii="Arial" w:cs="Arial" w:eastAsia="Arial" w:hAnsi="Arial"/>
          <w:sz w:val="18"/>
          <w:szCs w:val="18"/>
          <w:color w:val="auto"/>
        </w:rPr>
        <w:t>. If the Optionee shall die, Optionee’s personal representative or the person entitled to Optionee’s rights hereunder may at any time prior to the expiration date of this Option exercise this Option and purchase Shares to the extent, but only to the extent, that Optionee could have exercised this Option if Optionee were still alive; provided, in any case, that this Option may be so exercised only to the extent that this Option has not previously been exercised by Optionee.”</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all other respects the terms of the Option shall remain in full force and effect.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sign and return a copy of this letter by way of confirmation of your agreement to its terms.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Ipsidy Inc. dba authID.ai</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Thomas L.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Thomas L. Thimot CEO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AGREED AND CONSENTED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/s/s Philip R. Broenniman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 w:lineRule="exact"/>
        <w:rPr>
          <w:sz w:val="20"/>
          <w:szCs w:val="20"/>
          <w:color w:val="auto"/>
        </w:rPr>
      </w:pPr>
    </w:p>
    <w:p>
      <w:pPr>
        <w:spacing w:after="0"/>
        <w:tabs>
          <w:tab w:leader="none" w:pos="7180" w:val="left"/>
        </w:tabs>
        <w:rPr>
          <w:sz w:val="20"/>
          <w:szCs w:val="20"/>
          <w:color w:val="auto"/>
        </w:rPr>
      </w:pPr>
      <w:r>
        <w:rPr>
          <w:rFonts w:ascii="Arial" w:cs="Arial" w:eastAsia="Arial" w:hAnsi="Arial"/>
          <w:sz w:val="18"/>
          <w:szCs w:val="18"/>
          <w:color w:val="auto"/>
        </w:rPr>
        <w:t>Philip R. Broenniman</w:t>
      </w:r>
      <w:r>
        <w:rPr>
          <w:sz w:val="20"/>
          <w:szCs w:val="20"/>
          <w:color w:val="auto"/>
        </w:rPr>
        <w:tab/>
      </w:r>
      <w:r>
        <w:rPr>
          <w:rFonts w:ascii="Arial" w:cs="Arial" w:eastAsia="Arial" w:hAnsi="Arial"/>
          <w:sz w:val="16"/>
          <w:szCs w:val="16"/>
          <w:color w:val="auto"/>
        </w:rPr>
        <w:t>November 5, 2021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670 Long Beach Boulevard, · Long Beach, New York 11561 ·. Tel +1 516 274 8700 ·. www.ipsidy.com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Thimot, Chief Executive Officer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Ipsidy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52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57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8"/>
        <w:spacing w:after="0" w:line="308" w:lineRule="auto"/>
        <w:tabs>
          <w:tab w:leader="none" w:pos="527"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340" w:right="20" w:hanging="8"/>
        <w:spacing w:after="0" w:line="308" w:lineRule="auto"/>
        <w:tabs>
          <w:tab w:leader="none" w:pos="537"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rFonts w:ascii="Arial" w:cs="Arial" w:eastAsia="Arial" w:hAnsi="Arial"/>
          <w:sz w:val="17"/>
          <w:szCs w:val="17"/>
          <w:color w:val="auto"/>
        </w:rPr>
      </w:pPr>
    </w:p>
    <w:p>
      <w:pPr>
        <w:ind w:right="20" w:firstLine="8"/>
        <w:spacing w:after="0" w:line="308" w:lineRule="auto"/>
        <w:tabs>
          <w:tab w:leader="none" w:pos="197"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340" w:hanging="8"/>
        <w:spacing w:after="0" w:line="277" w:lineRule="auto"/>
        <w:tabs>
          <w:tab w:leader="none" w:pos="54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70" w:lineRule="exact"/>
        <w:rPr>
          <w:rFonts w:ascii="Arial" w:cs="Arial" w:eastAsia="Arial" w:hAnsi="Arial"/>
          <w:sz w:val="18"/>
          <w:szCs w:val="18"/>
          <w:color w:val="auto"/>
        </w:rPr>
      </w:pPr>
    </w:p>
    <w:p>
      <w:pPr>
        <w:ind w:left="340" w:hanging="8"/>
        <w:spacing w:after="0" w:line="277" w:lineRule="auto"/>
        <w:tabs>
          <w:tab w:leader="none" w:pos="55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6"/>
          <w:szCs w:val="16"/>
          <w:color w:val="auto"/>
        </w:rPr>
        <w:t>/s/ Thomas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Thomas Thimot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Stuart Stoller Chief Financial Officer,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Ipsidy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52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57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8"/>
        <w:spacing w:after="0" w:line="308" w:lineRule="auto"/>
        <w:tabs>
          <w:tab w:leader="none" w:pos="527"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340" w:right="20" w:hanging="8"/>
        <w:spacing w:after="0" w:line="308" w:lineRule="auto"/>
        <w:tabs>
          <w:tab w:leader="none" w:pos="537"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rFonts w:ascii="Arial" w:cs="Arial" w:eastAsia="Arial" w:hAnsi="Arial"/>
          <w:sz w:val="17"/>
          <w:szCs w:val="17"/>
          <w:color w:val="auto"/>
        </w:rPr>
      </w:pPr>
    </w:p>
    <w:p>
      <w:pPr>
        <w:ind w:right="20" w:firstLine="8"/>
        <w:spacing w:after="0" w:line="308" w:lineRule="auto"/>
        <w:tabs>
          <w:tab w:leader="none" w:pos="197"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340" w:hanging="8"/>
        <w:spacing w:after="0" w:line="277" w:lineRule="auto"/>
        <w:tabs>
          <w:tab w:leader="none" w:pos="54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70" w:lineRule="exact"/>
        <w:rPr>
          <w:rFonts w:ascii="Arial" w:cs="Arial" w:eastAsia="Arial" w:hAnsi="Arial"/>
          <w:sz w:val="18"/>
          <w:szCs w:val="18"/>
          <w:color w:val="auto"/>
        </w:rPr>
      </w:pPr>
    </w:p>
    <w:p>
      <w:pPr>
        <w:ind w:left="340" w:hanging="8"/>
        <w:spacing w:after="0" w:line="277" w:lineRule="auto"/>
        <w:tabs>
          <w:tab w:leader="none" w:pos="5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6"/>
          <w:szCs w:val="16"/>
          <w:color w:val="auto"/>
        </w:rPr>
        <w:t>/s/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Stuart Stoller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Ipsidy Inc. (the “Company”) on Form 10-Q for the quarter ended September 30, 2021 as filed with the Securities and Exchange Commission (the “Report”), I, Thomas Thimot, Chief Executive Officer of the Company, and, Stuart Stoller, Chief Financial Officer of the Company, certify, pursuant to 18 U.S.C. SS. 1350, as adopted pursuant to SS. 906 of the Sarbanes-Oxley Act of 2002, that:</w:t>
      </w:r>
    </w:p>
    <w:p>
      <w:pPr>
        <w:spacing w:after="0" w:line="16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Thomas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Thomas Thimot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November 8, 2021</w:t>
      </w:r>
      <w:r>
        <w:rPr>
          <w:sz w:val="20"/>
          <w:szCs w:val="20"/>
          <w:color w:val="auto"/>
        </w:rPr>
        <w:tab/>
      </w:r>
      <w:r>
        <w:rPr>
          <w:rFonts w:ascii="Arial" w:cs="Arial" w:eastAsia="Arial" w:hAnsi="Arial"/>
          <w:sz w:val="16"/>
          <w:szCs w:val="16"/>
          <w:color w:val="auto"/>
        </w:rPr>
        <w:t>/s/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Stuart Stoller, Chief Financial Officer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3"/>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lvl w:ilvl="1">
      <w:lvlJc w:val="left"/>
      <w:lvlText w:val="%2."/>
      <w:numFmt w:val="lowerLetter"/>
      <w:start w:val="1"/>
    </w:lvl>
  </w:abstractNum>
  <w:abstractNum w:abstractNumId="15">
    <w:nsid w:val="3F2DBA31"/>
    <w:multiLevelType w:val="hybridMultilevel"/>
    <w:lvl w:ilvl="0">
      <w:lvlJc w:val="left"/>
      <w:lvlText w:val="%1."/>
      <w:numFmt w:val="decimal"/>
      <w:start w:val="3"/>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3"/>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60" Type="http://schemas.openxmlformats.org/officeDocument/2006/relationships/image" Target="media/image33.png"/><Relationship Id="rId61" Type="http://schemas.openxmlformats.org/officeDocument/2006/relationships/image" Target="media/image34.png"/><Relationship Id="rId62" Type="http://schemas.openxmlformats.org/officeDocument/2006/relationships/image" Target="media/image35.png"/><Relationship Id="rId63" Type="http://schemas.openxmlformats.org/officeDocument/2006/relationships/image" Target="media/image36.png"/><Relationship Id="rId64" Type="http://schemas.openxmlformats.org/officeDocument/2006/relationships/image" Target="media/image37.jpeg"/><Relationship Id="rId65" Type="http://schemas.openxmlformats.org/officeDocument/2006/relationships/image" Target="media/image38.png"/><Relationship Id="rId66" Type="http://schemas.openxmlformats.org/officeDocument/2006/relationships/image" Target="media/image39.jpeg"/><Relationship Id="rId67" Type="http://schemas.openxmlformats.org/officeDocument/2006/relationships/image" Target="media/image40.png"/><Relationship Id="rId68" Type="http://schemas.openxmlformats.org/officeDocument/2006/relationships/image" Target="media/image41.png"/><Relationship Id="rId69" Type="http://schemas.openxmlformats.org/officeDocument/2006/relationships/image" Target="media/image42.png"/><Relationship Id="rId70" Type="http://schemas.openxmlformats.org/officeDocument/2006/relationships/image" Target="media/image43.jpeg"/><Relationship Id="rId71" Type="http://schemas.openxmlformats.org/officeDocument/2006/relationships/image" Target="media/image44.png"/><Relationship Id="rId72" Type="http://schemas.openxmlformats.org/officeDocument/2006/relationships/image" Target="media/image45.jpeg"/><Relationship Id="rId73" Type="http://schemas.openxmlformats.org/officeDocument/2006/relationships/image" Target="media/image46.png"/><Relationship Id="rId74" Type="http://schemas.openxmlformats.org/officeDocument/2006/relationships/image" Target="media/image47.png"/><Relationship Id="rId75" Type="http://schemas.openxmlformats.org/officeDocument/2006/relationships/image" Target="media/image48.png"/><Relationship Id="rId76" Type="http://schemas.openxmlformats.org/officeDocument/2006/relationships/image" Target="media/image49.png"/><Relationship Id="rId77" Type="http://schemas.openxmlformats.org/officeDocument/2006/relationships/image" Target="media/image50.png"/><Relationship Id="rId78" Type="http://schemas.openxmlformats.org/officeDocument/2006/relationships/image" Target="media/image51.png"/><Relationship Id="rId79" Type="http://schemas.openxmlformats.org/officeDocument/2006/relationships/image" Target="media/image52.png"/><Relationship Id="rId40" Type="http://schemas.openxmlformats.org/officeDocument/2006/relationships/hyperlink" Target="http://www.sec.gov/Archives/edgar/data/1534154/000121390021017290/ea138222ex3-1_ipsidyinc.htm" TargetMode="External"/><Relationship Id="rId41" Type="http://schemas.openxmlformats.org/officeDocument/2006/relationships/hyperlink" Target="http://www.sec.gov/Archives/edgar/data/1534154/000121390021003556/ea133739ex3-1_ipsidy.htm" TargetMode="External"/><Relationship Id="rId42" Type="http://schemas.openxmlformats.org/officeDocument/2006/relationships/hyperlink" Target="http://www.sec.gov/Archives/edgar/data/1534154/000121390021032569/ea142763ex3-1_ipsidyinc.htm" TargetMode="External"/><Relationship Id="rId43" Type="http://schemas.openxmlformats.org/officeDocument/2006/relationships/hyperlink" Target="http://www.sec.gov/Archives/edgar/data/1534154/000121390021032569/ea142763ex4-1_ipsidyinc.htm" TargetMode="External"/><Relationship Id="rId44" Type="http://schemas.openxmlformats.org/officeDocument/2006/relationships/hyperlink" Target="http://www.sec.gov/Archives/edgar/data/1534154/000121390019026249/f8k121019ex4-3_ipsidy.htm" TargetMode="External"/><Relationship Id="rId45" Type="http://schemas.openxmlformats.org/officeDocument/2006/relationships/hyperlink" Target="http://www.sec.gov/Archives/edgar/data/1534154/000121390020004127/f8k021420ex4-1_ipsidyinc.htm" TargetMode="External"/><Relationship Id="rId46" Type="http://schemas.openxmlformats.org/officeDocument/2006/relationships/hyperlink" Target="http://www.sec.gov/Archives/edgar/data/1534154/000121390020004127/f8k021420ex4-2_ipsidyinc.htm" TargetMode="External"/><Relationship Id="rId47" Type="http://schemas.openxmlformats.org/officeDocument/2006/relationships/hyperlink" Target="http://www.sec.gov/Archives/edgar/data/1534154/000121390020011887/ea121728ex4-1_ipsidyinc.htm" TargetMode="External"/><Relationship Id="rId48" Type="http://schemas.openxmlformats.org/officeDocument/2006/relationships/hyperlink" Target="http://www.sec.gov/Archives/edgar/data/1534154/000121390021024897/f10q0321ex4-15_ipsidyinc.htm" TargetMode="External"/><Relationship Id="rId49" Type="http://schemas.openxmlformats.org/officeDocument/2006/relationships/hyperlink" Target="http://www.sec.gov/Archives/edgar/data/1534154/000121390021032569/ea142763ex10-6_ipsidyinc.htm" TargetMode="External"/><Relationship Id="rId50" Type="http://schemas.openxmlformats.org/officeDocument/2006/relationships/hyperlink" Target="http://www.sec.gov/Archives/edgar/data/1534154/000121390021032569/ea142763ex10-5_ipsidyinc.htm" TargetMode="External"/><Relationship Id="rId51" Type="http://schemas.openxmlformats.org/officeDocument/2006/relationships/hyperlink" Target="http://www.sec.gov/Archives/edgar/data/1534154/000161577417000313/s105211_ex10-2.htm" TargetMode="External"/><Relationship Id="rId52" Type="http://schemas.openxmlformats.org/officeDocument/2006/relationships/hyperlink" Target="http://www.sec.gov/Archives/edgar/data/1534154/000161577417000380/s105242_ex10-2.htm" TargetMode="External"/><Relationship Id="rId53" Type="http://schemas.openxmlformats.org/officeDocument/2006/relationships/hyperlink" Target="http://www.sec.gov/Archives/edgar/data/1534154/000161577418003344/s109839_ex10-27.htm" TargetMode="External"/><Relationship Id="rId54" Type="http://schemas.openxmlformats.org/officeDocument/2006/relationships/hyperlink" Target="http://www.sec.gov/Archives/edgar/data/1534154/000121390021032569/ea142763ex10-1_ipsidyinc.htm" TargetMode="External"/><Relationship Id="rId55" Type="http://schemas.openxmlformats.org/officeDocument/2006/relationships/hyperlink" Target="http://www.sec.gov/Archives/edgar/data/1534154/000121390021032569/ea142763ex10-2_ipsidyinc.htm" TargetMode="External"/><Relationship Id="rId56" Type="http://schemas.openxmlformats.org/officeDocument/2006/relationships/hyperlink" Target="http://www.sec.gov/Archives/edgar/data/1534154/000121390021032569/ea142763ex10-3_ipsidyinc.htm" TargetMode="External"/><Relationship Id="rId57" Type="http://schemas.openxmlformats.org/officeDocument/2006/relationships/hyperlink" Target="http://www.sec.gov/Archives/edgar/data/1534154/000121390021032569/ea142763ex10-4_ipsidyinc.htm" TargetMode="External"/><Relationship Id="rId58" Type="http://schemas.openxmlformats.org/officeDocument/2006/relationships/hyperlink" Target="http://www.sec.gov/Archives/edgar/data/1534154/000161577417003593/s106516_ex14-1.htm" TargetMode="External"/><Relationship Id="rId59" Type="http://schemas.openxmlformats.org/officeDocument/2006/relationships/hyperlink" Target="http://www.sec.gov/Archives/edgar/data/1534154/000161577417003593/s106516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2021-11-08T15:27:53Z</dcterms:created>
  <dcterms:modified xsi:type="dcterms:W3CDTF">2021-11-08T15:27:53Z</dcterms:modified>
</cp:coreProperties>
</file>