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4000" w:right="1480" w:hanging="2511"/>
        <w:spacing w:after="0" w:line="401" w:lineRule="auto"/>
        <w:tabs>
          <w:tab w:leader="none" w:pos="169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June 30, 2020</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4"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100330</wp:posOffset>
            </wp:positionV>
            <wp:extent cx="72898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89"/>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1"/>
              </w:rPr>
              <w:t>670 Long Beach Boulevard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Long Beach, New York</w:t>
            </w:r>
          </w:p>
        </w:tc>
        <w:tc>
          <w:tcPr>
            <w:tcW w:w="3560" w:type="dxa"/>
            <w:vAlign w:val="bottom"/>
          </w:tcPr>
          <w:p>
            <w:pPr>
              <w:spacing w:after="0"/>
              <w:rPr>
                <w:sz w:val="18"/>
                <w:szCs w:val="18"/>
                <w:color w:val="auto"/>
              </w:rPr>
            </w:pPr>
          </w:p>
        </w:tc>
      </w:tr>
      <w:tr>
        <w:trPr>
          <w:trHeight w:val="216"/>
        </w:trPr>
        <w:tc>
          <w:tcPr>
            <w:tcW w:w="7680" w:type="dxa"/>
            <w:vAlign w:val="bottom"/>
            <w:gridSpan w:val="3"/>
          </w:tcPr>
          <w:p>
            <w:pPr>
              <w:jc w:val="right"/>
              <w:ind w:right="1840"/>
              <w:spacing w:after="0"/>
              <w:rPr>
                <w:sz w:val="20"/>
                <w:szCs w:val="20"/>
                <w:color w:val="auto"/>
              </w:rPr>
            </w:pPr>
            <w:r>
              <w:rPr>
                <w:rFonts w:ascii="Arial" w:cs="Arial" w:eastAsia="Arial" w:hAnsi="Arial"/>
                <w:sz w:val="18"/>
                <w:szCs w:val="18"/>
                <w:color w:val="auto"/>
              </w:rPr>
              <w:t>11561</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337"/>
        </w:trPr>
        <w:tc>
          <w:tcPr>
            <w:tcW w:w="7680" w:type="dxa"/>
            <w:vAlign w:val="bottom"/>
            <w:gridSpan w:val="3"/>
          </w:tcPr>
          <w:p>
            <w:pPr>
              <w:jc w:val="right"/>
              <w:ind w:right="1540"/>
              <w:spacing w:after="0"/>
              <w:rPr>
                <w:sz w:val="20"/>
                <w:szCs w:val="20"/>
                <w:color w:val="auto"/>
              </w:rPr>
            </w:pPr>
            <w:r>
              <w:rPr>
                <w:rFonts w:ascii="Arial" w:cs="Arial" w:eastAsia="Arial" w:hAnsi="Arial"/>
                <w:sz w:val="18"/>
                <w:szCs w:val="18"/>
                <w:color w:val="auto"/>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2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320" w:hanging="209"/>
        <w:spacing w:after="0" w:line="207" w:lineRule="exact"/>
        <w:tabs>
          <w:tab w:leader="none" w:pos="5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5320" w:hanging="209"/>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6" w:right="339" w:bottom="1440" w:gutter="0" w:footer="0" w:header="0"/>
        </w:sectPr>
      </w:pPr>
    </w:p>
    <w:p>
      <w:pPr>
        <w:spacing w:after="0" w:line="70" w:lineRule="exact"/>
        <w:rPr>
          <w:sz w:val="24"/>
          <w:szCs w:val="24"/>
          <w:color w:val="auto"/>
        </w:rPr>
      </w:pPr>
    </w:p>
    <w:p>
      <w:pPr>
        <w:ind w:left="8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8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5920" w:space="720"/>
            <w:col w:w="4600"/>
          </w:cols>
          <w:pgMar w:left="320" w:top="436"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Not applicable.</w:t>
      </w:r>
    </w:p>
    <w:p>
      <w:pPr>
        <w:spacing w:after="0" w:line="144" w:lineRule="exact"/>
        <w:rPr>
          <w:sz w:val="24"/>
          <w:szCs w:val="24"/>
          <w:color w:val="auto"/>
        </w:rPr>
      </w:pPr>
    </w:p>
    <w:p>
      <w:pPr>
        <w:ind w:left="1160"/>
        <w:spacing w:after="0"/>
        <w:tabs>
          <w:tab w:leader="none" w:pos="5040" w:val="left"/>
          <w:tab w:leader="none" w:pos="78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Not applicable.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July 31, 2020</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546,654,196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0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0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Page No.</w:t>
            </w:r>
          </w:p>
        </w:tc>
      </w:tr>
      <w:tr>
        <w:trPr>
          <w:trHeight w:val="216"/>
        </w:trPr>
        <w:tc>
          <w:tcPr>
            <w:tcW w:w="10340" w:type="dxa"/>
            <w:vAlign w:val="bottom"/>
            <w:shd w:val="clear" w:color="auto" w:fill="CCEEFF"/>
          </w:tcPr>
          <w:p>
            <w:pPr>
              <w:ind w:left="36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9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1 - 5</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(unaudited) and December 31, 2019</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and Six Months Ended June 30, 2020 and 2019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Comprehensive Loss for the Three and Six Months Ended June 30, 2020 and 2019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w w:val="94"/>
              </w:rPr>
            </w:pPr>
            <w:hyperlink w:anchor="page7">
              <w:r>
                <w:rPr>
                  <w:rFonts w:ascii="Arial" w:cs="Arial" w:eastAsia="Arial" w:hAnsi="Arial"/>
                  <w:sz w:val="18"/>
                  <w:szCs w:val="18"/>
                  <w:u w:val="single" w:color="auto"/>
                  <w:color w:val="0000EE"/>
                  <w:w w:val="94"/>
                </w:rPr>
                <w:t>Condensed Consolidated Statements of Stockholders’ Equity for the Three and Six Months Ended June 30, 2020 and 2019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June 30, 2020 and 2019 (unaudited)</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6-22</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 Quantitative and Qualitative Disclosures About Market Risk.</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Item 4. Controls and Procedures</w:t>
              </w:r>
              <w:r>
                <w:rPr>
                  <w:rFonts w:ascii="Arial" w:cs="Arial" w:eastAsia="Arial" w:hAnsi="Arial"/>
                  <w:sz w:val="18"/>
                  <w:szCs w:val="18"/>
                  <w:color w:val="0000EE"/>
                </w:rPr>
                <w:t>.</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ind w:left="380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 OTHER INFORMATION</w:t>
              </w:r>
            </w:hyperlink>
          </w:p>
        </w:tc>
        <w:tc>
          <w:tcPr>
            <w:tcW w:w="9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 Legal Proceedings.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 Risk Factors.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2. Unregistered Sales of Equity Securities and Use of Proceeds</w:t>
              </w:r>
              <w:r>
                <w:rPr>
                  <w:rFonts w:ascii="Arial" w:cs="Arial" w:eastAsia="Arial" w:hAnsi="Arial"/>
                  <w:sz w:val="18"/>
                  <w:szCs w:val="18"/>
                  <w:color w:val="0000EE"/>
                </w:rPr>
                <w:t>.</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 Defaults Upon Senior Securities.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4. Mine Safety Disclosures</w:t>
              </w:r>
              <w:r>
                <w:rPr>
                  <w:rFonts w:ascii="Arial" w:cs="Arial" w:eastAsia="Arial" w:hAnsi="Arial"/>
                  <w:sz w:val="18"/>
                  <w:szCs w:val="18"/>
                  <w:color w:val="0000EE"/>
                </w:rPr>
                <w:t>.</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5. Other Information.</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10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 Exhibits.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29-31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2019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the “Company,” “we,” “our,” “us,” and similar terms refer to Ipsidy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information which appears on our website </w:t>
      </w:r>
      <w:r>
        <w:rPr>
          <w:rFonts w:ascii="Arial" w:cs="Arial" w:eastAsia="Arial" w:hAnsi="Arial"/>
          <w:sz w:val="18"/>
          <w:szCs w:val="18"/>
          <w:u w:val="single" w:color="auto"/>
          <w:color w:val="auto"/>
        </w:rPr>
        <w:t>www.ipsidy.com</w:t>
      </w:r>
      <w:r>
        <w:rPr>
          <w:rFonts w:ascii="Arial" w:cs="Arial" w:eastAsia="Arial" w:hAnsi="Arial"/>
          <w:sz w:val="18"/>
          <w:szCs w:val="18"/>
          <w:color w:val="auto"/>
        </w:rPr>
        <w:t xml:space="preserve"> is not part of this report.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IPSIDY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jc w:val="center"/>
              <w:ind w:left="2470"/>
              <w:spacing w:after="0"/>
              <w:rPr>
                <w:sz w:val="20"/>
                <w:szCs w:val="20"/>
                <w:color w:val="auto"/>
              </w:rPr>
            </w:pPr>
            <w:r>
              <w:rPr>
                <w:rFonts w:ascii="Arial" w:cs="Arial" w:eastAsia="Arial" w:hAnsi="Arial"/>
                <w:sz w:val="18"/>
                <w:szCs w:val="18"/>
                <w:color w:val="auto"/>
                <w:w w:val="90"/>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158,635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125,859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subscription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965,033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68,909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65,333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173,575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379,139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753,505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241,600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383,066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5,272,041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5,593,612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5,218,861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459,331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12,819,120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74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2,655,107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2,215,912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454,086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425,276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3,151,786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2,681,345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net of discounts and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490,392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1,970,937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debt, net of discounts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5,563,538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92,503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9,328,983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$0.0001 par value, 1,000,000,000 shares authorized; 546,654,196 and 518,125,454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and outstanding as of June 30, 2020 and 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54,665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97,528,578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94,982,167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(94,234,462)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(86,935,593)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3,490,137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8,275,771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12,819,120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641"/>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Six Months Ended</w:t>
            </w:r>
          </w:p>
        </w:tc>
      </w:tr>
      <w:tr>
        <w:trPr>
          <w:trHeight w:val="263"/>
        </w:trPr>
        <w:tc>
          <w:tcPr>
            <w:tcW w:w="5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306,692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628,905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1,085,630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1,352,846</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14,427</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16,056</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29,278</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32,493</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1,385,339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61,798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189,261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417,521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365,724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2,389,794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2,007,038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3,872,916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4,147,869</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190,339</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366,292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620,740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796,962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163,822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1,035,629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321,987</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166,908</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647,331</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327,696</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3,127,740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2,729,499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6,594,137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5,638,251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(2,806,621)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(2,084,538)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(5,479,229)</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(4,252,912)</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(310,153)</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(93,260)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(489,203)</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(180,150)</w:t>
            </w: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(342,082)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6,271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(1,317,971)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12,497</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Other expense, net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(652,235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(86,989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(1,807,174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(167,653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598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(3,458,856)</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(2,171,527)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(7,286,403)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(4,420,565)</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(3,592)</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(4,264)</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(12,466)</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(17,965)</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(3,462,448</w:t>
            </w:r>
            <w:r>
              <w:rPr>
                <w:rFonts w:ascii="Arial" w:cs="Arial" w:eastAsia="Arial" w:hAnsi="Arial"/>
                <w:sz w:val="29"/>
                <w:szCs w:val="29"/>
                <w:color w:val="auto"/>
                <w:vertAlign w:val="super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(2,175,791</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(7,298,869</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(4,438,530</w:t>
            </w:r>
            <w:r>
              <w:rPr>
                <w:rFonts w:ascii="Arial" w:cs="Arial" w:eastAsia="Arial" w:hAnsi="Arial"/>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tcPr>
          <w:p>
            <w:pPr>
              <w:spacing w:after="0"/>
              <w:rPr>
                <w:sz w:val="22"/>
                <w:szCs w:val="22"/>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w w:val="93"/>
              </w:rPr>
              <w:t>523,234,921</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479,787,679</w:t>
            </w: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w w:val="91"/>
              </w:rPr>
              <w:t>524,207,499</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9"/>
              </w:rPr>
              <w:t>476,369,338</w:t>
            </w:r>
          </w:p>
        </w:tc>
        <w:tc>
          <w:tcPr>
            <w:tcW w:w="8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9"/>
                <w:szCs w:val="19"/>
                <w:color w:val="auto"/>
              </w:rPr>
            </w:pPr>
          </w:p>
        </w:tc>
        <w:tc>
          <w:tcPr>
            <w:tcW w:w="2320" w:type="dxa"/>
            <w:vAlign w:val="bottom"/>
            <w:gridSpan w:val="5"/>
          </w:tcPr>
          <w:p>
            <w:pPr>
              <w:jc w:val="right"/>
              <w:ind w:right="581"/>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(3,462,448)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(2,175,791)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(7,298,869)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(4,438,530)</w:t>
            </w: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80,235</w:t>
            </w:r>
          </w:p>
        </w:tc>
        <w:tc>
          <w:tcPr>
            <w:tcW w:w="26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(10,526)</w:t>
            </w: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(36,029)</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13,702</w:t>
            </w:r>
          </w:p>
        </w:tc>
      </w:tr>
      <w:tr>
        <w:trPr>
          <w:trHeight w:val="250"/>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(3,382,213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(2,186,317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(7,334,898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(4,424,828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40" w:type="dxa"/>
            <w:vAlign w:val="bottom"/>
            <w:gridSpan w:val="5"/>
            <w:vMerge w:val="restart"/>
          </w:tcPr>
          <w:p>
            <w:pPr>
              <w:jc w:val="right"/>
              <w:ind w:right="9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74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19"/>
                <w:szCs w:val="19"/>
                <w:color w:val="auto"/>
              </w:rPr>
            </w:pPr>
          </w:p>
        </w:tc>
        <w:tc>
          <w:tcPr>
            <w:tcW w:w="1320" w:type="dxa"/>
            <w:vAlign w:val="bottom"/>
            <w:gridSpan w:val="3"/>
          </w:tcPr>
          <w:p>
            <w:pPr>
              <w:jc w:val="right"/>
              <w:ind w:right="201"/>
              <w:spacing w:after="0"/>
              <w:rPr>
                <w:sz w:val="20"/>
                <w:szCs w:val="20"/>
                <w:color w:val="auto"/>
              </w:rPr>
            </w:pPr>
            <w:r>
              <w:rPr>
                <w:rFonts w:ascii="Arial" w:cs="Arial" w:eastAsia="Arial" w:hAnsi="Arial"/>
                <w:sz w:val="18"/>
                <w:szCs w:val="18"/>
                <w:color w:val="auto"/>
                <w:w w:val="97"/>
              </w:rPr>
              <w:t>Accumulated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gridSpan w:val="3"/>
            <w:vMerge w:val="restart"/>
          </w:tcPr>
          <w:p>
            <w:pPr>
              <w:spacing w:after="0"/>
              <w:rPr>
                <w:sz w:val="20"/>
                <w:szCs w:val="20"/>
                <w:color w:val="auto"/>
              </w:rPr>
            </w:pPr>
            <w:r>
              <w:rPr>
                <w:rFonts w:ascii="Arial" w:cs="Arial" w:eastAsia="Arial" w:hAnsi="Arial"/>
                <w:sz w:val="18"/>
                <w:szCs w:val="18"/>
                <w:color w:val="auto"/>
              </w:rPr>
              <w:t>Six Months Ended June 30, 2020</w:t>
            </w:r>
          </w:p>
        </w:tc>
        <w:tc>
          <w:tcPr>
            <w:tcW w:w="13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Income</w:t>
            </w:r>
          </w:p>
        </w:tc>
        <w:tc>
          <w:tcPr>
            <w:tcW w:w="2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62"/>
        </w:trPr>
        <w:tc>
          <w:tcPr>
            <w:tcW w:w="3280" w:type="dxa"/>
            <w:vAlign w:val="bottom"/>
            <w:gridSpan w:val="3"/>
            <w:vMerge w:val="continue"/>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518,125,454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94,982,167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(86,935,593)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3,441,558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199,656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20,480,992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Modification of warrants issued with</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340"/>
              <w:spacing w:after="0"/>
              <w:rPr>
                <w:sz w:val="20"/>
                <w:szCs w:val="20"/>
                <w:color w:val="auto"/>
              </w:rPr>
            </w:pPr>
            <w:r>
              <w:rPr>
                <w:rFonts w:ascii="Arial" w:cs="Arial" w:eastAsia="Arial" w:hAnsi="Arial"/>
                <w:sz w:val="18"/>
                <w:szCs w:val="18"/>
                <w:color w:val="auto"/>
              </w:rPr>
              <w:t>debt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 inducement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4,500,000</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629,543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 issued for services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106,192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(7,298,869)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(7,298,869)</w:t>
            </w:r>
          </w:p>
        </w:tc>
        <w:tc>
          <w:tcPr>
            <w:tcW w:w="0" w:type="dxa"/>
            <w:vAlign w:val="bottom"/>
          </w:tcPr>
          <w:p>
            <w:pPr>
              <w:spacing w:after="0"/>
              <w:rPr>
                <w:sz w:val="1"/>
                <w:szCs w:val="1"/>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(36,029)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(36,029)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Balances, June 30, 2020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gridSpan w:val="3"/>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546,654,196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54,665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97,528,578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(94,234,462</w:t>
            </w:r>
          </w:p>
        </w:tc>
        <w:tc>
          <w:tcPr>
            <w:tcW w:w="2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141,356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3,490,137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Three Months Ended June 30, 2020</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522,731,646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95,254,309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(90,772,014)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3,441,558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199,656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Warrant exercise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20,480,992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Warrant exercise inducement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366,795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(3,462,448)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(3,462,448)</w:t>
            </w:r>
          </w:p>
        </w:tc>
        <w:tc>
          <w:tcPr>
            <w:tcW w:w="0" w:type="dxa"/>
            <w:vAlign w:val="bottom"/>
          </w:tcPr>
          <w:p>
            <w:pPr>
              <w:spacing w:after="0"/>
              <w:rPr>
                <w:sz w:val="1"/>
                <w:szCs w:val="1"/>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80,235</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Balances, June 30, 2020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gridSpan w:val="3"/>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546,654,196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54,665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97,528,578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(94,234,462</w:t>
            </w:r>
          </w:p>
        </w:tc>
        <w:tc>
          <w:tcPr>
            <w:tcW w:w="2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141,356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3,490,137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Six Months Ended June 30, 2019</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478,950,996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90,770,682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(76,435,235)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14,591,096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38,763,750</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3,876</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2,828,276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2,832,152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stocck issued for services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410,708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787,720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(4,438,530)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(4,438,530)</w:t>
            </w:r>
          </w:p>
        </w:tc>
        <w:tc>
          <w:tcPr>
            <w:tcW w:w="0" w:type="dxa"/>
            <w:vAlign w:val="bottom"/>
          </w:tcPr>
          <w:p>
            <w:pPr>
              <w:spacing w:after="0"/>
              <w:rPr>
                <w:sz w:val="1"/>
                <w:szCs w:val="1"/>
                <w:color w:val="auto"/>
              </w:rPr>
            </w:pPr>
          </w:p>
        </w:tc>
      </w:tr>
      <w:tr>
        <w:trPr>
          <w:trHeight w:val="229"/>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13,702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3"/>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518,125,454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94,427,749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(80,873,765</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13,827,252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Three Months Ended June 30, 2019</w:t>
            </w:r>
          </w:p>
        </w:tc>
        <w:tc>
          <w:tcPr>
            <w:tcW w:w="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Balances, March 31, 2019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478,950,996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47,895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91,186,061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(78,697,974)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231,982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12,767,964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38,763,750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2,828,276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Common stock issued for services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410,708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41,071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(2,175,791)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(2,175,791)</w:t>
            </w:r>
          </w:p>
        </w:tc>
        <w:tc>
          <w:tcPr>
            <w:tcW w:w="0" w:type="dxa"/>
            <w:vAlign w:val="bottom"/>
          </w:tcPr>
          <w:p>
            <w:pPr>
              <w:spacing w:after="0"/>
              <w:rPr>
                <w:sz w:val="1"/>
                <w:szCs w:val="1"/>
                <w:color w:val="auto"/>
              </w:rPr>
            </w:pPr>
          </w:p>
        </w:tc>
      </w:tr>
      <w:tr>
        <w:trPr>
          <w:trHeight w:val="162"/>
        </w:trPr>
        <w:tc>
          <w:tcPr>
            <w:tcW w:w="328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vMerge w:val="restart"/>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280" w:type="dxa"/>
            <w:vAlign w:val="bottom"/>
            <w:gridSpan w:val="3"/>
            <w:vMerge w:val="continue"/>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tcBorders>
              <w:right w:val="single" w:sz="8" w:color="CCEEFF"/>
            </w:tcBorders>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shd w:val="clear" w:color="auto" w:fill="CCEEFF"/>
          </w:tcPr>
          <w:p>
            <w:pPr>
              <w:jc w:val="right"/>
              <w:ind w:right="220"/>
              <w:spacing w:after="0" w:line="68" w:lineRule="exact"/>
              <w:rPr>
                <w:sz w:val="20"/>
                <w:szCs w:val="20"/>
                <w:color w:val="auto"/>
              </w:rPr>
            </w:pPr>
            <w:r>
              <w:rPr>
                <w:rFonts w:ascii="Arial" w:cs="Arial" w:eastAsia="Arial" w:hAnsi="Arial"/>
                <w:sz w:val="7"/>
                <w:szCs w:val="7"/>
                <w:color w:val="auto"/>
              </w:rPr>
              <w:t>(10,526</w:t>
            </w: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jc w:val="right"/>
              <w:spacing w:after="0" w:line="68" w:lineRule="exact"/>
              <w:rPr>
                <w:sz w:val="20"/>
                <w:szCs w:val="20"/>
                <w:color w:val="auto"/>
              </w:rPr>
            </w:pPr>
            <w:r>
              <w:rPr>
                <w:rFonts w:ascii="Arial" w:cs="Arial" w:eastAsia="Arial" w:hAnsi="Arial"/>
                <w:sz w:val="7"/>
                <w:szCs w:val="7"/>
                <w:color w:val="auto"/>
              </w:rPr>
              <w:t>(10,526</w:t>
            </w: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Balances, June 30, 2019</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3"/>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518,125,454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51,812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94,427,749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(80,873,765</w:t>
            </w:r>
          </w:p>
        </w:tc>
        <w:tc>
          <w:tcPr>
            <w:tcW w:w="2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221,456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13,827,252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301"/>
              <w:spacing w:after="0"/>
              <w:rPr>
                <w:sz w:val="20"/>
                <w:szCs w:val="20"/>
                <w:color w:val="auto"/>
              </w:rPr>
            </w:pPr>
            <w:r>
              <w:rPr>
                <w:rFonts w:ascii="Arial" w:cs="Arial" w:eastAsia="Arial" w:hAnsi="Arial"/>
                <w:sz w:val="18"/>
                <w:szCs w:val="18"/>
                <w:color w:val="auto"/>
                <w:w w:val="95"/>
              </w:rPr>
              <w:t>For the Six Months Ended</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(7,298,869)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(4,438,530)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used in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600,978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327,696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629,993</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787,720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note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985,481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 net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214,668</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54,882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issued for services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41,112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Warrant exercise inducement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366,795</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loss/write-off of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1,059,495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(63,869)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31,796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28,581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21,984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(60,818)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374,366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155,035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1,056,433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324,076</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28,810</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173,518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(1,951,287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(2,670,597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(2,394)</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13,462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other assets including work in process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(124,870)</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(940,068)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note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1,510,000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(104,800)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common stock offering, net of offering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2,832,152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warrants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283,950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payroll protection loan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485,760</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obligations and notes payable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(19,487)</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2,355,423</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2,817,165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Effect of foreign currencies exchange on cash</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(42,465)</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20,291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247,869</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(788,111)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567,081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4,972,331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End of Period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814,950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4,184,220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convertible debt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95,223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Exchange of notes payable and accrued interest for convertible notes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2,662,000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Warrant exercise with a subscription receivable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Settlement of accounts payable with common stock</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Purchase of vehicle with note payable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Recognition of lease right to use assets and labilities</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514,473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Reclassification of software development to intangible costs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252,875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37"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2019. The results of operations for the three and six months ended June 30, 2020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 had an accumulated deficit of approximately $94.2 million. For the six months ended June 30, 2020 the Company earned revenue of approximately $1.1 million and incurred a loss from operations of approximately $5.5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the Company received a loan of approximately $485,000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purchased 3,441,558 shares of common stock at an average price of $0.06 cents per share for $200,000.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on June 30, 2020, the Company entered into and consummated private transactions pursuant to which a portion of the Company’s warrants exercisable at various prices were exercised at an average exercise price of $0.06 per share for approximately $1,249,000. The Company received cash proceeds of $283,950 and a stock subscription receivable for $965,033 which was received in full subsequent to June 30, 2020.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starting in May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inquiries about our services has increased during the last three months, as our products are designed to serve an increasingly mobile economy and workforce.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six months ended June 30, 2020 and 2019 because their effect was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159,744,061</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106,600,006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29,130,069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47,453,227</w:t>
            </w:r>
          </w:p>
        </w:tc>
        <w:tc>
          <w:tcPr>
            <w:tcW w:w="0" w:type="dxa"/>
            <w:vAlign w:val="bottom"/>
          </w:tcPr>
          <w:p>
            <w:pPr>
              <w:spacing w:after="0"/>
              <w:rPr>
                <w:sz w:val="1"/>
                <w:szCs w:val="1"/>
                <w:color w:val="auto"/>
              </w:rPr>
            </w:pPr>
          </w:p>
        </w:tc>
      </w:tr>
      <w:tr>
        <w:trPr>
          <w:trHeight w:val="27"/>
        </w:trPr>
        <w:tc>
          <w:tcPr>
            <w:tcW w:w="8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gridSpan w:val="2"/>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188,874,130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154,053,233</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Inventories of kiosks held by IDGS S.A.S are stated at the lower of cost (using the first-in, first-out method) or net realizable value. The kiosks provide electronic ticketing for transit systems. Inventory of plastic/ID cards, digital printing material, which are held by Cards Plus Pty Ltd., are at the lower of cost (using the average method) or market. The Plastic/ID cards and digital printing material are used to provide plastic loyal ID and other types of cards. Inventories at June 30, 2020 consist solely of the cards inventory. As of December 31, 2019, inventory consisted of kiosks that were not placed into service and were held for sale and cards inventory. Any adjustments to reduce the cost of inventories to their net realizable value are recognized in earnings in the current period. As of December 31, 2019, the Company had an inventory valuation allowance of approximately $236,000 to reflect net realizable value of the kiosks that are being held for sale and the Company believed no valuation allowance was necessary regarding the cards inventory. As of June 30, 2020, the Company did not believe a valuation allowance was necessary for the cards inventory.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the Company’s revenue recognition policy determined by revenue stream for its significant revenue generating activities during the period ended June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Cards Plus - The Company recognizes revenue for the design and production of cards when products are shipped, or services have been performed due to the short-term nature of the contracts.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deferred revenue contract liability of approximately $454,000 and $425,000 as of June 30, 2020 and December 31, 2019 for certain revenue that will be earned in future periods. The majority of the $425,000 of deferred revenue contract liability as of December 31, 2019 was earned in the first three months of 2020. The $454,000 of deferred revenue contract liability as of June 30, 2020 will be earned over the ensuing four quarters. We have allocated the selling price in the contract to one customer which has multiple performance obligations based on the contract selling price that we believe represents a fair market price for the service rendered.</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contracts are reviewed for their respective performance obligations and related revenue and expense recognition implications. Certain of the revenues are derived from the identity services could include multiple performance obligations. A performance obligation under the revenue standard is defined as a promise to provide a “distinct” good or service to a customer. The Company has determined that one possible treatment under the standard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may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the Company capitalizes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capitalizes the costs incurred to acquire and fulfill a contract only if those costs meet all the following criteria:</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capitalize contract acquisition and fulfillment costs related to signing or renewing contracts that meet the above criteria, which will be classified as contract cost assets in the Company’s Consolidated Balance Sheets.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sales in the Company’s Consolidated Statements of Operations. The amortization of contract acquisition cost assets associated with sales commissions that qualify for capitalization will be recorded as general and administrative expense in the Company’s Consolidated Statements of Operations.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2020, the Company had deferred contract costs, represented by contract cost assets of approximately $3,750 which are included in other currents assets for certain costs incurred for the future delivery of election support services. The performance obligation will be met over the next year and the costs will be expensed as the associated revenue is recognized as the Company performances its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June 30, 2020 and December 31, 2019: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9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Equipment under capital lease (see Note 10)</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156,867</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156,867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(327,762)</w:t>
            </w: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(277,363)</w:t>
            </w:r>
          </w:p>
        </w:tc>
        <w:tc>
          <w:tcPr>
            <w:tcW w:w="0" w:type="dxa"/>
            <w:vAlign w:val="bottom"/>
          </w:tcPr>
          <w:p>
            <w:pPr>
              <w:spacing w:after="0"/>
              <w:rPr>
                <w:sz w:val="1"/>
                <w:szCs w:val="1"/>
                <w:color w:val="auto"/>
              </w:rPr>
            </w:pPr>
          </w:p>
        </w:tc>
      </w:tr>
      <w:tr>
        <w:trPr>
          <w:trHeight w:val="250"/>
        </w:trPr>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113,815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w w:val="96"/>
              </w:rPr>
              <w:t>Depreciation expense totaled $26,533 and $45,203 for the six months ended June 30, 2020 and 2019, respectively.</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b w:val="1"/>
                <w:bCs w:val="1"/>
                <w:color w:val="auto"/>
              </w:rPr>
              <w:t>NOTE 3 – OTHER ASSETS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Other assets consisted of the following at June 30, 2020 and December 31, 2019: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7"/>
        </w:trPr>
        <w:tc>
          <w:tcPr>
            <w:tcW w:w="89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and development costs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89,210</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171,141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83,920</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9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241,600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383,066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INTANGIBLE ASSETS, NET (OTHER THAN GOODWILL)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intangible assets consist of acquired and developed software and intellectual property acquired from MultiPay and FIN and are amortized over their estimated useful lives as indicated below. The following is a summary of activity related to intangible assets for the three months ended June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6"/>
          </w:tcPr>
          <w:p>
            <w:pPr>
              <w:jc w:val="center"/>
              <w:ind w:right="260"/>
              <w:spacing w:after="0"/>
              <w:rPr>
                <w:sz w:val="20"/>
                <w:szCs w:val="20"/>
                <w:color w:val="auto"/>
              </w:rPr>
            </w:pPr>
            <w:r>
              <w:rPr>
                <w:rFonts w:ascii="Arial" w:cs="Arial" w:eastAsia="Arial" w:hAnsi="Arial"/>
                <w:sz w:val="18"/>
                <w:szCs w:val="18"/>
                <w:color w:val="auto"/>
                <w:w w:val="95"/>
              </w:rPr>
              <w:t>Acquired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center"/>
              <w:ind w:right="42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Customer</w:t>
            </w:r>
          </w:p>
        </w:tc>
        <w:tc>
          <w:tcPr>
            <w:tcW w:w="106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Developed</w:t>
            </w:r>
          </w:p>
        </w:tc>
        <w:tc>
          <w:tcPr>
            <w:tcW w:w="800" w:type="dxa"/>
            <w:vAlign w:val="bottom"/>
            <w:gridSpan w:val="4"/>
          </w:tcPr>
          <w:p>
            <w:pPr>
              <w:spacing w:after="0"/>
              <w:rPr>
                <w:sz w:val="20"/>
                <w:szCs w:val="20"/>
                <w:color w:val="auto"/>
              </w:rPr>
            </w:pPr>
            <w:r>
              <w:rPr>
                <w:rFonts w:ascii="Arial" w:cs="Arial" w:eastAsia="Arial" w:hAnsi="Arial"/>
                <w:sz w:val="18"/>
                <w:szCs w:val="18"/>
                <w:color w:val="auto"/>
                <w:w w:val="90"/>
              </w:rPr>
              <w:t>Intellectual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rPr>
              <w:t>Patents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gridSpan w:val="5"/>
          </w:tcPr>
          <w:p>
            <w:pPr>
              <w:spacing w:after="0"/>
              <w:rPr>
                <w:sz w:val="20"/>
                <w:szCs w:val="20"/>
                <w:color w:val="auto"/>
              </w:rPr>
            </w:pPr>
            <w:r>
              <w:rPr>
                <w:rFonts w:ascii="Arial" w:cs="Arial" w:eastAsia="Arial" w:hAnsi="Arial"/>
                <w:sz w:val="18"/>
                <w:szCs w:val="18"/>
                <w:color w:val="auto"/>
              </w:rPr>
              <w:t>Relationships</w:t>
            </w:r>
          </w:p>
        </w:tc>
        <w:tc>
          <w:tcPr>
            <w:tcW w:w="106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Software</w:t>
            </w:r>
          </w:p>
        </w:tc>
        <w:tc>
          <w:tcPr>
            <w:tcW w:w="800" w:type="dxa"/>
            <w:vAlign w:val="bottom"/>
            <w:gridSpan w:val="4"/>
          </w:tcPr>
          <w:p>
            <w:pPr>
              <w:jc w:val="right"/>
              <w:ind w:right="17"/>
              <w:spacing w:after="0"/>
              <w:rPr>
                <w:sz w:val="20"/>
                <w:szCs w:val="20"/>
                <w:color w:val="auto"/>
              </w:rPr>
            </w:pPr>
            <w:r>
              <w:rPr>
                <w:rFonts w:ascii="Arial" w:cs="Arial" w:eastAsia="Arial" w:hAnsi="Arial"/>
                <w:sz w:val="18"/>
                <w:szCs w:val="18"/>
                <w:color w:val="auto"/>
                <w:w w:val="99"/>
              </w:rPr>
              <w:t>Property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8"/>
                <w:szCs w:val="18"/>
                <w:color w:val="auto"/>
                <w:w w:val="84"/>
              </w:rPr>
              <w:t>Pending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 Years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6"/>
              </w:rPr>
              <w:t>5 Years</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10 Years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970,019</w:t>
            </w:r>
          </w:p>
        </w:tc>
        <w:tc>
          <w:tcPr>
            <w:tcW w:w="106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86"/>
              </w:rPr>
              <w:t>$ 3,651,924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862,792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108,877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$ 5,593,612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w w:val="92"/>
              </w:rPr>
              <w:t>252,875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4,925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257,800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(79,358)</w:t>
            </w:r>
          </w:p>
        </w:tc>
        <w:tc>
          <w:tcPr>
            <w:tcW w:w="10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(425,821)</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(74,192)</w:t>
            </w: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(579,371)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June 30 ,2020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gridSpan w:val="2"/>
            <w:shd w:val="clear" w:color="auto" w:fill="000000"/>
          </w:tcPr>
          <w:p>
            <w:pPr>
              <w:spacing w:after="0" w:line="20" w:lineRule="exact"/>
              <w:rPr>
                <w:sz w:val="1"/>
                <w:szCs w:val="1"/>
                <w:color w:val="auto"/>
              </w:rPr>
            </w:pPr>
          </w:p>
        </w:tc>
        <w:tc>
          <w:tcPr>
            <w:tcW w:w="48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890,661</w:t>
            </w:r>
          </w:p>
        </w:tc>
        <w:tc>
          <w:tcPr>
            <w:tcW w:w="1060" w:type="dxa"/>
            <w:vAlign w:val="bottom"/>
            <w:gridSpan w:val="6"/>
          </w:tcPr>
          <w:p>
            <w:pPr>
              <w:jc w:val="right"/>
              <w:ind w:right="220"/>
              <w:spacing w:after="0"/>
              <w:rPr>
                <w:sz w:val="20"/>
                <w:szCs w:val="20"/>
                <w:color w:val="auto"/>
              </w:rPr>
            </w:pPr>
            <w:r>
              <w:rPr>
                <w:rFonts w:ascii="Arial" w:cs="Arial" w:eastAsia="Arial" w:hAnsi="Arial"/>
                <w:sz w:val="18"/>
                <w:szCs w:val="18"/>
                <w:color w:val="auto"/>
                <w:w w:val="86"/>
              </w:rPr>
              <w:t>$ 3,478,978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788,600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113,802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$ 5,272,041</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The following is a summary of intangible assets as of June 30, 2020: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Customer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0"/>
              </w:rPr>
              <w:t>Developed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800" w:type="dxa"/>
            <w:vAlign w:val="bottom"/>
            <w:gridSpan w:val="4"/>
          </w:tcPr>
          <w:p>
            <w:pPr>
              <w:jc w:val="right"/>
              <w:ind w:right="70"/>
              <w:spacing w:after="0"/>
              <w:rPr>
                <w:sz w:val="20"/>
                <w:szCs w:val="20"/>
                <w:color w:val="auto"/>
              </w:rPr>
            </w:pPr>
            <w:r>
              <w:rPr>
                <w:rFonts w:ascii="Arial" w:cs="Arial" w:eastAsia="Arial" w:hAnsi="Arial"/>
                <w:sz w:val="18"/>
                <w:szCs w:val="18"/>
                <w:color w:val="auto"/>
              </w:rPr>
              <w:t>Patents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190"/>
              <w:spacing w:after="0"/>
              <w:rPr>
                <w:sz w:val="20"/>
                <w:szCs w:val="20"/>
                <w:color w:val="auto"/>
              </w:rPr>
            </w:pPr>
            <w:r>
              <w:rPr>
                <w:rFonts w:ascii="Arial" w:cs="Arial" w:eastAsia="Arial" w:hAnsi="Arial"/>
                <w:sz w:val="18"/>
                <w:szCs w:val="18"/>
                <w:color w:val="auto"/>
                <w:w w:val="90"/>
              </w:rPr>
              <w:t>Relationships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2"/>
              </w:rPr>
              <w:t>Software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Property</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Pending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4,324,425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1,498,364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113,802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(696,498)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(845,446)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(709,764)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(2,265,796)</w:t>
            </w:r>
          </w:p>
        </w:tc>
        <w:tc>
          <w:tcPr>
            <w:tcW w:w="0" w:type="dxa"/>
            <w:vAlign w:val="bottom"/>
          </w:tcPr>
          <w:p>
            <w:pPr>
              <w:spacing w:after="0"/>
              <w:rPr>
                <w:sz w:val="1"/>
                <w:szCs w:val="1"/>
                <w:color w:val="auto"/>
              </w:rPr>
            </w:pPr>
          </w:p>
        </w:tc>
      </w:tr>
      <w:tr>
        <w:trPr>
          <w:trHeight w:val="27"/>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June 30, 2020</w:t>
            </w: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3"/>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gridSpan w:val="4"/>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tcBorders>
              <w:right w:val="single" w:sz="8" w:color="CCEEFF"/>
            </w:tcBorders>
            <w:gridSpan w:val="3"/>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890,661</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3,478,980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788,600</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113,802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5,272,041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460" w:type="dxa"/>
            <w:vAlign w:val="bottom"/>
            <w:gridSpan w:val="16"/>
          </w:tcPr>
          <w:p>
            <w:pPr>
              <w:spacing w:after="0"/>
              <w:rPr>
                <w:sz w:val="20"/>
                <w:szCs w:val="20"/>
                <w:color w:val="auto"/>
              </w:rPr>
            </w:pPr>
            <w:r>
              <w:rPr>
                <w:rFonts w:ascii="Arial" w:cs="Arial" w:eastAsia="Arial" w:hAnsi="Arial"/>
                <w:sz w:val="18"/>
                <w:szCs w:val="18"/>
                <w:color w:val="auto"/>
                <w:w w:val="89"/>
              </w:rPr>
              <w:t>Amortization expense totaled $579,371 and $282,493 for the six months ended June 30, 2020 and 2019, respectively.</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w w:val="92"/>
              </w:rPr>
              <w:t>Future expected amortization of intangible assets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604,658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1,209,317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1,115,983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1,064,994</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841,492</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435,597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$ 5,272,041</w:t>
            </w:r>
          </w:p>
        </w:tc>
        <w:tc>
          <w:tcPr>
            <w:tcW w:w="0" w:type="dxa"/>
            <w:vAlign w:val="bottom"/>
          </w:tcPr>
          <w:p>
            <w:pPr>
              <w:spacing w:after="0"/>
              <w:rPr>
                <w:sz w:val="1"/>
                <w:szCs w:val="1"/>
                <w:color w:val="auto"/>
              </w:rPr>
            </w:pPr>
          </w:p>
        </w:tc>
      </w:tr>
      <w:tr>
        <w:trPr>
          <w:trHeight w:val="21"/>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EXPENSES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6"/>
              </w:rPr>
              <w:t>Accounts payable and accrued expenses consisted of the following as of June 30, 2020 and December 31, 2019: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241,072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641,834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1,062,246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145,259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242,650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543,276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323,971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2,655,107</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2,215,912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6 - NOTES PAYABLE, NET</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June 30, 2020 and December 31, 2019: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8"/>
                <w:szCs w:val="18"/>
                <w:color w:val="auto"/>
              </w:rPr>
              <w:t>June 30,</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Senior Unsecured Note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40"/>
              <w:spacing w:after="0"/>
              <w:rPr>
                <w:sz w:val="20"/>
                <w:szCs w:val="20"/>
                <w:color w:val="auto"/>
              </w:rPr>
            </w:pPr>
            <w:r>
              <w:rPr>
                <w:rFonts w:ascii="Arial" w:cs="Arial" w:eastAsia="Arial" w:hAnsi="Arial"/>
                <w:sz w:val="18"/>
                <w:szCs w:val="18"/>
                <w:color w:val="auto"/>
              </w:rPr>
              <w:t>rate of 10.8% per annum payable for 36 months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Outstanding</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2,012,866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Unamortized Deferred Debt Discount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Debt Issuance Costs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Notes Payable,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496,027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1,976,278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current portion, net of discounts and current portion</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Notes Payable, net of discounts and current portion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490,392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1,970,937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1,976,278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Company issued a Senior Unsecured Note (“Note”) a face value of $3,000,000, payable two years from issuance, along with an aggregate of 4,500,000 shares of Common Stock, with a fair value of $1,147,500. The Company allocated the proceeds to the note payable and common stock based on their relative fair value and recorded a discount of $830,018 to be amortized into interest expense over the two-year term of the note. The Company also paid debt issuance costs consisting of a cash fee of $120,000 and 1,020,000 shares of common stock of the Company with a fair value of $306,000. On April 30, 2018, the Company and the Noteholder agreed to extend the due date of the note until April 30, 2020 for an extension fee of 1,500,000 shares of the Common Stock issued to the Noteholder. The April 2018 change in terms of the Note payable has been determined to be a debt extinguishment in accordance with ASC 470. The reported amounts under the debt extinguishment are not significantly different than that of the Company’s reported amounts. The Note was amended on February 14, 2020 to conform to the terms of the 2020 Convertible Notes Payable offering.</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the Theodore Stern Revocable Trust, the (“Stern Trust”) entered an Amended and Restated Promissory Note (the “Restated Stern Note”) providing that the $2,000,000 Note will be due and payable on the same terms (bearing interest at 15% per annum) and on the same maturity date as the 2020 Notes and that the interest due under the Note as of January 31, 2020 in the amount of $662,000 will remain due and payable on the same terms as exist in the Note prior to modification provided that the maturity of such interest shall be extended to the same maturity date as the 2020 Notes detailed in Note 7. The Company accounted for the Restated Stern Note as an extinguishment of the Note and recorded a charge of $985,000 included in Other expenses in accompanying condensed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Paycheck Protection Program Loan - In May 2020, the Company received a loan of $485,760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 The loan bears interest at an annual rate 1% per annum and matures on May 5,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Company’s notes payable and related discounts for the six months ended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Principal</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Debt Issuance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1340" w:type="dxa"/>
            <w:vAlign w:val="bottom"/>
            <w:gridSpan w:val="3"/>
          </w:tcPr>
          <w:p>
            <w:pPr>
              <w:spacing w:after="0"/>
              <w:rPr>
                <w:sz w:val="20"/>
                <w:szCs w:val="20"/>
                <w:color w:val="auto"/>
              </w:rPr>
            </w:pPr>
            <w:r>
              <w:rPr>
                <w:rFonts w:ascii="Arial" w:cs="Arial" w:eastAsia="Arial" w:hAnsi="Arial"/>
                <w:sz w:val="18"/>
                <w:szCs w:val="18"/>
                <w:color w:val="auto"/>
              </w:rPr>
              <w:t>Debt Discounts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2,012,866</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Proceeds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485,760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485,760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Conversion of note payable to convertible notes payable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(2,000,000)</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26,722</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June 30, 2020</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496,027</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496,027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7 with the respect to the conversion of the $2,000,000 Senior Unsecured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NOTES PAYABLE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13, 2019, the Company entered into Securities Purchase Agreements with several accredited investors (the “8% Note Investors”) providing for the sale by the Company to the Investors of 8% Convertible Notes in the aggregate amount of $428,000 (the “8% Notes”). The 8% Notes were to mature on November 30, 2021 and were a general unsecured obligation of the Company. The Company can prepay all or a portion of the 8% Notes at any time. The Company shall pay any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a conversion price of $0.08 per share. If the holders of the 8% Notes owning outstanding 8.0% Notes representing in excess of half of the aggregate outstanding principal amount of all 8% Notes provide notice to the Company of their intent to convert their 8% Notes, then all 8% Notes plus unpaid interest and other amounts owing to each of the holders shall be automatically converted.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311" w:lineRule="auto"/>
        <w:rPr>
          <w:sz w:val="20"/>
          <w:szCs w:val="20"/>
          <w:color w:val="auto"/>
        </w:rPr>
      </w:pPr>
      <w:r>
        <w:rPr>
          <w:rFonts w:ascii="Arial" w:cs="Arial" w:eastAsia="Arial" w:hAnsi="Arial"/>
          <w:sz w:val="16"/>
          <w:szCs w:val="16"/>
          <w:color w:val="auto"/>
        </w:rPr>
        <w:t>If the Company prepays all or a portion of the 2020 Note prior to the one-year anniversary of the 2020 Note issuance date (the (“2020 Note Anniversary”), then the Company will be required to pay interest on the principal prepaid or paid at maturity through the 2020 Note Anniversary. Further, upon maturity or in the event of default and/or bankruptcy of the 2020 Notes, the Company will be required to pay 150% of the principal due under the 2020 Notes.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option of the 2020 Note Investors, they may at any time convert the 2020 Notes. The number of shares delivered shall be equal to 150% of the amount of the principal converted divided by the conversion price of $0.20 per share. Following the 2020 Note Anniversary, the Company may require that the 2020 Note Investors convert all or a portion of the 2020 Notes, if the Company’s volume weighted average price for any preceding 20-day period is equal to or greater than $0.30.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and FIN Holdings, Inc. and ID Solutions, Inc., two of the Company’s subsidiaries, entered into a security agreement with the 2020 Note Investors (“Security Agreement”), the holders of the 8% Notes and the Stern Trust, which is the holder of the Promissory Note in the principal amount of $2,000,000 (the “Stern Note”). The Security Agreement provides that until the principal and accrued but unpaid interest under the 2020 Notes, 8% Notes and Stern Note is paid in full or converted pursuant to their terms, the Company’s obligations under the 2020 Notes, 8% Notes and Stern Note will be secured by a lien on all assets of the Company. The security interest granted to the holders of the 2020 Notes, 8% Notes and Stern Note ranks </w:t>
      </w:r>
      <w:r>
        <w:rPr>
          <w:rFonts w:ascii="Arial" w:cs="Arial" w:eastAsia="Arial" w:hAnsi="Arial"/>
          <w:sz w:val="16"/>
          <w:szCs w:val="16"/>
          <w:i w:val="1"/>
          <w:iCs w:val="1"/>
          <w:color w:val="auto"/>
        </w:rPr>
        <w:t>pari passu</w:t>
      </w:r>
      <w:r>
        <w:rPr>
          <w:rFonts w:ascii="Arial" w:cs="Arial" w:eastAsia="Arial" w:hAnsi="Arial"/>
          <w:sz w:val="16"/>
          <w:szCs w:val="16"/>
          <w:color w:val="auto"/>
        </w:rPr>
        <w:t>. The Security Agreement permits sales of assets up to a value of $1,000,000 which proceeds may be used for working capital purposes and the secured parties will take such steps as may be reasonably necessary to release its security interest and enable such sales in such circumstances. Each of the secured parties appointed Mr. Stern and a third-party investor as joint collateral agents. Mr. Stern, a director of the Company, is the trustee of the Stern Trust.</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2020, the Company offered all warrant holders holding warrants to purchase shares of Company common stock issued in July 2015 (“2015 Warrants”) the right to extend the term of the 2015 Warrants for a period of two years, subject to an increase in the Exercise Price (as defined therein) to $0.06 per share, providing that such warrant holders invested a minimum $100,000 in the 2020 Note private offering. As a result, a portion of the 2015 Warrant holders participated in the 2020 Note offering and the Company extended the exercise period two years for the 2015 Warrants representing the right to acquire 6,380,000 shares of common stock. The fair market value of the modification of warrants extended was approximately $95,000. Vista Associates, L.P. (“Vista”) of which, Mr. Selzer, a director of the Company is the General Partner, held 2015 Warrants to acquire 880,000 shares of common stock, which were also extended as a result of his investment and in June 2020, Vista exercised its 2015 Warrants and converted into 880,000 shares of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June 30, 2020:</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5,265,000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(705,911)</w:t>
            </w:r>
          </w:p>
        </w:tc>
        <w:tc>
          <w:tcPr>
            <w:tcW w:w="0" w:type="dxa"/>
            <w:vAlign w:val="bottom"/>
          </w:tcPr>
          <w:p>
            <w:pPr>
              <w:spacing w:after="0"/>
              <w:rPr>
                <w:sz w:val="1"/>
                <w:szCs w:val="1"/>
                <w:color w:val="auto"/>
              </w:rPr>
            </w:pPr>
          </w:p>
        </w:tc>
      </w:tr>
      <w:tr>
        <w:trPr>
          <w:trHeight w:val="223"/>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(85,551)</w:t>
            </w:r>
          </w:p>
        </w:tc>
        <w:tc>
          <w:tcPr>
            <w:tcW w:w="0" w:type="dxa"/>
            <w:vAlign w:val="bottom"/>
          </w:tcPr>
          <w:p>
            <w:pPr>
              <w:spacing w:after="0"/>
              <w:rPr>
                <w:sz w:val="1"/>
                <w:szCs w:val="1"/>
                <w:color w:val="auto"/>
              </w:rPr>
            </w:pPr>
          </w:p>
        </w:tc>
      </w:tr>
      <w:tr>
        <w:trPr>
          <w:trHeight w:val="250"/>
        </w:trPr>
        <w:tc>
          <w:tcPr>
            <w:tcW w:w="1014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5,563,538</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6,355,000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14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6,355,000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Phillip Kumnick and Mr. Philip Broenniman, two of the Company’s Director’s became employed by the Company as Chief Executive Officer and President and Chief Operating Officer effective May 22,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Kumnick will earn an initial base salary of $250,000 per annum subject to review after one year. Mr. Kumnick was granted options to acquire 33,333,334 shares of common stock of which 20% vest at grant and the balance vest subject to performance conditions. Mr. Broenniman will earn an initial base salary of $175,000 per annum subject to review after one year. Mr. Broenniman was granted options to acquire 16,666,666 shares of common stock of which 20% vest at grant and the balance vest subject to performance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June 30, 2020, but as the Company believes it is probable that these performance obligations will be met, the grant date fair value of the restricted stock will be ratably recognized over the expected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$0.10 (the “$0.10 Warrants”) were exercised for cash at an exercise price of $0.07 per share. In addition, the holders that exercised the $0.10 Warrants received a warrant exercisable for two years to acquire one share of common stock at an exercise price of $0.15 per share (the $0.15 Warrants”) for every four $0.10 Warrants exercised. Mr. Theodore Stern, a director of the Company, participated in the private transaction resulting in the issuance of 1,000,000 shares of common stock and 250,000 $0.15 Warrants in consideration of $70,000; and Varana Capital Focused, LP (“VCFLP”), participated in the private transaction resulting in the issuance of 3,716,667 shares of common stock and 929,167 $0.15 Warrants ,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warrants exercisable at per share price of $0.06 (the “$0.06 Warrants”) were exercised. In addition, the holders that exercised the $0.06 Warrants also received a $0.15 Warrant for every two $0.06 Warrants exercised. Vista Associates, L.P., (“Vista”) of which, Mr. Herbert Selzer a director of the Company, is the General Partner, participated in the private transaction resulting in the issuance of 880,000 shares of common stock and 440,000 $0.15 Warrants , in consideration of $52,800.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714,285 shares of common stock in consideration of $50,000.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Theodore Stern and Philip Beck, members of the board of directors of the Company, invested $50,000 each in consideration of the 2020 Notes. Another director, Herbert Selzer invested $100,000 in consideration of a 2020 Note in the principal amount of $100,000. Vista held 880,000 2015 Warrants, which were also extended as a result of Mr. Selzer’s investment and as noted above were exercised for cash on June 30, 2020. See Note 7</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offering of the 2020 Notes, the Company paid Network 1 Financial Securities, Inc., a registered broker-dealer (“Network 1”), a cash fee of approximately $104,800. A former member of the Company’s Board of Director’s maintains a partnership with a principal of Network 1.</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rents office space in Long Beach, New York at a monthly cost of $5,000 (as of January 1, 2020). The agreement is month to month and can be terminated on 30 days’ notice. The agreement is between the Company and Bridgeworks LLC, an entity principally owned by Mr. Beck, a member of the Board of Director’s and his family. During each of the six months ended June 30, 2020 and 2019, the Company paid rent of $30,000 and $44,450, respectively.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Mr. Beck’s severance is expected to be paid over a one-year period. Furthermore, the company will start recording the expense associated with Mr. Beck’s restricted stock agreement dated September 29, 2017. In connection with the separation letter agreement, the Company exchanged the September 29, 2017 Restricted Stock Agreement to substantially modify the vesting provisions of the previously issued 15,000,000 shares of restricted stock and allows a time-vesting provision whereby the restricted shares will fully vest by May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the Company granted 4,500,000 shares of Restricted Common Stock of which 3,000,000 shares were granted to two new members of our Board of Directors in connection with their compensation for service as Board Members and 1,500,000 to an employee in connection with his employment compensation. The shares were valued at the fair market value at the date of grant. The restricted stock vests upon the achievement of certain performance criteria.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2020, the Company issued approximately 106,000 shares of common stock to a third-party provider of services in lieu of cash compensation.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 entered into Subscription Agreements with two accredited investors (the “June 2020 Accredited Investors”) pursuant to which the June 2020 Accredited Investors agreed to purchase 3,441,558 shares of common stock for $200,000.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301" w:lineRule="auto"/>
        <w:rPr>
          <w:sz w:val="20"/>
          <w:szCs w:val="20"/>
          <w:color w:val="auto"/>
        </w:rPr>
      </w:pPr>
      <w:r>
        <w:rPr>
          <w:rFonts w:ascii="Arial" w:cs="Arial" w:eastAsia="Arial" w:hAnsi="Arial"/>
          <w:sz w:val="16"/>
          <w:szCs w:val="16"/>
          <w:color w:val="auto"/>
        </w:rPr>
        <w:t>In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30, 2020, Company entered into and consummated a private transaction pursuant to which a portion of the Company’s $0.06 Warrants were exercised. In addition, the holders that exercised the $0.06 Warrants also received $0.15 Warrant for every two $0.06 Warrants exercised. As a result, the Company issued 5,280,000 shares of common stock and 2,640,000 $0.15 Warrants in consideration of $316,800.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June 2020 subscriptions and warrant exercise transactions resulted in the issuance of approximately 23.9 million shares of common stock for approximately $1.45 million, including a stock subscription receivable of approximately $0.97 million which was collected in full subsequent to June 30,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 charge of approximately $367,000 in connection with an inducement to the warrant holders who exercised their outstanding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six months ended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47,453,227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0.08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1.4 Years</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7,458,085</w:t>
            </w:r>
          </w:p>
        </w:tc>
        <w:tc>
          <w:tcPr>
            <w:tcW w:w="160" w:type="dxa"/>
            <w:vAlign w:val="bottom"/>
          </w:tcPr>
          <w:p>
            <w:pPr>
              <w:spacing w:after="0"/>
              <w:rPr>
                <w:sz w:val="18"/>
                <w:szCs w:val="18"/>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0.15</w:t>
            </w:r>
          </w:p>
        </w:tc>
        <w:tc>
          <w:tcPr>
            <w:tcW w:w="1220" w:type="dxa"/>
            <w:vAlign w:val="bottom"/>
            <w:gridSpan w:val="3"/>
          </w:tcPr>
          <w:p>
            <w:pPr>
              <w:ind w:left="440"/>
              <w:spacing w:after="0"/>
              <w:rPr>
                <w:sz w:val="20"/>
                <w:szCs w:val="20"/>
                <w:color w:val="auto"/>
              </w:rPr>
            </w:pPr>
            <w:r>
              <w:rPr>
                <w:rFonts w:ascii="Arial" w:cs="Arial" w:eastAsia="Arial" w:hAnsi="Arial"/>
                <w:sz w:val="18"/>
                <w:szCs w:val="18"/>
                <w:color w:val="auto"/>
                <w:w w:val="98"/>
              </w:rPr>
              <w:t>2.0 Years</w:t>
            </w: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(25,781,243)</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0.06</w:t>
            </w:r>
          </w:p>
        </w:tc>
        <w:tc>
          <w:tcPr>
            <w:tcW w:w="12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8"/>
              </w:rPr>
              <w:t>0.8 Years</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June 30, 2020</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29,130,069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79"/>
              </w:rPr>
              <w:t>0.12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440"/>
              <w:spacing w:after="0" w:line="203" w:lineRule="exact"/>
              <w:rPr>
                <w:sz w:val="20"/>
                <w:szCs w:val="20"/>
                <w:color w:val="auto"/>
              </w:rPr>
            </w:pPr>
            <w:r>
              <w:rPr>
                <w:rFonts w:ascii="Arial" w:cs="Arial" w:eastAsia="Arial" w:hAnsi="Arial"/>
                <w:sz w:val="18"/>
                <w:szCs w:val="18"/>
                <w:color w:val="auto"/>
                <w:w w:val="85"/>
              </w:rPr>
              <w:t>1.6 Years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2020, certain of the 2015 Warrant holders participated in the 2020 Note offering and the Company extended the exercise period by two years, subject to an increase in the Exercise Price from $0.05 per share (as defined therein) to $0.06 per share of 2015 Warrants representing the right to acquire 6,380,000 shares of common stock. As noted above a portion of the 2015 Warrants (or $0.06 Warrants) were exercised for cash on June 30, 2020. Vista of which Mr. Selzer, a director of the Company, is the General Partner held 880,000 2015 Warrants, which were also extended as a result of his investment and were exercised for cash on June 30, 2020. The fair market value of the modification of warrants extended was approximately $95,000.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2020, the Company determined the grant date fair value of the options granted using the Black Scholes Method. The following assumptions were used in the six months ended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Volatility – 68-75%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Term – 5.0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 Free Rate – 0.30- 0.34%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 Rate – 0.00%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Activity related to stock options for the six months ended June 30, 2020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9"/>
                <w:szCs w:val="19"/>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114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7"/>
              </w:rPr>
              <w:t>Price</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Term (Yrs.)</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Outstanding as of December 31, 2019</w:t>
            </w: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109,400,006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15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Granted</w:t>
            </w: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51,044,054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Forfeitures</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(699,999)</w:t>
            </w:r>
          </w:p>
        </w:tc>
        <w:tc>
          <w:tcPr>
            <w:tcW w:w="12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15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Outstanding as of June 30, 2020</w:t>
            </w: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159,744,061</w:t>
            </w:r>
          </w:p>
        </w:tc>
        <w:tc>
          <w:tcPr>
            <w:tcW w:w="1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0.19</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104,650</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as of June 30, 2020</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113,750,727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7"/>
            <w:vMerge w:val="restart"/>
          </w:tcPr>
          <w:p>
            <w:pPr>
              <w:spacing w:after="0"/>
              <w:rPr>
                <w:sz w:val="20"/>
                <w:szCs w:val="20"/>
                <w:color w:val="auto"/>
              </w:rPr>
            </w:pPr>
            <w:r>
              <w:rPr>
                <w:rFonts w:ascii="Arial" w:cs="Arial" w:eastAsia="Arial" w:hAnsi="Arial"/>
                <w:sz w:val="18"/>
                <w:szCs w:val="18"/>
                <w:color w:val="auto"/>
                <w:w w:val="96"/>
              </w:rPr>
              <w:t>The following table summarizes stock option information as of June 30, 2020: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7"/>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1640" w:type="dxa"/>
            <w:vAlign w:val="bottom"/>
          </w:tcPr>
          <w:p>
            <w:pPr>
              <w:jc w:val="right"/>
              <w:ind w:right="205"/>
              <w:spacing w:after="0"/>
              <w:rPr>
                <w:sz w:val="20"/>
                <w:szCs w:val="20"/>
                <w:color w:val="auto"/>
              </w:rPr>
            </w:pPr>
            <w:r>
              <w:rPr>
                <w:rFonts w:ascii="Arial" w:cs="Arial" w:eastAsia="Arial" w:hAnsi="Arial"/>
                <w:sz w:val="18"/>
                <w:szCs w:val="18"/>
                <w:color w:val="auto"/>
              </w:rPr>
              <w:t>Exercise</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Weighted Avg.</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640" w:type="dxa"/>
            <w:vAlign w:val="bottom"/>
          </w:tcPr>
          <w:p>
            <w:pPr>
              <w:jc w:val="right"/>
              <w:ind w:right="305"/>
              <w:spacing w:after="0"/>
              <w:rPr>
                <w:sz w:val="20"/>
                <w:szCs w:val="20"/>
                <w:color w:val="auto"/>
              </w:rPr>
            </w:pPr>
            <w:r>
              <w:rPr>
                <w:rFonts w:ascii="Arial" w:cs="Arial" w:eastAsia="Arial" w:hAnsi="Arial"/>
                <w:sz w:val="18"/>
                <w:szCs w:val="18"/>
                <w:color w:val="auto"/>
              </w:rPr>
              <w:t>Price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ind w:left="600"/>
              <w:spacing w:after="0"/>
              <w:rPr>
                <w:sz w:val="20"/>
                <w:szCs w:val="20"/>
                <w:color w:val="auto"/>
              </w:rPr>
            </w:pPr>
            <w:r>
              <w:rPr>
                <w:rFonts w:ascii="Arial" w:cs="Arial" w:eastAsia="Arial" w:hAnsi="Arial"/>
                <w:sz w:val="18"/>
                <w:szCs w:val="18"/>
                <w:color w:val="auto"/>
              </w:rPr>
              <w:t>Outstanding</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w w:val="92"/>
              </w:rPr>
              <w:t>Exercisable</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0.0001</w:t>
            </w:r>
          </w:p>
        </w:tc>
        <w:tc>
          <w:tcPr>
            <w:tcW w:w="1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35,700,006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6.85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31,950,006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9.60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1,044,054</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50,000,000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9.90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27,200,000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0.119</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400,001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0.124</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8.75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0.130</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7.80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5.85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2,583,333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8.05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1,833,333</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0.260</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166,667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8.30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w:t>
            </w:r>
          </w:p>
        </w:tc>
        <w:tc>
          <w:tcPr>
            <w:tcW w:w="1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40" w:type="dxa"/>
            <w:vAlign w:val="bottom"/>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0.400</w:t>
            </w:r>
          </w:p>
        </w:tc>
        <w:tc>
          <w:tcPr>
            <w:tcW w:w="1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6.17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4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0.450</w:t>
            </w:r>
          </w:p>
        </w:tc>
        <w:tc>
          <w:tcPr>
            <w:tcW w:w="1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31,000,000</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5.85</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31,000,000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159,744,061</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7.63</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113,750,727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related party information with respect to the grant of stock options to Messrs. Kumnick and Broenniman.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2020, the Company recognized approximately $561,000 of stock option based compensation expense related to options of which non-employees’ expense was approximately $13,000. As of June 30, 2020, there was approximately $448,000 of unrecognized compensation costs related to stock options outstanding of which approximately $13,000 is related to non-employees and will be expensed through 2022.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 DIRECT FINANCING LEASE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 net investment in the lease and will receive monthly payments of $11,856 before estimated executory costs, or $142,272 annually, to reduce investment in the lease and record income associated with the related amount due. Executory costs are estimated to be $1,677 per month and initial direct costs are not considered significant. The transaction resulted in incremental revenue in the six months ended June 30, 2020 of approximately $30,000.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direct lease valued at approximately $748,000. At the inception of the lease term, the aggregate minimum future lease payments to be received is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61,074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162,864</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(184,290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528,240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Total amortization related to the lease equipment as of June 30, 2020 is $107,152. The following is a schedule showing the future minimum lease payments under finance lease by year and the present value of the minimum lease payments as of June 30, 2020. The interest rate related to the lease obligation is 12% and the maturity date is March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21,548</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43,096</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75,418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(7,696)</w:t>
            </w:r>
          </w:p>
        </w:tc>
      </w:tr>
      <w:tr>
        <w:trPr>
          <w:trHeight w:val="237"/>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67,722</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six months ended June 30, 2020, lease expense was approximately $165,000 inclusive of short-term leases.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Condensed Consolidated Balance Sheet as of June 30, 2020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89,210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279,478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92,503</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237,762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weighted average lease term is 1.8 years and weighted average discount rate used in the calculations were 13.55%.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June 30,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96,607</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49,716</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278,340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237,762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approximately 2,100 square feet of office space in Plantation, Florida. Monthly rental is approximately $2,700 per month with a 3% increase on each annual anniversary. The Company terminated its lease and will pay its final obligations under the lease by August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October 2018, the Company entered into an office lease in Alpharetta, Ga. for approximately $3,800 per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renew its lease at the end of the lease term in March 2020.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rents office space in Long Beach, New York at a monthly cost of $5,000. The agreement is month to month and can be terminated on 30 days’ notice. The agreement is between the Company and Bridgeworks LLC, an entity principally owned by Mr. Beck, a member of the Board of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The Company leases an office location in Bogota, Colombia. In April 2017, MultiPay S.A.S. entered an office lease beginning April 22, 2017. The lease cost is approximately $8,500 per month with an inflation adjustment after one year. The lease is automatically extended for one additional year unless written notice to the contrary is provided at least six months in advance. The Company extended the lease through April 2021. Furthermore, the Company leased an apartment at approximately $2,000 a month for one of the management team which has now been terminated.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May 22, 2020, the Company and Mr. Beck entered into a separation letter agreement, which provided payment to the Mr. Beck of one year’s severance in the amount of $350,000 as well as certain employee benefits, payable in accordance with the terms of Mr. Beck’s Retention Agreement. The amounts recorded in connection with the aforementioned agreement are accrued in accrued payroll and related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IMPAIRMENT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 As a result of the current pandemic and its potential impact on future results, the Company updated its reporting unit projections, and it indicated a goodwill impairment at Cards Plus as the carrying value may not be recovered as revenue assumptions and related revenue were revised downward. The fair value of the reporting unit was determined using discounted cash flow as well as future realizable value. The goodwill impairment loss for the six months ended June 30, 2020 was approximately $1,035,000.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$8.9 million, $0.3 million and $0.3 million.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2360" w:type="dxa"/>
            <w:vAlign w:val="bottom"/>
            <w:gridSpan w:val="5"/>
          </w:tcPr>
          <w:p>
            <w:pPr>
              <w:jc w:val="right"/>
              <w:ind w:right="581"/>
              <w:spacing w:after="0"/>
              <w:rPr>
                <w:sz w:val="20"/>
                <w:szCs w:val="20"/>
                <w:color w:val="auto"/>
              </w:rPr>
            </w:pPr>
            <w:r>
              <w:rPr>
                <w:rFonts w:ascii="Arial" w:cs="Arial" w:eastAsia="Arial" w:hAnsi="Arial"/>
                <w:sz w:val="18"/>
                <w:szCs w:val="18"/>
                <w:color w:val="auto"/>
              </w:rPr>
              <w:t>Six Months Ended</w:t>
            </w:r>
          </w:p>
        </w:tc>
      </w:tr>
      <w:tr>
        <w:trPr>
          <w:trHeight w:val="215"/>
        </w:trPr>
        <w:tc>
          <w:tcPr>
            <w:tcW w:w="5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color w:val="auto"/>
                <w:w w:val="95"/>
              </w:rPr>
              <w:t>June 30,</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8"/>
                <w:szCs w:val="18"/>
                <w:color w:val="auto"/>
                <w:w w:val="95"/>
              </w:rPr>
              <w:t>June 30,</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135,698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146,583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269,252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373,624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South America</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72,133</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120,613</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185,757</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245,941</w:t>
            </w: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113,288</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377,765</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659,899</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765,774</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321,119</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644,961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1,114,908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1,385,339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Identity Management</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248,986</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524,348</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929,151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1,139,398</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72,133</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120,613</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185,757</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245,941</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321,119</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644,961</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1,114,908</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1,385,339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(670,183)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(681,690)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(1,076,575)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(1,419,652)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South America</w:t>
            </w: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(1,803,784)</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(1,220,869)</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(3,015,936)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(2,477,821)</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(332,654)</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(181,979)</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(1,386,718)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(355,439)</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(2,806,621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(2,084,538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(5,479,229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(4,252,912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Identity Management</w:t>
            </w: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(1,002,837)</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(863,669)</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(2,463,293)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(1,775,091)</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(1,803,784)</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(1,220,869)</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(3,015,936)</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(2,477,821)</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(2,806,621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(2,084,538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(5,479,229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(4,252,912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(310,153)</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(93,260)</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(489,203)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(180,150)</w:t>
            </w: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(342,082)</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6,271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(1,317,971)</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12,497</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(3,458,856)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(2,171,527)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(7,286,403)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(4,420,565)</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(3,592)</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(4,264)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(12,466)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(17,965)</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1"/>
              <w:spacing w:after="0" w:line="256" w:lineRule="exact"/>
              <w:rPr>
                <w:sz w:val="20"/>
                <w:szCs w:val="20"/>
                <w:color w:val="auto"/>
              </w:rPr>
            </w:pPr>
            <w:r>
              <w:rPr>
                <w:rFonts w:ascii="Arial" w:cs="Arial" w:eastAsia="Arial" w:hAnsi="Arial"/>
                <w:sz w:val="16"/>
                <w:szCs w:val="16"/>
                <w:color w:val="auto"/>
              </w:rPr>
              <w:t>(3,462,448</w:t>
            </w:r>
            <w:r>
              <w:rPr>
                <w:rFonts w:ascii="Arial" w:cs="Arial" w:eastAsia="Arial" w:hAnsi="Arial"/>
                <w:sz w:val="29"/>
                <w:szCs w:val="29"/>
                <w:color w:val="auto"/>
                <w:vertAlign w:val="superscript"/>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(2,175,791</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(7,298,869</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(4,438,530</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 had an accumulated deficit of approximately $94.2 million. For the six months ended June 30, 2020 the Company earned revenue of approximately $1.1 million and incurred a loss from operations of approximately $5.5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firms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Ipsidy Inc. (formerly known as ID Global Solutions Corporation) (together with its subsidiaries, the “Company”, “we” or “our”) operates an Identity as a Service (IDaaS) platform that delivers a suite of secure, mobile, biometric identity solutions, available to any vertical, anywhere.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at the door?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Ipsidy provides secure, biometric identification, identity verification and electronic transaction authentication and processing services. We have developed an IDaaS platform for our customers, be they businesses, residences, governments, or other organizations, to enable their users to more easily verify and authenticate their identity through a mobile phone or portable device of their choosing (as opposed to dedicated hardware). Our system enables participants to consent to transactions using their biometric information with a digitally signed authentication response, including the underlying transaction data. In this way our systems can provide pre-transaction authentication of identity as well as embed each user’s identity attributes, within every electronic transaction message processed through our platform, or other electronic systems.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it is essential that businesses and consumers know who is on the other side of an electronic transaction and have an audit trail, proving that the identity of the other party was duly authenticated. Our solutions are intended to provide our customers with the next level of transaction security, control and certainty. Our platform uses biometric and multi-factor identity solutions, which are intended to support a wide variety of electronic transactions. We define “electronic transactions” in the broadest sense to include not only financial transactions (i.e. exchanges of value in all of their forms), and legal transactions (e.g. approving the release of personal or other confidential data), but also access control to both digital environments (e.g. accessing financial accounts, voting systems, email systems and controlling data network log-ins) and physical environments (e.g. entrances to offices, public buildings, data centers and other sensitive locations).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Company’s products focus on the broad requirement for identity verification and authentication, and access and transaction controls and associated identity management needs. Organizations of all descriptions require cost-effective and secure mobile electronic transaction solutions for them and their customers. We aim to offer our customers solutions that can be integrated into each customer’s business and organizational operations in order to facilitate their use and enhance the end user customer experience.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digital mobile wallet applications, or electronic account holders are used to contain different services and accounts that can be easily added and enable users to conveniently and securely effect a variety of electronic transactions, using their identity. One example is for consumers and employees to use their</w:t>
      </w:r>
    </w:p>
    <w:p>
      <w:pPr>
        <w:jc w:val="both"/>
        <w:spacing w:after="0" w:line="209" w:lineRule="auto"/>
        <w:rPr>
          <w:sz w:val="20"/>
          <w:szCs w:val="20"/>
          <w:color w:val="auto"/>
        </w:rPr>
      </w:pPr>
      <w:r>
        <w:rPr>
          <w:rFonts w:ascii="Arial" w:cs="Arial" w:eastAsia="Arial" w:hAnsi="Arial"/>
          <w:sz w:val="18"/>
          <w:szCs w:val="18"/>
          <w:color w:val="auto"/>
        </w:rPr>
        <w:t>mobile application to authenticate identity, in order to access secure digital, or physical environments. We have launched our integrated Verified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solution with Datapro as an add-on to their online banking software.</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Proof</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our mobile identity onboarding and verification application, establishes the trusted identity of users based on a variety of ground truth sources, such as chip based electronic machine readable travel documents, or eMRTDs, national IDs, drivers licenses, as well as by means of direct verification by national ID databases in Peru and in the future, South Africa. The application uses these sources to obtain trusted demographic information and the reference facial biometric images that are matched against the user’s captured live selfie. Proof enables the remote onboarding of people in services associated with Fintech, Telecom and other online services-based industries.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identity authentication solution, Verified by Ipsidy, can be delivered seamlessly via mobile web browser, by Ipsidy ’s mobile application or into a customer’s mobile app, using our SDK’s. Verified helps our customers gain identity certainty of their users (customers and employees) who can conveniently and securely consent to a variety of electronic transactions, using their biometrics. For example, Datapro, a financial services banking platform, has integrated Verified to secure access to their online banking software. Ipsidy has also integrated its authentication services to allow trucking fleets and drivers to use their biometrics to securely open locks that safeguard valuable assets and physical environments.</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solutions for fingerprint-based identity management and electronic payment transaction processing have been in the market for several years. For example, in December 2017, we won an international competitive tender to provide our Search</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Automated Fingerprint Identification de-duplication system (AFIS) to the Zimbabwe Electoral Commission, for them to ensure that no duplicate entries existed in the voter roll for the 2018 election. The AFIS system was delivered under tight deadlines and within budget, in order to enable the voter roll to be published and the election to occur as planned.</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believes that some of the advantages of the Company’s IDaaS Platform approach are the ability to leverage the platform to support a variety of vertical markets including the identity solutions and transaction processing sectors and the adaptability of the platform to the requirements of new markets and new products requiring low cost, secure, and configurable mobile solutions. These vertical markets include but are not limited to banking and payment transactions, elections, schools, public transportation, government and enterprise security. At its core, the Company’s offering, combining its proprietary biometric technologies, with those acquired is intended to facilitate the processing of diverse electronic transactions, be they payments, votes, or physical or digital access, all of which can include identity verification, authentication and identity transaction recording. The Company continues to invest in developing, patenting and acquiring the various elements necessary to enhance the platform, which is intended to allow us to achieve our goals.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incorporated in the State of Delaware on September 21, 2011 and changed its name to Ipsidy Inc. on February 1, 2017, and our common stock is traded on the OTCQB U.S. Market under the trading symbol “IDTY”. Our corporate headquarters is located at 670 Long Beach Blvd., Long Beach, NY 11561 and our main phone number is (516) 274-8700. We maintain a website at www.ipsidy.com. The contents of our website are not incorporated into, or otherwise to be regarded as part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2020.</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8"/>
                <w:szCs w:val="18"/>
                <w:color w:val="auto"/>
                <w:w w:val="92"/>
              </w:rPr>
              <w:t>For the Three Months Ended</w:t>
            </w:r>
          </w:p>
        </w:tc>
        <w:tc>
          <w:tcPr>
            <w:tcW w:w="160" w:type="dxa"/>
            <w:vAlign w:val="bottom"/>
          </w:tcPr>
          <w:p>
            <w:pPr>
              <w:spacing w:after="0"/>
              <w:rPr>
                <w:sz w:val="20"/>
                <w:szCs w:val="20"/>
                <w:color w:val="auto"/>
              </w:rPr>
            </w:pPr>
          </w:p>
        </w:tc>
        <w:tc>
          <w:tcPr>
            <w:tcW w:w="2380" w:type="dxa"/>
            <w:vAlign w:val="bottom"/>
            <w:gridSpan w:val="5"/>
          </w:tcPr>
          <w:p>
            <w:pPr>
              <w:jc w:val="right"/>
              <w:ind w:right="380"/>
              <w:spacing w:after="0"/>
              <w:rPr>
                <w:sz w:val="20"/>
                <w:szCs w:val="20"/>
                <w:color w:val="auto"/>
              </w:rPr>
            </w:pPr>
            <w:r>
              <w:rPr>
                <w:rFonts w:ascii="Arial" w:cs="Arial" w:eastAsia="Arial" w:hAnsi="Arial"/>
                <w:sz w:val="18"/>
                <w:szCs w:val="18"/>
                <w:color w:val="auto"/>
                <w:w w:val="95"/>
              </w:rPr>
              <w:t>For the Six Months Ended</w:t>
            </w:r>
          </w:p>
        </w:tc>
      </w:tr>
      <w:tr>
        <w:trPr>
          <w:trHeight w:val="202"/>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40"/>
              <w:spacing w:after="0" w:line="201" w:lineRule="exact"/>
              <w:rPr>
                <w:sz w:val="20"/>
                <w:szCs w:val="20"/>
                <w:color w:val="auto"/>
              </w:rPr>
            </w:pPr>
            <w:r>
              <w:rPr>
                <w:rFonts w:ascii="Arial" w:cs="Arial" w:eastAsia="Arial" w:hAnsi="Arial"/>
                <w:sz w:val="18"/>
                <w:szCs w:val="18"/>
                <w:color w:val="auto"/>
                <w:w w:val="98"/>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1"/>
              <w:spacing w:after="0" w:line="201" w:lineRule="exact"/>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00"/>
              <w:spacing w:after="0" w:line="201" w:lineRule="exact"/>
              <w:rPr>
                <w:sz w:val="20"/>
                <w:szCs w:val="20"/>
                <w:color w:val="auto"/>
              </w:rPr>
            </w:pPr>
            <w:r>
              <w:rPr>
                <w:rFonts w:ascii="Arial" w:cs="Arial" w:eastAsia="Arial" w:hAnsi="Arial"/>
                <w:sz w:val="18"/>
                <w:szCs w:val="18"/>
                <w:color w:val="auto"/>
                <w:w w:val="86"/>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1"/>
              <w:spacing w:after="0" w:line="201" w:lineRule="exact"/>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(3,462,448)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(2,175,791)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(7,298,869)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(4,438,530)</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310,153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489,203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342,082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1,317,971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426,175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426,175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321,987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166,908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647,331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327,696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163,822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1,035,629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460,883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629,993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787,720</w:t>
            </w:r>
          </w:p>
        </w:tc>
      </w:tr>
      <w:tr>
        <w:trPr>
          <w:trHeight w:val="216"/>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(1,433,754</w:t>
            </w:r>
            <w:r>
              <w:rPr>
                <w:rFonts w:ascii="Arial" w:cs="Arial" w:eastAsia="Arial" w:hAnsi="Arial"/>
                <w:sz w:val="29"/>
                <w:szCs w:val="29"/>
                <w:color w:val="auto"/>
                <w:vertAlign w:val="superscript"/>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(1,545,289</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(2,740,101</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(3,137,496</w:t>
            </w:r>
            <w:r>
              <w:rPr>
                <w:rFonts w:ascii="Arial" w:cs="Arial" w:eastAsia="Arial" w:hAnsi="Arial"/>
                <w:sz w:val="29"/>
                <w:szCs w:val="29"/>
                <w:color w:val="auto"/>
                <w:vertAlign w:val="superscript"/>
              </w:rPr>
              <w:t>)</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six months ended June 30, 2020 compared to June 30, 2019 decreased by approximately $0.4 million due to a decrease in salary and technology expenditures.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Three and Six Months Ended June 30, 2020 and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30,2020, the Company had revenues of approximately $0.3 million and $1.1 million, respectively compared to $0.6 million and $1.4 million in the three and six months ended June 30, 2019, respectively. The decrease is principally due to the Covid-19 pandemic and its impact on revenue at Cards Plus.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2020, cost of sales was lower than the cost of sales in the three months ended June 30, 2019 due to lower revenue at Cards Plus. During the six months ended June 30, 2020, cost of sales was higher than the cost of sales in the six months ended June 30,2019 principally due to lower margin revenue at Cards Plus in the first three months of 2020 offset by lower costs related to decreased revenue principally due to the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2020 compared to June 30, 2019, general and administrative expense increased by $0.5 million principally due to a severance charge for one executive officer of approximately $0.4 million and a higher stock compensation charges of approximately $0.3 million arising from the grant of options with immediate vesting to two new executive officers offset by lower overall costs. For the six months ended June 30, 2020 compared to June 30, 2019, respectively, general and administrative expenses decreased by approximately $0.2 million due to lower overall costs offset by the expenses described above in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compared to June 30, 2019, research and development expenses decreased by approximately $0.3 million and $0.3 million, respectively due to the refocusing of technology spend.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 recorded an impairment loss of approximately $164,000 and $1,036,000, respectively, associated with goodwill of one of its reporting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may not be recovered as revenue assumptions and related revenue were revised downward. The fair value of the reporting unit was determined using discounted cash flow as well as future realizable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compared to June 30, 2019, depreciation and amortization expense increased as a result of placing into service certain of the new product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2020, the Company recorded a charge of approximately $985,000 related to an extinguishment of a note payable and a charge of approximately $367,000 in connection with an inducement to certain warrant holders to exercise their outstanding warrants.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during the three and six months ended June 30, 2020 compared to June 30, 2019, principally due to the convertible debt offerings in December 2019 and February 2020 which increased level of debt outstanding as well as provided higher rates.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approximately $0.8 million of cash on hand and has a deficiency in working capital of approximately $0.6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approximately $2.0 million and $2.7 million in the six months ended June 30, 2020 and June 30, 2019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incremental revenue and cash to be generated in the second half of 2020 and beyond from the delivery of software products to new customers across various geographies.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2020, the Company received a loan of approximately $485,000 under the Paycheck Protection Program of the U.S. Small Business Association related to its U.S. operations. The Company anticipates subject to approval by the Small Business Administration, if certain requirements are met the loan proceeds may be forgiven. Any amounts not forgiven will be required to be repaid.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purchased 3,441,558 shares of common stock at an average price of $0.06 cents per share for $200,000.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on June 30, 2020, Company entered into and consummated private transactions pursuant to which a portion of the Company’s warrants exercisable at various prices were exercised for cash at an average exercise price of $0.06 per share for approximately $1,249,000.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the Company will continue to be opportunistic as well as judicious in raising additional funds to support its operations and investments as it creates a sustainable organization. There is no guarantee that such financing will be available or available on acceptable terms. In order to continue our operations through June 30, 2021 as contemplated in our current business plan, we expect that we will need to raise approximately $4.5 to $6.0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raised approximately $2,832,000 in the six months ended June 30, 2019, through the sale of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guarantee that our current business plan will not change and, as a result of such change, that we will need additional capital to implement such business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has had limited operations in the second quarter of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business inquiring about our services has increased as our products serve an increasing mobile economy and workforce.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above – Impairment loss and Note 13 to the unaudited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2020,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months ended June 30, 2020, the Company has instituted revised policies and procedures with respect to impairment for goodwill and intangible assets, including an intention to use third party experts when appropriate. We believe that these efforts have begun to remediate the control deficiency that existed in 2019 and we will continue to evaluate our processes and policies for further remediation efforts. We anticipate that these remediation efforts will be sufficient to address the control deficiency by the end of the current fiscal year. Except for these remediation efforts, there were no changes made in our internal controls over financial reporting (as such term is defined in Rule 13a-15(f) of the Exchange Act) during the quarter ended June 30, 2020 that have materially affected, or are reasonably likely to materially affect, our internal controls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2019.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Phillip Kumnick and Mr. Philip Broenniman, two of the Company’s Director’s joined the Company as Chief Executive Officer and President and Chief Operating Officer effective May 22, 2020. As part of their engagement, Mr. Kumnick was granted options to acquire 33,333,334 shares of common stock of which 20% vest at grant and the balance vest subject to performance conditions. Mr. Broenniman was granted options to acquire 16,666,666 shares of common stock of which 20% vest at grant and the balance vest subject to performance conditions.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2020, the Company granted 1,500,000 shares of Restricted Common Stock to each of Phillip Kumnick and Philip Broenniman in connection with their compensation for service as Board Members. The restricted stock vests upon the achievement of certain performance criteria. The performance criteria have not been met as of June 30,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2020, the Company entered into a Subscription Agreement with an accredited investor (the “June 2020 Accredited Investor”) pursuant to which the June 2020 Accredited Investor purchased 2,727,273 shares of common stock for $150,000.</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 Included in those figures are (a) the exercise of $0.10 Warrants by Mr. Theodore Stern, a director of the Company, resulting in the issuance of 1,000,000 shares of common stock and 250,000 $0.15 Warrants in consideration of $70,000; and (b) the exercise of $0.10 Warrants by Varana Capital Focused, LP (“VCFLP”), resulting in the issuance of 3,716,667 shares of common stock and 929,167 $0.15 Warrants,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30, 2020, Company entered into and consummated a private transaction pursuant to which a portion of the Company’s $0.06 Warrants were exercised for cash. In addition, the holders that exercised the $0.06 Warrants also received a $0.15 Warrant for every two $0.06 Warrants exercised. As a result, the Company issued 5,280,000 shares of common stock and 2,640,000 $0.15 Warrants in consideration of $316,800. Included in those figures is the exercise of $0.06 Warrants by Vista Associates, L.P., of which Mr. Herbert Selzer a director of the Company, is the General Partner, resulting in the issuance of 880,000 shares of common stock and 440,000 $0.15 Warrants, in consideration of $52,800.</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agreed to purchase 714,285 shares of common stock in consideration of $50,000.</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22, 2020, Phillip L. Kumnick, Deputy Chairman of the Company, was appointed as Chief Executive Officer of the Company. Philip R. Broenniman, a director of the Company, was appointed as Chief Operating Officer and President of the Company. Philip D. Beck resigned as Chief Executive Officer but will continue as Chairman of the Board of Directors of the Company. On May 22, 2020, the Company and Mr. Beck entered into a separation letter agreement, which provided for payment to Mr. Beck of one year’s severance in the amount of $350,000 as well as certain employee benefits, payable in accordance with the terms of Mr. Beck’s Retention Agreement. Thomas Szoke, a director of the Company that formerly served as Chief Operating Officer, was appointed as Chief Solutions Architect.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4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Agreement and Plan of Reorganization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Certificate of Incorporation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By-laws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Certificate of Ownership and Merger</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Certificate of Amendment to the Certificate of Incorporation dated February 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Certificate of Amendment to the Certificate of Incorporation dated October 3,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Stock Option dated May 28, 2015 issued to Ricky Solomon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Common Stock Purchase Warrant issued to Ricky Solomon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Stock Option dated September 25, 2015 issued to Herbert M. Seltzer</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Common Stock Purchase Warrant issued to ID Solutions Inc.</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Stock Option issued to Thomas Szoke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Stock Option issued to Douglas Solomon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Stock Option issued to Maksim Umarov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Form of Common Stock Purchase Warrant issued to the April 2016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Stock Option issued to Parity Labs, LLC</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Stock Option Agreement entered between the Company and Stuart P. Stoller dated January 31,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Stock Option Agreement entered between the Company and Philip D. Beck dated January 31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(29)</w:t>
            </w:r>
          </w:p>
        </w:tc>
        <w:tc>
          <w:tcPr>
            <w:tcW w:w="9880" w:type="dxa"/>
            <w:vAlign w:val="bottom"/>
            <w:shd w:val="clear" w:color="auto" w:fill="CCEEFF"/>
          </w:tcPr>
          <w:p>
            <w:pPr>
              <w:spacing w:after="0"/>
              <w:rPr>
                <w:rFonts w:ascii="Arial" w:cs="Arial" w:eastAsia="Arial" w:hAnsi="Arial"/>
                <w:sz w:val="18"/>
                <w:szCs w:val="18"/>
                <w:color w:val="0000EE"/>
              </w:rPr>
            </w:pPr>
            <w:hyperlink r:id="rId60">
              <w:r>
                <w:rPr>
                  <w:rFonts w:ascii="Arial" w:cs="Arial" w:eastAsia="Arial" w:hAnsi="Arial"/>
                  <w:sz w:val="18"/>
                  <w:szCs w:val="18"/>
                  <w:u w:val="single" w:color="auto"/>
                  <w:color w:val="0000EE"/>
                </w:rPr>
                <w:t>Letter Agreement between Ipsidy Inc. and Theodore Stern Revocable Trust dated April 30, 2018</w:t>
              </w:r>
              <w:r>
                <w:rPr>
                  <w:rFonts w:ascii="Arial" w:cs="Arial" w:eastAsia="Arial" w:hAnsi="Arial"/>
                  <w:sz w:val="18"/>
                  <w:szCs w:val="18"/>
                  <w:color w:val="0000EE"/>
                </w:rPr>
                <w:t>.</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Form of Subscription Agreement by and between Ipsidy Inc. and the August 2018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Form of Subscription Agreement by and between Ipsidy Inc. and the June 2019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Letter Agreement between The Theodore Stern Revocable Trust and Ipsidy Inc. dated December 13, 2019</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Securities Purchase Agreement entered between Ipsidy Inc. and the 8% Note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4.19</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Form of 8% Convertible Note</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4.20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w:t>
            </w:r>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Form of 15.0% Convertible Note</w:t>
              </w:r>
            </w:hyperlink>
          </w:p>
        </w:tc>
      </w:tr>
      <w:tr>
        <w:trPr>
          <w:trHeight w:val="709"/>
        </w:trPr>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160"/>
              <w:spacing w:after="0"/>
              <w:rPr>
                <w:sz w:val="20"/>
                <w:szCs w:val="20"/>
                <w:color w:val="auto"/>
              </w:rPr>
            </w:pPr>
            <w:r>
              <w:rPr>
                <w:rFonts w:ascii="Arial" w:cs="Arial" w:eastAsia="Arial" w:hAnsi="Arial"/>
                <w:sz w:val="22"/>
                <w:szCs w:val="22"/>
                <w:color w:val="auto"/>
              </w:rPr>
              <w:t>29</w:t>
            </w:r>
          </w:p>
        </w:tc>
      </w:tr>
    </w:tbl>
    <w:p>
      <w:pPr>
        <w:sectPr>
          <w:pgSz w:w="11900" w:h="16838" w:orient="portrait"/>
          <w:cols w:equalWidth="0" w:num="1">
            <w:col w:w="11240"/>
          </w:cols>
          <w:pgMar w:left="320" w:top="904" w:right="339" w:bottom="771"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4.21</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(33)</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Amended and Restated Promissory Note issued to The Theodore Stern Revocable Trust</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4.22</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(35)</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Paycheck Protection Program Term Note dated May 6, 2020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Assignment of Patents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(17)</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The ID Global Solutions Corporation Equity Compensation Plan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(18)</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Share Purchase Agreement by and between ID Global Solutions Corporation and the Multipay S.A. Shareholders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Director Agreement by and between ID Global Solutions Corporation and Ricky Solomon dated May 28,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(19)</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Director Agreement by and between ID Global Solutions Corporation and Herbert M. Seltzer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Employment Agreement between ID Global Solutions Corporation and Maksim Umarov dated July 1,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(21)</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Letter Agreement entered between ID Global Solutions Corporation and Maksim Umarov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(22)</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w w:val="90"/>
              </w:rPr>
            </w:pPr>
            <w:hyperlink r:id="rId78">
              <w:r>
                <w:rPr>
                  <w:rFonts w:ascii="Arial" w:cs="Arial" w:eastAsia="Arial" w:hAnsi="Arial"/>
                  <w:sz w:val="18"/>
                  <w:szCs w:val="18"/>
                  <w:u w:val="single" w:color="auto"/>
                  <w:color w:val="0000EE"/>
                  <w:w w:val="90"/>
                </w:rPr>
                <w:t>Share Exchange Agreement by and between ID Global Solutions Corporation, Fin Holdings, Inc. and the Fin Holdings, Inc. shareholders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7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(23)</w:t>
            </w:r>
          </w:p>
        </w:tc>
        <w:tc>
          <w:tcPr>
            <w:tcW w:w="9880" w:type="dxa"/>
            <w:vAlign w:val="bottom"/>
            <w:tcBorders>
              <w:right w:val="single" w:sz="8" w:color="CCEEFF"/>
            </w:tcBorders>
            <w:gridSpan w:val="4"/>
            <w:shd w:val="clear" w:color="auto" w:fill="CCEEFF"/>
          </w:tcPr>
          <w:p>
            <w:pPr>
              <w:spacing w:after="0" w:line="17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Contract for the Provision of Cash Collection Services entered by and between ID Global LATAM S.A.S. and Recaudo Bogota S.A.S.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dated December 30,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760" w:type="dxa"/>
            <w:vAlign w:val="bottom"/>
            <w:tcBorders>
              <w:bottom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(15)</w:t>
            </w:r>
          </w:p>
        </w:tc>
        <w:tc>
          <w:tcPr>
            <w:tcW w:w="988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Confidential Settlement Agreement and General Release between ID Global Solutions Corporation and Charles D. Albanese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January 26, 2017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Executive Retention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Indemnification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Executive Retention Agreement entered between the Company and Philip D. Beck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Executive Retention Agreement entered between the Company and Thomas Szoke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Executive Retention Agreement entered between the Company and Douglas Solomon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Form of Conversion Agreement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760" w:type="dxa"/>
            <w:vAlign w:val="bottom"/>
            <w:tcBorders>
              <w:bottom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(4)</w:t>
            </w:r>
          </w:p>
        </w:tc>
        <w:tc>
          <w:tcPr>
            <w:tcW w:w="9880" w:type="dxa"/>
            <w:vAlign w:val="bottom"/>
            <w:tcBorders>
              <w:bottom w:val="single" w:sz="8" w:color="0000EE"/>
              <w:right w:val="single" w:sz="8" w:color="CCEEFF"/>
            </w:tcBorders>
            <w:gridSpan w:val="4"/>
            <w:shd w:val="clear" w:color="auto" w:fill="CCEEFF"/>
          </w:tcPr>
          <w:p>
            <w:pPr>
              <w:spacing w:after="0" w:line="17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Stand-Off Agreement dated January 31, 2017 entered between Philip Beck, Stuart Stoller, Thomas Szoke, Douglas Solomon, Herbert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Selzer, Ricky Solomon and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w w:val="93"/>
              </w:rPr>
            </w:pPr>
            <w:hyperlink r:id="rId88">
              <w:r>
                <w:rPr>
                  <w:rFonts w:ascii="Arial" w:cs="Arial" w:eastAsia="Arial" w:hAnsi="Arial"/>
                  <w:sz w:val="18"/>
                  <w:szCs w:val="18"/>
                  <w:u w:val="single" w:color="auto"/>
                  <w:color w:val="0000EE"/>
                  <w:w w:val="93"/>
                </w:rPr>
                <w:t>Amendment No. 1 to the Share Purchase Agreement by and between Ipsidy Inc and the MultiPay Shareholders dated March 7,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Form of Indemnity Agreement</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w w:val="97"/>
              </w:rPr>
            </w:pPr>
            <w:hyperlink r:id="rId89">
              <w:r>
                <w:rPr>
                  <w:rFonts w:ascii="Arial" w:cs="Arial" w:eastAsia="Arial" w:hAnsi="Arial"/>
                  <w:sz w:val="18"/>
                  <w:szCs w:val="18"/>
                  <w:u w:val="single" w:color="auto"/>
                  <w:color w:val="0000EE"/>
                  <w:w w:val="97"/>
                </w:rPr>
                <w:t>Confidential Settlement Agreement and General Release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Agency Agreement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Restricted Stock Agreement dated September 29, 2017 between Philip D. Beck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10.25</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Restricted Stock Agreement dated September 29, 2017 between Stuart P. Stoller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10.26</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(27)</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Settlement Agreement entered between ID Global LATAM S.A.S. and Recaudo Bogota S.A.S.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10.27</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(29)</w:t>
            </w:r>
          </w:p>
        </w:tc>
        <w:tc>
          <w:tcPr>
            <w:tcW w:w="9880" w:type="dxa"/>
            <w:vAlign w:val="bottom"/>
            <w:tcBorders>
              <w:right w:val="single" w:sz="8" w:color="CCEEFF"/>
            </w:tcBorders>
            <w:gridSpan w:val="4"/>
            <w:shd w:val="clear" w:color="auto" w:fill="CCEEFF"/>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2017 Incentive Stock Plan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4"/>
          </w:tcPr>
          <w:p>
            <w:pPr>
              <w:ind w:left="4160"/>
              <w:spacing w:after="0"/>
              <w:rPr>
                <w:sz w:val="20"/>
                <w:szCs w:val="20"/>
                <w:color w:val="auto"/>
              </w:rPr>
            </w:pPr>
            <w:r>
              <w:rPr>
                <w:rFonts w:ascii="Arial" w:cs="Arial" w:eastAsia="Arial" w:hAnsi="Arial"/>
                <w:sz w:val="22"/>
                <w:szCs w:val="22"/>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2"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10.28</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Letter from Ipsidy Inc. to Philip Beck dated May 3, 2018</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10.29</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Letter from Ipsidy Inc. to Stuart Stoller dated May 3, 2018</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10.30</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Letter from Ipsidy Inc. to Thomas Szoke dated May 3, 2018</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10.31</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Letter Agreement between Phillip L. Kumnick and Ipsidy Inc.</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Form of Securities Purchase Agreement – 2020 Notes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10.33</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Form of Security Agreement – 2020 Notes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10.34</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Form of Letter Agreement between Ipsidy Inc. and the 8% Convertible Note Holders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10.35</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Letter Agreement between Phillip R. Broenniman and Ipsidy Inc.</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10.36</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Letter Agreement between Philip D. Beck and Ipsidy Inc. dated May 22, 2020</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Code of Ethics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List of Subsidiaries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Executive Officer pursuant to Rule 13a-14(a)/15d-14(a) of the Securities Exchange Act</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Chief Financial Officer pursuant to Rule 13a-14(a)/15d-14(a) of the Securities Exchange Act</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7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6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Executive Officer and Chief Financial Officer pursuant to 18 U.S.C. §1350, as adopted pursuant to Section 906 of</w:t>
              </w:r>
            </w:hyperlink>
          </w:p>
        </w:tc>
      </w:tr>
      <w:tr>
        <w:trPr>
          <w:trHeight w:val="216"/>
        </w:trPr>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the Sarbanes-Oxley Act of 2002</w:t>
              </w:r>
            </w:hyperlink>
          </w:p>
        </w:tc>
      </w:tr>
      <w:tr>
        <w:trPr>
          <w:trHeight w:val="216"/>
        </w:trPr>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6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 *</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6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18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13, 2013.</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the Form 10-12G Registration Statement filed with the Securities Exchange Commission on November 9, 2011.</w:t>
      </w:r>
    </w:p>
    <w:p>
      <w:pPr>
        <w:spacing w:after="0" w:line="236"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9, 2014.</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3, 2017.</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9,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4" w:name="page35"/>
    <w:bookmarkEnd w:id="34"/>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29,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April 25,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August 16,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the Form S-1 Registration Statement filed with the Securities Exchange Commission on February 13, 2014.</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28, 2014.</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March 12,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October 1, 2015.</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12, 2016.</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January 6,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March 31,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September 14,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the Form 10-Q Quarterly Report filed with the Securities Exchange Commission on November 13, 2017.</w:t>
      </w:r>
    </w:p>
    <w:p>
      <w:pPr>
        <w:spacing w:after="0" w:line="248" w:lineRule="exact"/>
        <w:rPr>
          <w:rFonts w:ascii="Arial" w:cs="Arial" w:eastAsia="Arial" w:hAnsi="Arial"/>
          <w:sz w:val="16"/>
          <w:szCs w:val="16"/>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15,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10-K Annual Report filed with the Securities Exchange Commission on July 12, 2017.</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May 4, 2018.</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10-K Annual Report filed with the Securities Exchange Commission on August 17, 2018.</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June 21, 2019.</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16, 2019.</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18, 2020.</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May 13, 2020.</w:t>
      </w:r>
    </w:p>
    <w:p>
      <w:pPr>
        <w:spacing w:after="0" w:line="236" w:lineRule="exact"/>
        <w:rPr>
          <w:rFonts w:ascii="Arial" w:cs="Arial" w:eastAsia="Arial" w:hAnsi="Arial"/>
          <w:sz w:val="17"/>
          <w:szCs w:val="17"/>
          <w:color w:val="auto"/>
        </w:rPr>
      </w:pPr>
    </w:p>
    <w:p>
      <w:pPr>
        <w:ind w:left="452" w:hanging="452"/>
        <w:spacing w:after="0"/>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May 29, 2020.</w:t>
      </w:r>
    </w:p>
    <w:p>
      <w:pPr>
        <w:spacing w:after="0" w:line="200" w:lineRule="exact"/>
        <w:rPr>
          <w:sz w:val="20"/>
          <w:szCs w:val="20"/>
          <w:color w:val="auto"/>
        </w:rPr>
      </w:pPr>
    </w:p>
    <w:p>
      <w:pPr>
        <w:spacing w:after="0" w:line="245" w:lineRule="exact"/>
        <w:rPr>
          <w:sz w:val="20"/>
          <w:szCs w:val="20"/>
          <w:color w:val="auto"/>
        </w:rPr>
      </w:pPr>
    </w:p>
    <w:p>
      <w:pPr>
        <w:ind w:left="5512"/>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72"/>
          </w:cols>
          <w:pgMar w:left="328" w:top="908" w:right="12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 Kumnick,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20" w:hanging="361"/>
        <w:spacing w:after="0" w:line="263"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20" w:hanging="361"/>
        <w:spacing w:after="0" w:line="263"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20" w:right="20" w:hanging="361"/>
        <w:spacing w:after="0" w:line="308"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hanging="361"/>
        <w:spacing w:after="0" w:line="342" w:lineRule="auto"/>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720" w:hanging="361"/>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ind w:left="100"/>
        <w:spacing w:after="0"/>
        <w:tabs>
          <w:tab w:leader="none" w:pos="67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7"/>
          <w:szCs w:val="17"/>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20" w:hanging="361"/>
        <w:spacing w:after="0" w:line="263"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20" w:hanging="361"/>
        <w:spacing w:after="0" w:line="263"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20" w:right="20" w:hanging="361"/>
        <w:spacing w:after="0" w:line="308" w:lineRule="auto"/>
        <w:tabs>
          <w:tab w:leader="none" w:pos="7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20" w:hanging="361"/>
        <w:spacing w:after="0" w:line="342" w:lineRule="auto"/>
        <w:tabs>
          <w:tab w:leader="none" w:pos="7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720" w:hanging="361"/>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ind w:left="100"/>
        <w:spacing w:after="0"/>
        <w:tabs>
          <w:tab w:leader="none" w:pos="67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Ipsidy Inc. (the “Company”) on Form 10-Q for the quarter ended June 30, 2020 as filed with the Securities and Exchange Commission (the “Report”), I, Phillip Kumnick, Deputy Chairman of the Board of Directors and Chief Executive Officer and, Stuart Stoller, Chief Financial Officer of the Company, certify, pursuant to 18 U.S.C. SS. 1350, as adopted pursuant to SS. 906 of the Sarbanes-Oxley Act of 2002, that:</w:t>
      </w:r>
    </w:p>
    <w:p>
      <w:pPr>
        <w:spacing w:after="0" w:line="149"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Philip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August 6,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106" Type="http://schemas.openxmlformats.org/officeDocument/2006/relationships/image" Target="media/image35.png"/><Relationship Id="rId107" Type="http://schemas.openxmlformats.org/officeDocument/2006/relationships/image" Target="media/image36.png"/><Relationship Id="rId108" Type="http://schemas.openxmlformats.org/officeDocument/2006/relationships/image" Target="media/image37.png"/><Relationship Id="rId109" Type="http://schemas.openxmlformats.org/officeDocument/2006/relationships/image" Target="media/image38.png"/><Relationship Id="rId110" Type="http://schemas.openxmlformats.org/officeDocument/2006/relationships/image" Target="media/image39.png"/><Relationship Id="rId111" Type="http://schemas.openxmlformats.org/officeDocument/2006/relationships/image" Target="media/image40.png"/><Relationship Id="rId112" Type="http://schemas.openxmlformats.org/officeDocument/2006/relationships/image" Target="media/image41.png"/><Relationship Id="rId113" Type="http://schemas.openxmlformats.org/officeDocument/2006/relationships/image" Target="media/image42.png"/><Relationship Id="rId114" Type="http://schemas.openxmlformats.org/officeDocument/2006/relationships/image" Target="media/image43.png"/><Relationship Id="rId42" Type="http://schemas.openxmlformats.org/officeDocument/2006/relationships/hyperlink" Target="http://www.sec.gov/Archives/edgar/data/1534154/000114420413044868/v352645_ex2-1.htm" TargetMode="External"/><Relationship Id="rId43" Type="http://schemas.openxmlformats.org/officeDocument/2006/relationships/hyperlink" Target="http://www.sec.gov/Archives/edgar/data/1534154/000102143211000112/cersilverwood.txt" TargetMode="External"/><Relationship Id="rId44" Type="http://schemas.openxmlformats.org/officeDocument/2006/relationships/hyperlink" Target="http://www.sec.gov/Archives/edgar/data/1534154/000102143211000112/bylawssilverwood.txt" TargetMode="External"/><Relationship Id="rId45" Type="http://schemas.openxmlformats.org/officeDocument/2006/relationships/hyperlink" Target="http://www.sec.gov/Archives/edgar/data/1534154/000161577414000191/s100383_ex3-3.htm" TargetMode="External"/><Relationship Id="rId46" Type="http://schemas.openxmlformats.org/officeDocument/2006/relationships/hyperlink" Target="http://www.sec.gov/Archives/edgar/data/1534154/000161577417000380/s105242_ex3-1.htm" TargetMode="External"/><Relationship Id="rId47" Type="http://schemas.openxmlformats.org/officeDocument/2006/relationships/hyperlink" Target="http://www.sec.gov/Archives/edgar/data/1534154/000161577415001317/s101235_ex4-1.htm" TargetMode="External"/><Relationship Id="rId48" Type="http://schemas.openxmlformats.org/officeDocument/2006/relationships/hyperlink" Target="http://www.sec.gov/Archives/edgar/data/1534154/000161577415002497/s101799_ex4-4.htm" TargetMode="External"/><Relationship Id="rId49" Type="http://schemas.openxmlformats.org/officeDocument/2006/relationships/hyperlink" Target="http://www.sec.gov/Archives/edgar/data/1534154/000161577415002797/s101910_4-4.htm" TargetMode="External"/><Relationship Id="rId50" Type="http://schemas.openxmlformats.org/officeDocument/2006/relationships/hyperlink" Target="http://www.sec.gov/Archives/edgar/data/1534154/000161577415002797/s101910_4-5.htm" TargetMode="External"/><Relationship Id="rId51" Type="http://schemas.openxmlformats.org/officeDocument/2006/relationships/hyperlink" Target="http://www.sec.gov/Archives/edgar/data/1534154/000161577415002797/s101910_4-8.htm" TargetMode="External"/><Relationship Id="rId52" Type="http://schemas.openxmlformats.org/officeDocument/2006/relationships/hyperlink" Target="http://www.sec.gov/Archives/edgar/data/1534154/000161577415002797/s101910_4-9.htm" TargetMode="External"/><Relationship Id="rId53" Type="http://schemas.openxmlformats.org/officeDocument/2006/relationships/hyperlink" Target="http://www.sec.gov/Archives/edgar/data/1534154/000161577415002797/s101910_4-10.htm" TargetMode="External"/><Relationship Id="rId54" Type="http://schemas.openxmlformats.org/officeDocument/2006/relationships/hyperlink" Target="http://www.sec.gov/Archives/edgar/data/1534154/000161577415002797/s101910_4-11.htm" TargetMode="External"/><Relationship Id="rId55" Type="http://schemas.openxmlformats.org/officeDocument/2006/relationships/hyperlink" Target="http://www.sec.gov/Archives/edgar/data/1534154/000161577415003762/s102409_ex4-4.htm" TargetMode="External"/><Relationship Id="rId56" Type="http://schemas.openxmlformats.org/officeDocument/2006/relationships/hyperlink" Target="http://www.sec.gov/Archives/edgar/data/1534154/000161577416005078/s103074_ex4-4.htm" TargetMode="External"/><Relationship Id="rId57" Type="http://schemas.openxmlformats.org/officeDocument/2006/relationships/hyperlink" Target="http://www.sec.gov/Archives/edgar/data/1534154/000161577416006851/s103950_ex4-2.htm" TargetMode="External"/><Relationship Id="rId58" Type="http://schemas.openxmlformats.org/officeDocument/2006/relationships/hyperlink" Target="http://www.sec.gov/Archives/edgar/data/1534154/000161577417000313/s105211_ex4-1.htm" TargetMode="External"/><Relationship Id="rId59" Type="http://schemas.openxmlformats.org/officeDocument/2006/relationships/hyperlink" Target="http://www.sec.gov/Archives/edgar/data/1534154/000161577417000380/s105242_ex4-3.htm" TargetMode="External"/><Relationship Id="rId60" Type="http://schemas.openxmlformats.org/officeDocument/2006/relationships/hyperlink" Target="http://www.sec.gov/Archives/edgar/data/1534154/000161577418003344/s109839_ex4-14.htm" TargetMode="External"/><Relationship Id="rId61" Type="http://schemas.openxmlformats.org/officeDocument/2006/relationships/hyperlink" Target="http://www.sec.gov/Archives/edgar/data/1534154/000161577418008304/s112176_ex4-1.htm" TargetMode="External"/><Relationship Id="rId62" Type="http://schemas.openxmlformats.org/officeDocument/2006/relationships/hyperlink" Target="http://www.sec.gov/Archives/edgar/data/1534154/000121390019011204/f8k061919ex4-1_ipsidyinc.htm" TargetMode="External"/><Relationship Id="rId63" Type="http://schemas.openxmlformats.org/officeDocument/2006/relationships/hyperlink" Target="http://www.sec.gov/Archives/edgar/data/1534154/000121390019026249/f8k121019ex4-1_ipsidy.htm" TargetMode="External"/><Relationship Id="rId64" Type="http://schemas.openxmlformats.org/officeDocument/2006/relationships/hyperlink" Target="http://www.sec.gov/Archives/edgar/data/1534154/000121390019026249/f8k121019ex4-2_ipsidy.htm" TargetMode="External"/><Relationship Id="rId65" Type="http://schemas.openxmlformats.org/officeDocument/2006/relationships/hyperlink" Target="http://www.sec.gov/Archives/edgar/data/1534154/000121390019026249/f8k121019ex4-3_ipsidy.htm" TargetMode="External"/><Relationship Id="rId66" Type="http://schemas.openxmlformats.org/officeDocument/2006/relationships/hyperlink" Target="http://www.sec.gov/Archives/edgar/data/1534154/000121390020004127/f8k021420ex4-1_ipsidyinc.htm" TargetMode="External"/><Relationship Id="rId67" Type="http://schemas.openxmlformats.org/officeDocument/2006/relationships/hyperlink" Target="http://www.sec.gov/Archives/edgar/data/1534154/000121390020004127/f8k021420ex4-2_ipsidyinc.htm" TargetMode="External"/><Relationship Id="rId68" Type="http://schemas.openxmlformats.org/officeDocument/2006/relationships/hyperlink" Target="http://www.sec.gov/Archives/edgar/data/1534154/000121390020011887/ea121728ex4-1_ipsidyinc.htm" TargetMode="External"/><Relationship Id="rId69" Type="http://schemas.openxmlformats.org/officeDocument/2006/relationships/hyperlink" Target="http://www.sec.gov/Archives/edgar/data/1534154/000114420414008202/v368203_ex10-1.htm" TargetMode="External"/><Relationship Id="rId70" Type="http://schemas.openxmlformats.org/officeDocument/2006/relationships/hyperlink" Target="http://www.sec.gov/Archives/edgar/data/1534154/000114420414008202/v368203_ex10-2.htm" TargetMode="External"/><Relationship Id="rId71" Type="http://schemas.openxmlformats.org/officeDocument/2006/relationships/hyperlink" Target="http://www.sec.gov/Archives/edgar/data/1534154/000114420414008202/v368203_ex10-3.htm" TargetMode="External"/><Relationship Id="rId72" Type="http://schemas.openxmlformats.org/officeDocument/2006/relationships/hyperlink" Target="http://www.sec.gov/Archives/edgar/data/1534154/000161577414000423/s100533_ex10-19.htm" TargetMode="External"/><Relationship Id="rId73" Type="http://schemas.openxmlformats.org/officeDocument/2006/relationships/hyperlink" Target="http://www.sec.gov/Archives/edgar/data/1534154/000161577415000464/s100863_ex10-1.htm" TargetMode="External"/><Relationship Id="rId74" Type="http://schemas.openxmlformats.org/officeDocument/2006/relationships/hyperlink" Target="http://www.sec.gov/Archives/edgar/data/1534154/000161577415001317/s101235_ex10-1.htm" TargetMode="External"/><Relationship Id="rId75" Type="http://schemas.openxmlformats.org/officeDocument/2006/relationships/hyperlink" Target="http://www.sec.gov/Archives/edgar/data/1534154/000161577415002797/s101910_10-1.htm" TargetMode="External"/><Relationship Id="rId76" Type="http://schemas.openxmlformats.org/officeDocument/2006/relationships/hyperlink" Target="http://www.sec.gov/Archives/edgar/data/1534154/000161577415002797/s101910_10-3.htm" TargetMode="External"/><Relationship Id="rId77" Type="http://schemas.openxmlformats.org/officeDocument/2006/relationships/hyperlink" Target="http://www.sec.gov/Archives/edgar/data/1534154/000161577415002797/s101910_10-4.htm" TargetMode="External"/><Relationship Id="rId78" Type="http://schemas.openxmlformats.org/officeDocument/2006/relationships/hyperlink" Target="http://www.sec.gov/Archives/edgar/data/1534154/000161577416004161/s102630_ex10-1.htm" TargetMode="External"/><Relationship Id="rId79" Type="http://schemas.openxmlformats.org/officeDocument/2006/relationships/hyperlink" Target="http://www.sec.gov/Archives/edgar/data/1534154/000161577417000073/s105090_ex10-1.htm" TargetMode="External"/><Relationship Id="rId80" Type="http://schemas.openxmlformats.org/officeDocument/2006/relationships/hyperlink" Target="http://www.sec.gov/Archives/edgar/data/1534154/000161577417000313/s105211_ex10-1.htm" TargetMode="External"/><Relationship Id="rId81" Type="http://schemas.openxmlformats.org/officeDocument/2006/relationships/hyperlink" Target="http://www.sec.gov/Archives/edgar/data/1534154/000161577417000313/s105211_ex10-2.htm" TargetMode="External"/><Relationship Id="rId82" Type="http://schemas.openxmlformats.org/officeDocument/2006/relationships/hyperlink" Target="http://www.sec.gov/Archives/edgar/data/1534154/000161577417000380/s105242_ex10-6.htm" TargetMode="External"/><Relationship Id="rId83" Type="http://schemas.openxmlformats.org/officeDocument/2006/relationships/hyperlink" Target="http://www.sec.gov/Archives/edgar/data/1534154/000161577417000380/s105242_ex10-1.htm" TargetMode="External"/><Relationship Id="rId84" Type="http://schemas.openxmlformats.org/officeDocument/2006/relationships/hyperlink" Target="http://www.sec.gov/Archives/edgar/data/1534154/000161577417000380/s105242_ex10-2.htm" TargetMode="External"/><Relationship Id="rId85" Type="http://schemas.openxmlformats.org/officeDocument/2006/relationships/hyperlink" Target="http://www.sec.gov/Archives/edgar/data/1534154/000161577417000380/s105242_ex10-3.htm" TargetMode="External"/><Relationship Id="rId86" Type="http://schemas.openxmlformats.org/officeDocument/2006/relationships/hyperlink" Target="http://www.sec.gov/Archives/edgar/data/1534154/000161577417000380/s105242_ex10-4.htm" TargetMode="External"/><Relationship Id="rId87" Type="http://schemas.openxmlformats.org/officeDocument/2006/relationships/hyperlink" Target="http://www.sec.gov/Archives/edgar/data/1534154/000161577417000380/s105242_ex10-5.htm" TargetMode="External"/><Relationship Id="rId88" Type="http://schemas.openxmlformats.org/officeDocument/2006/relationships/hyperlink" Target="http://www.sec.gov/Archives/edgar/data/1534154/000161577417001378/s105638_ex10-43.htm" TargetMode="External"/><Relationship Id="rId89" Type="http://schemas.openxmlformats.org/officeDocument/2006/relationships/hyperlink" Target="http://www.sec.gov/Archives/edgar/data/1534154/000161577417005098/s107501_ex10-1.htm" TargetMode="External"/><Relationship Id="rId90" Type="http://schemas.openxmlformats.org/officeDocument/2006/relationships/hyperlink" Target="http://www.sec.gov/Archives/edgar/data/1534154/000161577417005098/s107501_ex10-2.htm" TargetMode="External"/><Relationship Id="rId91" Type="http://schemas.openxmlformats.org/officeDocument/2006/relationships/hyperlink" Target="http://www.sec.gov/Archives/edgar/data/1534154/000161577417006574/s108010_ex10-47.htm" TargetMode="External"/><Relationship Id="rId92" Type="http://schemas.openxmlformats.org/officeDocument/2006/relationships/hyperlink" Target="http://www.sec.gov/Archives/edgar/data/1534154/000161577417006574/s108010_ex10-48.htm" TargetMode="External"/><Relationship Id="rId93" Type="http://schemas.openxmlformats.org/officeDocument/2006/relationships/hyperlink" Target="http://www.sec.gov/Archives/edgar/data/1534154/000161577417006765/s108188_ex10-1.htm" TargetMode="External"/><Relationship Id="rId94" Type="http://schemas.openxmlformats.org/officeDocument/2006/relationships/hyperlink" Target="http://www.sec.gov/Archives/edgar/data/1534154/000161577418003344/s109839_ex10-27.htm" TargetMode="External"/><Relationship Id="rId95" Type="http://schemas.openxmlformats.org/officeDocument/2006/relationships/hyperlink" Target="http://www.sec.gov/Archives/edgar/data/1534154/000161577418003344/s109839_ex10-28.htm" TargetMode="External"/><Relationship Id="rId96" Type="http://schemas.openxmlformats.org/officeDocument/2006/relationships/hyperlink" Target="http://www.sec.gov/Archives/edgar/data/1534154/000161577418003344/s109839_ex10-29.htm" TargetMode="External"/><Relationship Id="rId97" Type="http://schemas.openxmlformats.org/officeDocument/2006/relationships/hyperlink" Target="http://www.sec.gov/Archives/edgar/data/1534154/000161577418003344/s109839_ex10-30.htm" TargetMode="External"/><Relationship Id="rId98" Type="http://schemas.openxmlformats.org/officeDocument/2006/relationships/hyperlink" Target="http://www.sec.gov/Archives/edgar/data/1534154/000121390019026249/f8k121019ex10-1_ipsidy.htm" TargetMode="External"/><Relationship Id="rId99" Type="http://schemas.openxmlformats.org/officeDocument/2006/relationships/hyperlink" Target="http://www.sec.gov/Archives/edgar/data/1534154/000121390020004127/f8k021420ex10-1_ipsidyinc.htm" TargetMode="External"/><Relationship Id="rId100" Type="http://schemas.openxmlformats.org/officeDocument/2006/relationships/hyperlink" Target="http://www.sec.gov/Archives/edgar/data/1534154/000121390020004127/f8k021420ex10-2_ipsidyinc.htm" TargetMode="External"/><Relationship Id="rId101" Type="http://schemas.openxmlformats.org/officeDocument/2006/relationships/hyperlink" Target="http://www.sec.gov/Archives/edgar/data/1534154/000121390020004127/f8k021420ex10-3_ipsidyinc.htm" TargetMode="External"/><Relationship Id="rId102" Type="http://schemas.openxmlformats.org/officeDocument/2006/relationships/hyperlink" Target="http://www.sec.gov/Archives/edgar/data/1534154/000121390020005856/ea119473ex10-1_ipsidyinc.htm" TargetMode="External"/><Relationship Id="rId103" Type="http://schemas.openxmlformats.org/officeDocument/2006/relationships/hyperlink" Target="http://www.sec.gov/Archives/edgar/data/1534154/000121390020013697/ea122471ex10-1_ipsidyinc.htm" TargetMode="External"/><Relationship Id="rId104" Type="http://schemas.openxmlformats.org/officeDocument/2006/relationships/hyperlink" Target="http://www.sec.gov/Archives/edgar/data/1534154/000161577417003593/s106516_ex14-1.htm" TargetMode="External"/><Relationship Id="rId105"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2020-08-06T05:24:07Z</dcterms:created>
  <dcterms:modified xsi:type="dcterms:W3CDTF">2020-08-06T05:24:07Z</dcterms:modified>
</cp:coreProperties>
</file>