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caps w:val="false"/>
          <w:smallCaps w:val="false"/>
          <w:bdr w:val="single" w:sz="16" w:space="1" w:color="000000"/>
        </w:rPr>
      </w:pPr>
      <w:bookmarkStart w:id="0" w:name="ea0210135-10q_authid.htm"/>
      <w:bookmarkStart w:id="1" w:name="ksea021013510q_authid"/>
      <w:bookmarkEnd w:id="0"/>
      <w:bookmarkEnd w:id="1"/>
      <w:r>
        <w:rPr>
          <w:caps w:val="false"/>
          <w:smallCaps w:val="false"/>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10-Q</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One)</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QUARTERLY REPORT UNDER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quarterly period ended June 30,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TRANSITION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transition period from               to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001-40747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266950" cy="1762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66950" cy="17621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authID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090" w:type="dxa"/>
        <w:jc w:val="left"/>
        <w:tblInd w:w="0" w:type="dxa"/>
        <w:tblLayout w:type="fixed"/>
        <w:tblCellMar>
          <w:top w:w="0" w:type="dxa"/>
          <w:left w:w="0" w:type="dxa"/>
          <w:bottom w:w="28" w:type="dxa"/>
          <w:right w:w="0" w:type="dxa"/>
        </w:tblCellMar>
      </w:tblPr>
      <w:tblGrid>
        <w:gridCol w:w="2495"/>
        <w:gridCol w:w="60"/>
        <w:gridCol w:w="1535"/>
      </w:tblGrid>
      <w:tr>
        <w:trPr/>
        <w:tc>
          <w:tcPr>
            <w:tcW w:w="249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46-2069547</w:t>
            </w:r>
          </w:p>
        </w:tc>
      </w:tr>
      <w:tr>
        <w:trPr/>
        <w:tc>
          <w:tcPr>
            <w:tcW w:w="249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(I.R.S. Employer </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1580 North Logan Street, Suite 660, Unit 51767,</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Denver, CO 80203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516-274-8700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former address and former fiscal year,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8625" w:type="dxa"/>
        <w:jc w:val="left"/>
        <w:tblInd w:w="0" w:type="dxa"/>
        <w:tblLayout w:type="fixed"/>
        <w:tblCellMar>
          <w:top w:w="0" w:type="dxa"/>
          <w:left w:w="0" w:type="dxa"/>
          <w:bottom w:w="28" w:type="dxa"/>
          <w:right w:w="0" w:type="dxa"/>
        </w:tblCellMar>
      </w:tblPr>
      <w:tblGrid>
        <w:gridCol w:w="3575"/>
        <w:gridCol w:w="60"/>
        <w:gridCol w:w="1340"/>
        <w:gridCol w:w="60"/>
        <w:gridCol w:w="3590"/>
      </w:tblGrid>
      <w:tr>
        <w:trPr/>
        <w:tc>
          <w:tcPr>
            <w:tcW w:w="357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340"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Trading Symbol</w:t>
            </w:r>
          </w:p>
        </w:tc>
        <w:tc>
          <w:tcPr>
            <w:tcW w:w="60" w:type="dxa"/>
            <w:tcBorders/>
            <w:tcMar>
              <w:bottom w:w="0" w:type="dxa"/>
            </w:tcMar>
            <w:vAlign w:val="center"/>
          </w:tcPr>
          <w:p>
            <w:pPr>
              <w:pStyle w:val="TableContents"/>
              <w:bidi w:val="0"/>
              <w:spacing w:before="0" w:after="283"/>
              <w:jc w:val="center"/>
              <w:rPr/>
            </w:pPr>
            <w:r>
              <w:rPr/>
              <w:t> </w:t>
            </w:r>
          </w:p>
        </w:tc>
        <w:tc>
          <w:tcPr>
            <w:tcW w:w="3590"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357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Common Stock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34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AUID</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59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The NASDAQ Stock Market LLC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Yes ☐ No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Yes ☐ No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center"/>
        <w:rPr>
          <w:caps w:val="false"/>
          <w:smallCaps w:val="false"/>
        </w:rPr>
      </w:pPr>
      <w:r>
        <w:rPr>
          <w:caps w:val="false"/>
          <w:smallCaps w:val="false"/>
        </w:rPr>
        <w:t> </w:t>
      </w:r>
    </w:p>
    <w:tbl>
      <w:tblPr>
        <w:tblW w:w="4615" w:type="dxa"/>
        <w:jc w:val="left"/>
        <w:tblInd w:w="0" w:type="dxa"/>
        <w:tblLayout w:type="fixed"/>
        <w:tblCellMar>
          <w:top w:w="0" w:type="dxa"/>
          <w:left w:w="0" w:type="dxa"/>
          <w:bottom w:w="0" w:type="dxa"/>
          <w:right w:w="0" w:type="dxa"/>
        </w:tblCellMar>
      </w:tblPr>
      <w:tblGrid>
        <w:gridCol w:w="2105"/>
        <w:gridCol w:w="2510"/>
      </w:tblGrid>
      <w:tr>
        <w:trPr/>
        <w:tc>
          <w:tcPr>
            <w:tcW w:w="2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Large Accelerated filer ☐</w:t>
            </w:r>
          </w:p>
        </w:tc>
        <w:tc>
          <w:tcPr>
            <w:tcW w:w="25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Accelerated filer ☐</w:t>
            </w:r>
          </w:p>
        </w:tc>
      </w:tr>
      <w:tr>
        <w:trPr/>
        <w:tc>
          <w:tcPr>
            <w:tcW w:w="2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Non-accelerated filer ☒</w:t>
            </w:r>
          </w:p>
        </w:tc>
        <w:tc>
          <w:tcPr>
            <w:tcW w:w="25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Smaller reporting company ☒</w:t>
            </w:r>
          </w:p>
        </w:tc>
      </w:tr>
      <w:tr>
        <w:trPr/>
        <w:tc>
          <w:tcPr>
            <w:tcW w:w="2105"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Emerging growth Company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shell company (as defined in Rule 12b-2 of the Exchange Act).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the number of shares outstanding of each of the issuer’s classes of common stock as of the latest practicable date.</w:t>
      </w:r>
    </w:p>
    <w:p>
      <w:pPr>
        <w:pStyle w:val="TextBody"/>
        <w:bidi w:val="0"/>
        <w:spacing w:before="0" w:after="0"/>
        <w:ind w:left="0" w:right="0" w:hanging="0"/>
        <w:jc w:val="center"/>
        <w:rPr>
          <w:caps w:val="false"/>
          <w:smallCaps w:val="false"/>
        </w:rPr>
      </w:pPr>
      <w:r>
        <w:rPr>
          <w:caps w:val="false"/>
          <w:smallCaps w:val="false"/>
        </w:rPr>
        <w:t> </w:t>
      </w:r>
    </w:p>
    <w:tbl>
      <w:tblPr>
        <w:tblW w:w="5710" w:type="dxa"/>
        <w:jc w:val="left"/>
        <w:tblInd w:w="0" w:type="dxa"/>
        <w:tblLayout w:type="fixed"/>
        <w:tblCellMar>
          <w:top w:w="0" w:type="dxa"/>
          <w:left w:w="0" w:type="dxa"/>
          <w:bottom w:w="28" w:type="dxa"/>
          <w:right w:w="0" w:type="dxa"/>
        </w:tblCellMar>
      </w:tblPr>
      <w:tblGrid>
        <w:gridCol w:w="3125"/>
        <w:gridCol w:w="60"/>
        <w:gridCol w:w="2525"/>
      </w:tblGrid>
      <w:tr>
        <w:trPr/>
        <w:tc>
          <w:tcPr>
            <w:tcW w:w="312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Class</w:t>
            </w:r>
          </w:p>
        </w:tc>
        <w:tc>
          <w:tcPr>
            <w:tcW w:w="60" w:type="dxa"/>
            <w:tcBorders/>
            <w:tcMar>
              <w:bottom w:w="0" w:type="dxa"/>
            </w:tcMar>
            <w:vAlign w:val="center"/>
          </w:tcPr>
          <w:p>
            <w:pPr>
              <w:pStyle w:val="TableContents"/>
              <w:bidi w:val="0"/>
              <w:spacing w:before="0" w:after="283"/>
              <w:jc w:val="center"/>
              <w:rPr/>
            </w:pPr>
            <w:r>
              <w:rPr/>
              <w:t> </w:t>
            </w:r>
          </w:p>
        </w:tc>
        <w:tc>
          <w:tcPr>
            <w:tcW w:w="252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Outstanding at August 5, 2024</w:t>
            </w:r>
          </w:p>
        </w:tc>
      </w:tr>
      <w:tr>
        <w:trPr/>
        <w:tc>
          <w:tcPr>
            <w:tcW w:w="312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Common Stock, par value $0.0001</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52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10,920,851 shares</w:t>
            </w:r>
          </w:p>
        </w:tc>
      </w:tr>
      <w:tr>
        <w:trPr/>
        <w:tc>
          <w:tcPr>
            <w:tcW w:w="31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Documents incorporated by reference:</w:t>
            </w:r>
          </w:p>
        </w:tc>
        <w:tc>
          <w:tcPr>
            <w:tcW w:w="60" w:type="dxa"/>
            <w:tcBorders/>
            <w:tcMar>
              <w:bottom w:w="0" w:type="dxa"/>
            </w:tcMar>
            <w:vAlign w:val="center"/>
          </w:tcPr>
          <w:p>
            <w:pPr>
              <w:pStyle w:val="TableContents"/>
              <w:bidi w:val="0"/>
              <w:spacing w:before="0" w:after="283"/>
              <w:jc w:val="center"/>
              <w:rPr/>
            </w:pPr>
            <w:r>
              <w:rPr/>
              <w:t> </w:t>
            </w:r>
          </w:p>
        </w:tc>
        <w:tc>
          <w:tcPr>
            <w:tcW w:w="25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None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441"/>
        <w:gridCol w:w="60"/>
        <w:gridCol w:w="704"/>
      </w:tblGrid>
      <w:tr>
        <w:trPr/>
        <w:tc>
          <w:tcPr>
            <w:tcW w:w="9441"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center"/>
              <w:rPr/>
            </w:pPr>
            <w:r>
              <w:rPr/>
              <w:t> </w:t>
            </w:r>
          </w:p>
        </w:tc>
        <w:tc>
          <w:tcPr>
            <w:tcW w:w="704" w:type="dxa"/>
            <w:tcBorders>
              <w:bottom w:val="single" w:sz="12" w:space="0" w:color="000000"/>
            </w:tcBorders>
            <w:tcMar>
              <w:bottom w:w="28" w:type="dxa"/>
            </w:tcMar>
            <w:vAlign w:val="center"/>
          </w:tcPr>
          <w:p>
            <w:pPr>
              <w:pStyle w:val="TableContents"/>
              <w:bidi w:val="0"/>
              <w:spacing w:before="0" w:after="283"/>
              <w:ind w:left="0" w:right="0" w:hanging="180"/>
              <w:jc w:val="center"/>
              <w:rPr>
                <w:rFonts w:ascii="Times New Roman;Times;Serif" w:hAnsi="Times New Roman;Times;Serif"/>
                <w:b/>
                <w:sz w:val="20"/>
              </w:rPr>
            </w:pPr>
            <w:r>
              <w:rPr>
                <w:rFonts w:ascii="Times New Roman;Times;Serif" w:hAnsi="Times New Roman;Times;Serif"/>
                <w:b/>
                <w:sz w:val="20"/>
              </w:rPr>
              <w:t>Page No.</w:t>
            </w:r>
          </w:p>
        </w:tc>
      </w:tr>
      <w:tr>
        <w:trPr/>
        <w:tc>
          <w:tcPr>
            <w:tcW w:w="9441" w:type="dxa"/>
            <w:tcBorders/>
            <w:shd w:fill="CCEEFF" w:val="clear"/>
            <w:vAlign w:val="center"/>
          </w:tcPr>
          <w:p>
            <w:pPr>
              <w:pStyle w:val="TableContents"/>
              <w:bidi w:val="0"/>
              <w:spacing w:before="0" w:after="283"/>
              <w:jc w:val="center"/>
              <w:rPr/>
            </w:pPr>
            <w:hyperlink w:anchor="a_001">
              <w:r>
                <w:rPr>
                  <w:rStyle w:val="InternetLink"/>
                  <w:rFonts w:ascii="Times New Roman;Times;Serif" w:hAnsi="Times New Roman;Times;Serif"/>
                  <w:b/>
                  <w:sz w:val="20"/>
                </w:rPr>
                <w:t>PART I – FINANCIAL INFORMATION</w:t>
              </w:r>
            </w:hyperlink>
          </w:p>
        </w:tc>
        <w:tc>
          <w:tcPr>
            <w:tcW w:w="60" w:type="dxa"/>
            <w:tcBorders/>
            <w:shd w:fill="CCEEFF" w:val="clear"/>
            <w:vAlign w:val="center"/>
          </w:tcPr>
          <w:p>
            <w:pPr>
              <w:pStyle w:val="TableContents"/>
              <w:bidi w:val="0"/>
              <w:spacing w:before="0" w:after="283"/>
              <w:jc w:val="center"/>
              <w:rPr/>
            </w:pPr>
            <w:r>
              <w:rPr/>
              <w:t> </w:t>
            </w:r>
          </w:p>
        </w:tc>
        <w:tc>
          <w:tcPr>
            <w:tcW w:w="704" w:type="dxa"/>
            <w:tcBorders/>
            <w:shd w:fill="CCEEFF" w:val="clear"/>
            <w:vAlign w:val="center"/>
          </w:tcPr>
          <w:p>
            <w:pPr>
              <w:pStyle w:val="TableContents"/>
              <w:bidi w:val="0"/>
              <w:spacing w:before="0" w:after="283"/>
              <w:ind w:left="0" w:right="0" w:hanging="180"/>
              <w:jc w:val="center"/>
              <w:rPr/>
            </w:pPr>
            <w:r>
              <w:rPr/>
              <w:t> </w:t>
            </w:r>
          </w:p>
        </w:tc>
      </w:tr>
      <w:tr>
        <w:trPr/>
        <w:tc>
          <w:tcPr>
            <w:tcW w:w="94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04" w:type="dxa"/>
            <w:tcBorders/>
            <w:vAlign w:val="center"/>
          </w:tcPr>
          <w:p>
            <w:pPr>
              <w:pStyle w:val="TableContents"/>
              <w:bidi w:val="0"/>
              <w:spacing w:before="0" w:after="283"/>
              <w:ind w:left="0" w:right="0" w:hanging="180"/>
              <w:jc w:val="center"/>
              <w:rPr/>
            </w:pPr>
            <w:r>
              <w:rPr/>
              <w:t> </w:t>
            </w:r>
          </w:p>
        </w:tc>
      </w:tr>
      <w:tr>
        <w:trPr/>
        <w:tc>
          <w:tcPr>
            <w:tcW w:w="9441" w:type="dxa"/>
            <w:tcBorders/>
            <w:shd w:fill="CCEEFF" w:val="clear"/>
            <w:vAlign w:val="center"/>
          </w:tcPr>
          <w:p>
            <w:pPr>
              <w:pStyle w:val="TableContents"/>
              <w:bidi w:val="0"/>
              <w:spacing w:before="0" w:after="283"/>
              <w:jc w:val="left"/>
              <w:rPr/>
            </w:pPr>
            <w:hyperlink w:anchor="a_002">
              <w:r>
                <w:rPr>
                  <w:rStyle w:val="InternetLink"/>
                  <w:rFonts w:ascii="Times New Roman;Times;Serif" w:hAnsi="Times New Roman;Times;Serif"/>
                  <w:sz w:val="20"/>
                </w:rPr>
                <w:t>Item 1. Financial Statements</w:t>
              </w:r>
            </w:hyperlink>
          </w:p>
        </w:tc>
        <w:tc>
          <w:tcPr>
            <w:tcW w:w="60" w:type="dxa"/>
            <w:tcBorders/>
            <w:shd w:fill="CCEEFF" w:val="clear"/>
            <w:vAlign w:val="center"/>
          </w:tcPr>
          <w:p>
            <w:pPr>
              <w:pStyle w:val="TableContents"/>
              <w:bidi w:val="0"/>
              <w:spacing w:before="0" w:after="283"/>
              <w:jc w:val="center"/>
              <w:rPr/>
            </w:pPr>
            <w:r>
              <w:rPr/>
              <w:t> </w:t>
            </w:r>
          </w:p>
        </w:tc>
        <w:tc>
          <w:tcPr>
            <w:tcW w:w="704"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w:t>
            </w:r>
          </w:p>
        </w:tc>
      </w:tr>
      <w:tr>
        <w:trPr/>
        <w:tc>
          <w:tcPr>
            <w:tcW w:w="94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04" w:type="dxa"/>
            <w:tcBorders/>
            <w:vAlign w:val="center"/>
          </w:tcPr>
          <w:p>
            <w:pPr>
              <w:pStyle w:val="TableContents"/>
              <w:bidi w:val="0"/>
              <w:spacing w:before="0" w:after="283"/>
              <w:ind w:left="0" w:right="0" w:hanging="180"/>
              <w:jc w:val="center"/>
              <w:rPr/>
            </w:pPr>
            <w:r>
              <w:rPr/>
              <w:t> </w:t>
            </w:r>
          </w:p>
        </w:tc>
      </w:tr>
      <w:tr>
        <w:trPr/>
        <w:tc>
          <w:tcPr>
            <w:tcW w:w="9441"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sz w:val="20"/>
                </w:rPr>
                <w:t>Condensed Consolidated Balance Sheets as of June 30, 2024 (unaudited) and December 31, 2023</w:t>
              </w:r>
            </w:hyperlink>
          </w:p>
        </w:tc>
        <w:tc>
          <w:tcPr>
            <w:tcW w:w="60" w:type="dxa"/>
            <w:tcBorders/>
            <w:shd w:fill="CCEEFF" w:val="clear"/>
            <w:vAlign w:val="center"/>
          </w:tcPr>
          <w:p>
            <w:pPr>
              <w:pStyle w:val="TableContents"/>
              <w:bidi w:val="0"/>
              <w:spacing w:before="0" w:after="283"/>
              <w:jc w:val="center"/>
              <w:rPr/>
            </w:pPr>
            <w:r>
              <w:rPr/>
              <w:t> </w:t>
            </w:r>
          </w:p>
        </w:tc>
        <w:tc>
          <w:tcPr>
            <w:tcW w:w="704"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w:t>
            </w:r>
          </w:p>
        </w:tc>
      </w:tr>
      <w:tr>
        <w:trPr/>
        <w:tc>
          <w:tcPr>
            <w:tcW w:w="94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04" w:type="dxa"/>
            <w:tcBorders/>
            <w:vAlign w:val="center"/>
          </w:tcPr>
          <w:p>
            <w:pPr>
              <w:pStyle w:val="TableContents"/>
              <w:bidi w:val="0"/>
              <w:spacing w:before="0" w:after="283"/>
              <w:ind w:left="0" w:right="0" w:hanging="180"/>
              <w:jc w:val="center"/>
              <w:rPr/>
            </w:pPr>
            <w:r>
              <w:rPr/>
              <w:t> </w:t>
            </w:r>
          </w:p>
        </w:tc>
      </w:tr>
      <w:tr>
        <w:trPr/>
        <w:tc>
          <w:tcPr>
            <w:tcW w:w="9441" w:type="dxa"/>
            <w:tcBorders/>
            <w:shd w:fill="CCEEFF" w:val="clear"/>
            <w:vAlign w:val="center"/>
          </w:tcPr>
          <w:p>
            <w:pPr>
              <w:pStyle w:val="TableContents"/>
              <w:bidi w:val="0"/>
              <w:spacing w:before="0" w:after="283"/>
              <w:jc w:val="left"/>
              <w:rPr/>
            </w:pPr>
            <w:hyperlink w:anchor="a_004">
              <w:r>
                <w:rPr>
                  <w:rStyle w:val="InternetLink"/>
                  <w:rFonts w:ascii="Times New Roman;Times;Serif" w:hAnsi="Times New Roman;Times;Serif"/>
                  <w:sz w:val="20"/>
                </w:rPr>
                <w:t>Condensed Consolidated Statements of Operations for the Three and Six Months Ended June 30, 2024 and 2023 (unaudited)</w:t>
              </w:r>
            </w:hyperlink>
          </w:p>
        </w:tc>
        <w:tc>
          <w:tcPr>
            <w:tcW w:w="60" w:type="dxa"/>
            <w:tcBorders/>
            <w:shd w:fill="CCEEFF" w:val="clear"/>
            <w:vAlign w:val="center"/>
          </w:tcPr>
          <w:p>
            <w:pPr>
              <w:pStyle w:val="TableContents"/>
              <w:bidi w:val="0"/>
              <w:spacing w:before="0" w:after="283"/>
              <w:jc w:val="center"/>
              <w:rPr/>
            </w:pPr>
            <w:r>
              <w:rPr/>
              <w:t> </w:t>
            </w:r>
          </w:p>
        </w:tc>
        <w:tc>
          <w:tcPr>
            <w:tcW w:w="704"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2</w:t>
            </w:r>
          </w:p>
        </w:tc>
      </w:tr>
      <w:tr>
        <w:trPr/>
        <w:tc>
          <w:tcPr>
            <w:tcW w:w="94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04" w:type="dxa"/>
            <w:tcBorders/>
            <w:vAlign w:val="center"/>
          </w:tcPr>
          <w:p>
            <w:pPr>
              <w:pStyle w:val="TableContents"/>
              <w:bidi w:val="0"/>
              <w:spacing w:before="0" w:after="283"/>
              <w:ind w:left="0" w:right="0" w:hanging="180"/>
              <w:jc w:val="center"/>
              <w:rPr/>
            </w:pPr>
            <w:r>
              <w:rPr/>
              <w:t> </w:t>
            </w:r>
          </w:p>
        </w:tc>
      </w:tr>
      <w:tr>
        <w:trPr/>
        <w:tc>
          <w:tcPr>
            <w:tcW w:w="9441"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sz w:val="20"/>
                </w:rPr>
                <w:t>Condensed Consolidated Statements of Comprehensive Loss for the Three and Six Months Ended June 30, 2024 and 2023 (unaudited)</w:t>
              </w:r>
            </w:hyperlink>
          </w:p>
        </w:tc>
        <w:tc>
          <w:tcPr>
            <w:tcW w:w="60" w:type="dxa"/>
            <w:tcBorders/>
            <w:shd w:fill="CCEEFF" w:val="clear"/>
            <w:vAlign w:val="center"/>
          </w:tcPr>
          <w:p>
            <w:pPr>
              <w:pStyle w:val="TableContents"/>
              <w:bidi w:val="0"/>
              <w:spacing w:before="0" w:after="283"/>
              <w:jc w:val="center"/>
              <w:rPr/>
            </w:pPr>
            <w:r>
              <w:rPr/>
              <w:t> </w:t>
            </w:r>
          </w:p>
        </w:tc>
        <w:tc>
          <w:tcPr>
            <w:tcW w:w="704"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3</w:t>
            </w:r>
          </w:p>
        </w:tc>
      </w:tr>
      <w:tr>
        <w:trPr/>
        <w:tc>
          <w:tcPr>
            <w:tcW w:w="94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04" w:type="dxa"/>
            <w:tcBorders/>
            <w:vAlign w:val="center"/>
          </w:tcPr>
          <w:p>
            <w:pPr>
              <w:pStyle w:val="TableContents"/>
              <w:bidi w:val="0"/>
              <w:spacing w:before="0" w:after="283"/>
              <w:ind w:left="0" w:right="0" w:hanging="180"/>
              <w:jc w:val="center"/>
              <w:rPr/>
            </w:pPr>
            <w:r>
              <w:rPr/>
              <w:t> </w:t>
            </w:r>
          </w:p>
        </w:tc>
      </w:tr>
      <w:tr>
        <w:trPr/>
        <w:tc>
          <w:tcPr>
            <w:tcW w:w="9441" w:type="dxa"/>
            <w:tcBorders/>
            <w:shd w:fill="CCEEFF" w:val="clear"/>
            <w:vAlign w:val="center"/>
          </w:tcPr>
          <w:p>
            <w:pPr>
              <w:pStyle w:val="TableContents"/>
              <w:bidi w:val="0"/>
              <w:spacing w:before="0" w:after="283"/>
              <w:jc w:val="left"/>
              <w:rPr/>
            </w:pPr>
            <w:hyperlink w:anchor="a_006">
              <w:r>
                <w:rPr>
                  <w:rStyle w:val="InternetLink"/>
                  <w:rFonts w:ascii="Times New Roman;Times;Serif" w:hAnsi="Times New Roman;Times;Serif"/>
                  <w:sz w:val="20"/>
                </w:rPr>
                <w:t>Condensed Consolidated Statements of Stockholders’ Equity for the Three and Six Months Ended June 30, 2024 and 2023 (unaudited)</w:t>
              </w:r>
            </w:hyperlink>
          </w:p>
        </w:tc>
        <w:tc>
          <w:tcPr>
            <w:tcW w:w="60" w:type="dxa"/>
            <w:tcBorders/>
            <w:shd w:fill="CCEEFF" w:val="clear"/>
            <w:vAlign w:val="center"/>
          </w:tcPr>
          <w:p>
            <w:pPr>
              <w:pStyle w:val="TableContents"/>
              <w:bidi w:val="0"/>
              <w:spacing w:before="0" w:after="283"/>
              <w:jc w:val="center"/>
              <w:rPr/>
            </w:pPr>
            <w:r>
              <w:rPr/>
              <w:t> </w:t>
            </w:r>
          </w:p>
        </w:tc>
        <w:tc>
          <w:tcPr>
            <w:tcW w:w="704"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4</w:t>
            </w:r>
          </w:p>
        </w:tc>
      </w:tr>
      <w:tr>
        <w:trPr/>
        <w:tc>
          <w:tcPr>
            <w:tcW w:w="94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04" w:type="dxa"/>
            <w:tcBorders/>
            <w:vAlign w:val="center"/>
          </w:tcPr>
          <w:p>
            <w:pPr>
              <w:pStyle w:val="TableContents"/>
              <w:bidi w:val="0"/>
              <w:spacing w:before="0" w:after="283"/>
              <w:ind w:left="0" w:right="0" w:hanging="180"/>
              <w:jc w:val="center"/>
              <w:rPr/>
            </w:pPr>
            <w:r>
              <w:rPr/>
              <w:t> </w:t>
            </w:r>
          </w:p>
        </w:tc>
      </w:tr>
      <w:tr>
        <w:trPr/>
        <w:tc>
          <w:tcPr>
            <w:tcW w:w="9441"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sz w:val="20"/>
                </w:rPr>
                <w:t>Condensed Consolidated Statements of Cash Flows for the Six Months Ended June 30, 2024 and 2023 (unaudited)</w:t>
              </w:r>
            </w:hyperlink>
          </w:p>
        </w:tc>
        <w:tc>
          <w:tcPr>
            <w:tcW w:w="60" w:type="dxa"/>
            <w:tcBorders/>
            <w:shd w:fill="CCEEFF" w:val="clear"/>
            <w:vAlign w:val="center"/>
          </w:tcPr>
          <w:p>
            <w:pPr>
              <w:pStyle w:val="TableContents"/>
              <w:bidi w:val="0"/>
              <w:spacing w:before="0" w:after="283"/>
              <w:jc w:val="center"/>
              <w:rPr/>
            </w:pPr>
            <w:r>
              <w:rPr/>
              <w:t> </w:t>
            </w:r>
          </w:p>
        </w:tc>
        <w:tc>
          <w:tcPr>
            <w:tcW w:w="704"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5</w:t>
            </w:r>
          </w:p>
        </w:tc>
      </w:tr>
      <w:tr>
        <w:trPr/>
        <w:tc>
          <w:tcPr>
            <w:tcW w:w="94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04" w:type="dxa"/>
            <w:tcBorders/>
            <w:vAlign w:val="center"/>
          </w:tcPr>
          <w:p>
            <w:pPr>
              <w:pStyle w:val="TableContents"/>
              <w:bidi w:val="0"/>
              <w:spacing w:before="0" w:after="283"/>
              <w:ind w:left="0" w:right="0" w:hanging="180"/>
              <w:jc w:val="center"/>
              <w:rPr/>
            </w:pPr>
            <w:r>
              <w:rPr/>
              <w:t> </w:t>
            </w:r>
          </w:p>
        </w:tc>
      </w:tr>
      <w:tr>
        <w:trPr/>
        <w:tc>
          <w:tcPr>
            <w:tcW w:w="9441" w:type="dxa"/>
            <w:tcBorders/>
            <w:shd w:fill="CCEEFF" w:val="clear"/>
            <w:vAlign w:val="center"/>
          </w:tcPr>
          <w:p>
            <w:pPr>
              <w:pStyle w:val="TableContents"/>
              <w:bidi w:val="0"/>
              <w:spacing w:before="0" w:after="283"/>
              <w:jc w:val="left"/>
              <w:rPr/>
            </w:pPr>
            <w:hyperlink w:anchor="a_008">
              <w:r>
                <w:rPr>
                  <w:rStyle w:val="InternetLink"/>
                  <w:rFonts w:ascii="Times New Roman;Times;Serif" w:hAnsi="Times New Roman;Times;Serif"/>
                  <w:sz w:val="20"/>
                </w:rPr>
                <w:t>Notes to Unaudited Condensed Consolidated Financial Statements</w:t>
              </w:r>
            </w:hyperlink>
          </w:p>
        </w:tc>
        <w:tc>
          <w:tcPr>
            <w:tcW w:w="60" w:type="dxa"/>
            <w:tcBorders/>
            <w:shd w:fill="CCEEFF" w:val="clear"/>
            <w:vAlign w:val="center"/>
          </w:tcPr>
          <w:p>
            <w:pPr>
              <w:pStyle w:val="TableContents"/>
              <w:bidi w:val="0"/>
              <w:spacing w:before="0" w:after="283"/>
              <w:jc w:val="center"/>
              <w:rPr/>
            </w:pPr>
            <w:r>
              <w:rPr/>
              <w:t> </w:t>
            </w:r>
          </w:p>
        </w:tc>
        <w:tc>
          <w:tcPr>
            <w:tcW w:w="704"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6–12</w:t>
            </w:r>
          </w:p>
        </w:tc>
      </w:tr>
      <w:tr>
        <w:trPr/>
        <w:tc>
          <w:tcPr>
            <w:tcW w:w="94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04" w:type="dxa"/>
            <w:tcBorders/>
            <w:vAlign w:val="center"/>
          </w:tcPr>
          <w:p>
            <w:pPr>
              <w:pStyle w:val="TableContents"/>
              <w:bidi w:val="0"/>
              <w:spacing w:before="0" w:after="283"/>
              <w:ind w:left="0" w:right="0" w:hanging="180"/>
              <w:jc w:val="center"/>
              <w:rPr/>
            </w:pPr>
            <w:r>
              <w:rPr/>
              <w:t> </w:t>
            </w:r>
          </w:p>
        </w:tc>
      </w:tr>
      <w:tr>
        <w:trPr/>
        <w:tc>
          <w:tcPr>
            <w:tcW w:w="9441"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sz w:val="20"/>
                </w:rPr>
                <w:t>Item 2. Management’s Discussion and Analysis of Financial Condition and Results of Operations</w:t>
              </w:r>
            </w:hyperlink>
          </w:p>
        </w:tc>
        <w:tc>
          <w:tcPr>
            <w:tcW w:w="60" w:type="dxa"/>
            <w:tcBorders/>
            <w:shd w:fill="CCEEFF" w:val="clear"/>
            <w:vAlign w:val="center"/>
          </w:tcPr>
          <w:p>
            <w:pPr>
              <w:pStyle w:val="TableContents"/>
              <w:bidi w:val="0"/>
              <w:spacing w:before="0" w:after="283"/>
              <w:jc w:val="center"/>
              <w:rPr/>
            </w:pPr>
            <w:r>
              <w:rPr/>
              <w:t> </w:t>
            </w:r>
          </w:p>
        </w:tc>
        <w:tc>
          <w:tcPr>
            <w:tcW w:w="704"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13–19</w:t>
            </w:r>
          </w:p>
        </w:tc>
      </w:tr>
      <w:tr>
        <w:trPr/>
        <w:tc>
          <w:tcPr>
            <w:tcW w:w="94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04" w:type="dxa"/>
            <w:tcBorders/>
            <w:vAlign w:val="center"/>
          </w:tcPr>
          <w:p>
            <w:pPr>
              <w:pStyle w:val="TableContents"/>
              <w:bidi w:val="0"/>
              <w:spacing w:before="0" w:after="283"/>
              <w:ind w:left="0" w:right="0" w:hanging="180"/>
              <w:jc w:val="center"/>
              <w:rPr/>
            </w:pPr>
            <w:r>
              <w:rPr/>
              <w:t> </w:t>
            </w:r>
          </w:p>
        </w:tc>
      </w:tr>
      <w:tr>
        <w:trPr/>
        <w:tc>
          <w:tcPr>
            <w:tcW w:w="9441" w:type="dxa"/>
            <w:tcBorders/>
            <w:shd w:fill="CCEEFF" w:val="clear"/>
            <w:vAlign w:val="center"/>
          </w:tcPr>
          <w:p>
            <w:pPr>
              <w:pStyle w:val="TableContents"/>
              <w:bidi w:val="0"/>
              <w:spacing w:before="0" w:after="283"/>
              <w:jc w:val="left"/>
              <w:rPr/>
            </w:pPr>
            <w:hyperlink w:anchor="a_010">
              <w:r>
                <w:rPr>
                  <w:rStyle w:val="InternetLink"/>
                  <w:rFonts w:ascii="Times New Roman;Times;Serif" w:hAnsi="Times New Roman;Times;Serif"/>
                  <w:sz w:val="20"/>
                </w:rPr>
                <w:t>Item 3. Quantitative and Qualitative Disclosures About Market Risk</w:t>
              </w:r>
            </w:hyperlink>
          </w:p>
        </w:tc>
        <w:tc>
          <w:tcPr>
            <w:tcW w:w="60" w:type="dxa"/>
            <w:tcBorders/>
            <w:shd w:fill="CCEEFF" w:val="clear"/>
            <w:vAlign w:val="center"/>
          </w:tcPr>
          <w:p>
            <w:pPr>
              <w:pStyle w:val="TableContents"/>
              <w:bidi w:val="0"/>
              <w:spacing w:before="0" w:after="283"/>
              <w:jc w:val="center"/>
              <w:rPr/>
            </w:pPr>
            <w:r>
              <w:rPr/>
              <w:t> </w:t>
            </w:r>
          </w:p>
        </w:tc>
        <w:tc>
          <w:tcPr>
            <w:tcW w:w="704"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19</w:t>
            </w:r>
          </w:p>
        </w:tc>
      </w:tr>
      <w:tr>
        <w:trPr/>
        <w:tc>
          <w:tcPr>
            <w:tcW w:w="94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04" w:type="dxa"/>
            <w:tcBorders/>
            <w:vAlign w:val="center"/>
          </w:tcPr>
          <w:p>
            <w:pPr>
              <w:pStyle w:val="TableContents"/>
              <w:bidi w:val="0"/>
              <w:spacing w:before="0" w:after="283"/>
              <w:ind w:left="0" w:right="0" w:hanging="180"/>
              <w:jc w:val="center"/>
              <w:rPr/>
            </w:pPr>
            <w:r>
              <w:rPr/>
              <w:t> </w:t>
            </w:r>
          </w:p>
        </w:tc>
      </w:tr>
      <w:tr>
        <w:trPr/>
        <w:tc>
          <w:tcPr>
            <w:tcW w:w="9441"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sz w:val="20"/>
                </w:rPr>
                <w:t>Item 4. Controls and Procedures</w:t>
              </w:r>
            </w:hyperlink>
          </w:p>
        </w:tc>
        <w:tc>
          <w:tcPr>
            <w:tcW w:w="60" w:type="dxa"/>
            <w:tcBorders/>
            <w:shd w:fill="CCEEFF" w:val="clear"/>
            <w:vAlign w:val="center"/>
          </w:tcPr>
          <w:p>
            <w:pPr>
              <w:pStyle w:val="TableContents"/>
              <w:bidi w:val="0"/>
              <w:spacing w:before="0" w:after="283"/>
              <w:jc w:val="center"/>
              <w:rPr/>
            </w:pPr>
            <w:r>
              <w:rPr/>
              <w:t> </w:t>
            </w:r>
          </w:p>
        </w:tc>
        <w:tc>
          <w:tcPr>
            <w:tcW w:w="704"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19</w:t>
            </w:r>
          </w:p>
        </w:tc>
      </w:tr>
      <w:tr>
        <w:trPr/>
        <w:tc>
          <w:tcPr>
            <w:tcW w:w="94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04" w:type="dxa"/>
            <w:tcBorders/>
            <w:vAlign w:val="center"/>
          </w:tcPr>
          <w:p>
            <w:pPr>
              <w:pStyle w:val="TableContents"/>
              <w:bidi w:val="0"/>
              <w:spacing w:before="0" w:after="283"/>
              <w:ind w:left="0" w:right="0" w:hanging="180"/>
              <w:jc w:val="center"/>
              <w:rPr/>
            </w:pPr>
            <w:r>
              <w:rPr/>
              <w:t> </w:t>
            </w:r>
          </w:p>
        </w:tc>
      </w:tr>
      <w:tr>
        <w:trPr/>
        <w:tc>
          <w:tcPr>
            <w:tcW w:w="9441" w:type="dxa"/>
            <w:tcBorders/>
            <w:shd w:fill="CCEEFF" w:val="clear"/>
            <w:vAlign w:val="center"/>
          </w:tcPr>
          <w:p>
            <w:pPr>
              <w:pStyle w:val="TableContents"/>
              <w:bidi w:val="0"/>
              <w:spacing w:before="0" w:after="283"/>
              <w:jc w:val="center"/>
              <w:rPr/>
            </w:pPr>
            <w:hyperlink w:anchor="a_012">
              <w:r>
                <w:rPr>
                  <w:rStyle w:val="InternetLink"/>
                  <w:rFonts w:ascii="Times New Roman;Times;Serif" w:hAnsi="Times New Roman;Times;Serif"/>
                  <w:b/>
                  <w:sz w:val="20"/>
                </w:rPr>
                <w:t>PART II – OTHER INFORMATION</w:t>
              </w:r>
            </w:hyperlink>
          </w:p>
        </w:tc>
        <w:tc>
          <w:tcPr>
            <w:tcW w:w="60" w:type="dxa"/>
            <w:tcBorders/>
            <w:shd w:fill="CCEEFF" w:val="clear"/>
            <w:vAlign w:val="center"/>
          </w:tcPr>
          <w:p>
            <w:pPr>
              <w:pStyle w:val="TableContents"/>
              <w:bidi w:val="0"/>
              <w:spacing w:before="0" w:after="283"/>
              <w:jc w:val="center"/>
              <w:rPr/>
            </w:pPr>
            <w:r>
              <w:rPr/>
              <w:t> </w:t>
            </w:r>
          </w:p>
        </w:tc>
        <w:tc>
          <w:tcPr>
            <w:tcW w:w="704" w:type="dxa"/>
            <w:tcBorders/>
            <w:shd w:fill="CCEEFF" w:val="clear"/>
            <w:vAlign w:val="center"/>
          </w:tcPr>
          <w:p>
            <w:pPr>
              <w:pStyle w:val="TableContents"/>
              <w:bidi w:val="0"/>
              <w:spacing w:before="0" w:after="283"/>
              <w:ind w:left="0" w:right="0" w:hanging="180"/>
              <w:jc w:val="center"/>
              <w:rPr/>
            </w:pPr>
            <w:r>
              <w:rPr/>
              <w:t> </w:t>
            </w:r>
          </w:p>
        </w:tc>
      </w:tr>
      <w:tr>
        <w:trPr/>
        <w:tc>
          <w:tcPr>
            <w:tcW w:w="94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04" w:type="dxa"/>
            <w:tcBorders/>
            <w:vAlign w:val="center"/>
          </w:tcPr>
          <w:p>
            <w:pPr>
              <w:pStyle w:val="TableContents"/>
              <w:bidi w:val="0"/>
              <w:spacing w:before="0" w:after="283"/>
              <w:ind w:left="0" w:right="0" w:hanging="180"/>
              <w:jc w:val="center"/>
              <w:rPr/>
            </w:pPr>
            <w:r>
              <w:rPr/>
              <w:t> </w:t>
            </w:r>
          </w:p>
        </w:tc>
      </w:tr>
      <w:tr>
        <w:trPr/>
        <w:tc>
          <w:tcPr>
            <w:tcW w:w="9441"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sz w:val="20"/>
                </w:rPr>
                <w:t>Item 1. Legal Proceedings</w:t>
              </w:r>
            </w:hyperlink>
          </w:p>
        </w:tc>
        <w:tc>
          <w:tcPr>
            <w:tcW w:w="60" w:type="dxa"/>
            <w:tcBorders/>
            <w:shd w:fill="CCEEFF" w:val="clear"/>
            <w:vAlign w:val="center"/>
          </w:tcPr>
          <w:p>
            <w:pPr>
              <w:pStyle w:val="TableContents"/>
              <w:bidi w:val="0"/>
              <w:spacing w:before="0" w:after="283"/>
              <w:jc w:val="center"/>
              <w:rPr/>
            </w:pPr>
            <w:r>
              <w:rPr/>
              <w:t> </w:t>
            </w:r>
          </w:p>
        </w:tc>
        <w:tc>
          <w:tcPr>
            <w:tcW w:w="704"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20</w:t>
            </w:r>
          </w:p>
        </w:tc>
      </w:tr>
      <w:tr>
        <w:trPr/>
        <w:tc>
          <w:tcPr>
            <w:tcW w:w="94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04" w:type="dxa"/>
            <w:tcBorders/>
            <w:vAlign w:val="center"/>
          </w:tcPr>
          <w:p>
            <w:pPr>
              <w:pStyle w:val="TableContents"/>
              <w:bidi w:val="0"/>
              <w:spacing w:before="0" w:after="283"/>
              <w:ind w:left="0" w:right="0" w:hanging="180"/>
              <w:jc w:val="center"/>
              <w:rPr/>
            </w:pPr>
            <w:r>
              <w:rPr/>
              <w:t> </w:t>
            </w:r>
          </w:p>
        </w:tc>
      </w:tr>
      <w:tr>
        <w:trPr/>
        <w:tc>
          <w:tcPr>
            <w:tcW w:w="9441" w:type="dxa"/>
            <w:tcBorders/>
            <w:shd w:fill="CCEEFF" w:val="clear"/>
            <w:vAlign w:val="center"/>
          </w:tcPr>
          <w:p>
            <w:pPr>
              <w:pStyle w:val="TableContents"/>
              <w:bidi w:val="0"/>
              <w:spacing w:before="0" w:after="283"/>
              <w:jc w:val="left"/>
              <w:rPr/>
            </w:pPr>
            <w:hyperlink w:anchor="a_014">
              <w:r>
                <w:rPr>
                  <w:rStyle w:val="InternetLink"/>
                  <w:rFonts w:ascii="Times New Roman;Times;Serif" w:hAnsi="Times New Roman;Times;Serif"/>
                  <w:sz w:val="20"/>
                </w:rPr>
                <w:t>Item 1A. Risk Factors</w:t>
              </w:r>
            </w:hyperlink>
          </w:p>
        </w:tc>
        <w:tc>
          <w:tcPr>
            <w:tcW w:w="60" w:type="dxa"/>
            <w:tcBorders/>
            <w:shd w:fill="CCEEFF" w:val="clear"/>
            <w:vAlign w:val="center"/>
          </w:tcPr>
          <w:p>
            <w:pPr>
              <w:pStyle w:val="TableContents"/>
              <w:bidi w:val="0"/>
              <w:spacing w:before="0" w:after="283"/>
              <w:jc w:val="center"/>
              <w:rPr/>
            </w:pPr>
            <w:r>
              <w:rPr/>
              <w:t> </w:t>
            </w:r>
          </w:p>
        </w:tc>
        <w:tc>
          <w:tcPr>
            <w:tcW w:w="704"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20</w:t>
            </w:r>
          </w:p>
        </w:tc>
      </w:tr>
      <w:tr>
        <w:trPr/>
        <w:tc>
          <w:tcPr>
            <w:tcW w:w="94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04" w:type="dxa"/>
            <w:tcBorders/>
            <w:vAlign w:val="center"/>
          </w:tcPr>
          <w:p>
            <w:pPr>
              <w:pStyle w:val="TableContents"/>
              <w:bidi w:val="0"/>
              <w:spacing w:before="0" w:after="283"/>
              <w:ind w:left="0" w:right="0" w:hanging="180"/>
              <w:jc w:val="center"/>
              <w:rPr/>
            </w:pPr>
            <w:r>
              <w:rPr/>
              <w:t> </w:t>
            </w:r>
          </w:p>
        </w:tc>
      </w:tr>
      <w:tr>
        <w:trPr/>
        <w:tc>
          <w:tcPr>
            <w:tcW w:w="9441" w:type="dxa"/>
            <w:tcBorders/>
            <w:shd w:fill="CCEEFF" w:val="clear"/>
            <w:vAlign w:val="center"/>
          </w:tcPr>
          <w:p>
            <w:pPr>
              <w:pStyle w:val="TableContents"/>
              <w:bidi w:val="0"/>
              <w:spacing w:before="0" w:after="283"/>
              <w:jc w:val="left"/>
              <w:rPr/>
            </w:pPr>
            <w:hyperlink w:anchor="a_015">
              <w:r>
                <w:rPr>
                  <w:rStyle w:val="InternetLink"/>
                  <w:rFonts w:ascii="Times New Roman;Times;Serif" w:hAnsi="Times New Roman;Times;Serif"/>
                  <w:sz w:val="20"/>
                </w:rPr>
                <w:t>Item 2. Unregistered Sales of Equity Securities and Use of Proceeds</w:t>
              </w:r>
            </w:hyperlink>
          </w:p>
        </w:tc>
        <w:tc>
          <w:tcPr>
            <w:tcW w:w="60" w:type="dxa"/>
            <w:tcBorders/>
            <w:shd w:fill="CCEEFF" w:val="clear"/>
            <w:vAlign w:val="center"/>
          </w:tcPr>
          <w:p>
            <w:pPr>
              <w:pStyle w:val="TableContents"/>
              <w:bidi w:val="0"/>
              <w:spacing w:before="0" w:after="283"/>
              <w:jc w:val="center"/>
              <w:rPr/>
            </w:pPr>
            <w:r>
              <w:rPr/>
              <w:t> </w:t>
            </w:r>
          </w:p>
        </w:tc>
        <w:tc>
          <w:tcPr>
            <w:tcW w:w="704"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20</w:t>
            </w:r>
          </w:p>
        </w:tc>
      </w:tr>
      <w:tr>
        <w:trPr/>
        <w:tc>
          <w:tcPr>
            <w:tcW w:w="94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04" w:type="dxa"/>
            <w:tcBorders/>
            <w:vAlign w:val="center"/>
          </w:tcPr>
          <w:p>
            <w:pPr>
              <w:pStyle w:val="TableContents"/>
              <w:bidi w:val="0"/>
              <w:spacing w:before="0" w:after="283"/>
              <w:ind w:left="0" w:right="0" w:hanging="180"/>
              <w:jc w:val="center"/>
              <w:rPr/>
            </w:pPr>
            <w:r>
              <w:rPr/>
              <w:t> </w:t>
            </w:r>
          </w:p>
        </w:tc>
      </w:tr>
      <w:tr>
        <w:trPr/>
        <w:tc>
          <w:tcPr>
            <w:tcW w:w="9441" w:type="dxa"/>
            <w:tcBorders/>
            <w:shd w:fill="CCEEFF" w:val="clear"/>
            <w:vAlign w:val="center"/>
          </w:tcPr>
          <w:p>
            <w:pPr>
              <w:pStyle w:val="TableContents"/>
              <w:bidi w:val="0"/>
              <w:spacing w:before="0" w:after="283"/>
              <w:jc w:val="left"/>
              <w:rPr/>
            </w:pPr>
            <w:hyperlink w:anchor="a_016">
              <w:r>
                <w:rPr>
                  <w:rStyle w:val="InternetLink"/>
                  <w:rFonts w:ascii="Times New Roman;Times;Serif" w:hAnsi="Times New Roman;Times;Serif"/>
                  <w:sz w:val="20"/>
                </w:rPr>
                <w:t>Item 3. Defaults Upon Senior Securities</w:t>
              </w:r>
            </w:hyperlink>
          </w:p>
        </w:tc>
        <w:tc>
          <w:tcPr>
            <w:tcW w:w="60" w:type="dxa"/>
            <w:tcBorders/>
            <w:shd w:fill="CCEEFF" w:val="clear"/>
            <w:vAlign w:val="center"/>
          </w:tcPr>
          <w:p>
            <w:pPr>
              <w:pStyle w:val="TableContents"/>
              <w:bidi w:val="0"/>
              <w:spacing w:before="0" w:after="283"/>
              <w:jc w:val="center"/>
              <w:rPr/>
            </w:pPr>
            <w:r>
              <w:rPr/>
              <w:t> </w:t>
            </w:r>
          </w:p>
        </w:tc>
        <w:tc>
          <w:tcPr>
            <w:tcW w:w="704"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20</w:t>
            </w:r>
          </w:p>
        </w:tc>
      </w:tr>
      <w:tr>
        <w:trPr/>
        <w:tc>
          <w:tcPr>
            <w:tcW w:w="94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04" w:type="dxa"/>
            <w:tcBorders/>
            <w:vAlign w:val="center"/>
          </w:tcPr>
          <w:p>
            <w:pPr>
              <w:pStyle w:val="TableContents"/>
              <w:bidi w:val="0"/>
              <w:spacing w:before="0" w:after="283"/>
              <w:ind w:left="0" w:right="0" w:hanging="180"/>
              <w:jc w:val="center"/>
              <w:rPr/>
            </w:pPr>
            <w:r>
              <w:rPr/>
              <w:t> </w:t>
            </w:r>
          </w:p>
        </w:tc>
      </w:tr>
      <w:tr>
        <w:trPr/>
        <w:tc>
          <w:tcPr>
            <w:tcW w:w="9441" w:type="dxa"/>
            <w:tcBorders/>
            <w:shd w:fill="CCEEFF" w:val="clear"/>
            <w:vAlign w:val="center"/>
          </w:tcPr>
          <w:p>
            <w:pPr>
              <w:pStyle w:val="TableContents"/>
              <w:bidi w:val="0"/>
              <w:spacing w:before="0" w:after="283"/>
              <w:jc w:val="left"/>
              <w:rPr/>
            </w:pPr>
            <w:hyperlink w:anchor="a_017">
              <w:r>
                <w:rPr>
                  <w:rStyle w:val="InternetLink"/>
                  <w:rFonts w:ascii="Times New Roman;Times;Serif" w:hAnsi="Times New Roman;Times;Serif"/>
                  <w:sz w:val="20"/>
                </w:rPr>
                <w:t>Item 4. Mine Safety Disclosures</w:t>
              </w:r>
            </w:hyperlink>
          </w:p>
        </w:tc>
        <w:tc>
          <w:tcPr>
            <w:tcW w:w="60" w:type="dxa"/>
            <w:tcBorders/>
            <w:shd w:fill="CCEEFF" w:val="clear"/>
            <w:vAlign w:val="center"/>
          </w:tcPr>
          <w:p>
            <w:pPr>
              <w:pStyle w:val="TableContents"/>
              <w:bidi w:val="0"/>
              <w:spacing w:before="0" w:after="283"/>
              <w:jc w:val="center"/>
              <w:rPr/>
            </w:pPr>
            <w:r>
              <w:rPr/>
              <w:t> </w:t>
            </w:r>
          </w:p>
        </w:tc>
        <w:tc>
          <w:tcPr>
            <w:tcW w:w="704"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20</w:t>
            </w:r>
          </w:p>
        </w:tc>
      </w:tr>
      <w:tr>
        <w:trPr/>
        <w:tc>
          <w:tcPr>
            <w:tcW w:w="94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04" w:type="dxa"/>
            <w:tcBorders/>
            <w:vAlign w:val="center"/>
          </w:tcPr>
          <w:p>
            <w:pPr>
              <w:pStyle w:val="TableContents"/>
              <w:bidi w:val="0"/>
              <w:spacing w:before="0" w:after="283"/>
              <w:ind w:left="0" w:right="0" w:hanging="180"/>
              <w:jc w:val="center"/>
              <w:rPr/>
            </w:pPr>
            <w:r>
              <w:rPr/>
              <w:t> </w:t>
            </w:r>
          </w:p>
        </w:tc>
      </w:tr>
      <w:tr>
        <w:trPr/>
        <w:tc>
          <w:tcPr>
            <w:tcW w:w="9441" w:type="dxa"/>
            <w:tcBorders/>
            <w:shd w:fill="CCEEFF" w:val="clear"/>
            <w:vAlign w:val="center"/>
          </w:tcPr>
          <w:p>
            <w:pPr>
              <w:pStyle w:val="TableContents"/>
              <w:bidi w:val="0"/>
              <w:spacing w:before="0" w:after="283"/>
              <w:jc w:val="left"/>
              <w:rPr/>
            </w:pPr>
            <w:hyperlink w:anchor="a_018">
              <w:r>
                <w:rPr>
                  <w:rStyle w:val="InternetLink"/>
                  <w:rFonts w:ascii="Times New Roman;Times;Serif" w:hAnsi="Times New Roman;Times;Serif"/>
                  <w:sz w:val="20"/>
                </w:rPr>
                <w:t>Item 5. Other Information</w:t>
              </w:r>
            </w:hyperlink>
          </w:p>
        </w:tc>
        <w:tc>
          <w:tcPr>
            <w:tcW w:w="60" w:type="dxa"/>
            <w:tcBorders/>
            <w:shd w:fill="CCEEFF" w:val="clear"/>
            <w:vAlign w:val="center"/>
          </w:tcPr>
          <w:p>
            <w:pPr>
              <w:pStyle w:val="TableContents"/>
              <w:bidi w:val="0"/>
              <w:spacing w:before="0" w:after="283"/>
              <w:jc w:val="center"/>
              <w:rPr/>
            </w:pPr>
            <w:r>
              <w:rPr/>
              <w:t> </w:t>
            </w:r>
          </w:p>
        </w:tc>
        <w:tc>
          <w:tcPr>
            <w:tcW w:w="704"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20</w:t>
            </w:r>
          </w:p>
        </w:tc>
      </w:tr>
      <w:tr>
        <w:trPr/>
        <w:tc>
          <w:tcPr>
            <w:tcW w:w="94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04" w:type="dxa"/>
            <w:tcBorders/>
            <w:vAlign w:val="center"/>
          </w:tcPr>
          <w:p>
            <w:pPr>
              <w:pStyle w:val="TableContents"/>
              <w:bidi w:val="0"/>
              <w:spacing w:before="0" w:after="283"/>
              <w:ind w:left="0" w:right="0" w:hanging="180"/>
              <w:jc w:val="center"/>
              <w:rPr/>
            </w:pPr>
            <w:r>
              <w:rPr/>
              <w:t> </w:t>
            </w:r>
          </w:p>
        </w:tc>
      </w:tr>
      <w:tr>
        <w:trPr/>
        <w:tc>
          <w:tcPr>
            <w:tcW w:w="9441" w:type="dxa"/>
            <w:tcBorders/>
            <w:shd w:fill="CCEEFF" w:val="clear"/>
            <w:vAlign w:val="center"/>
          </w:tcPr>
          <w:p>
            <w:pPr>
              <w:pStyle w:val="TableContents"/>
              <w:bidi w:val="0"/>
              <w:spacing w:before="0" w:after="283"/>
              <w:jc w:val="left"/>
              <w:rPr/>
            </w:pPr>
            <w:hyperlink w:anchor="a_019">
              <w:r>
                <w:rPr>
                  <w:rStyle w:val="InternetLink"/>
                  <w:rFonts w:ascii="Times New Roman;Times;Serif" w:hAnsi="Times New Roman;Times;Serif"/>
                  <w:sz w:val="20"/>
                </w:rPr>
                <w:t>Item 6. Exhibits</w:t>
              </w:r>
            </w:hyperlink>
          </w:p>
        </w:tc>
        <w:tc>
          <w:tcPr>
            <w:tcW w:w="60" w:type="dxa"/>
            <w:tcBorders/>
            <w:shd w:fill="CCEEFF" w:val="clear"/>
            <w:vAlign w:val="center"/>
          </w:tcPr>
          <w:p>
            <w:pPr>
              <w:pStyle w:val="TableContents"/>
              <w:bidi w:val="0"/>
              <w:spacing w:before="0" w:after="283"/>
              <w:jc w:val="center"/>
              <w:rPr/>
            </w:pPr>
            <w:r>
              <w:rPr/>
              <w:t> </w:t>
            </w:r>
          </w:p>
        </w:tc>
        <w:tc>
          <w:tcPr>
            <w:tcW w:w="704"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FORWARD-LOOKING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includes forward-looking statements that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Words such as, but not limited to, “believe,” “expect,” “anticipate,” “estimate,” “intend,” “plan,” “targets,” “likely,” “aim,” “will,” “would,” “could,” and similar expressions or phrases identify forward-looking statements. We have based these forward-looking statements largely on our current expectations and future events and financial trends that we believe may affect our financial condition, results of operation, business strategy and financial needs.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thoroughly this report and the documents that we refer to herein with the understanding that our actual future results may be materially different from and/or worse than what we expect. We qualify all of our forward-looking statements by these cautionary statements including those made in this report, in Part I. Item 1A. Risk Factors also appear in our Annual Report on Form 10-K for the year ended December 31, 2023 and our other filings with the Securities and Exchange Commission. Some examples of risk factors which may affect our business are as follows:</w:t>
      </w:r>
    </w:p>
    <w:p>
      <w:pPr>
        <w:pStyle w:val="TextBody"/>
        <w:bidi w:val="0"/>
        <w:spacing w:before="0" w:after="0"/>
        <w:ind w:left="0" w:right="0" w:firstLine="720"/>
        <w:jc w:val="both"/>
        <w:rPr>
          <w:caps w:val="false"/>
          <w:smallCaps w:val="false"/>
        </w:rPr>
      </w:pPr>
      <w:r>
        <w:rPr>
          <w:caps w:val="false"/>
          <w:smallCaps w:val="false"/>
        </w:rPr>
        <w:t> </w:t>
      </w:r>
    </w:p>
    <w:tbl>
      <w:tblPr>
        <w:tblW w:w="6130" w:type="dxa"/>
        <w:jc w:val="left"/>
        <w:tblInd w:w="0" w:type="dxa"/>
        <w:tblLayout w:type="fixed"/>
        <w:tblCellMar>
          <w:top w:w="0" w:type="dxa"/>
          <w:left w:w="0" w:type="dxa"/>
          <w:bottom w:w="0" w:type="dxa"/>
          <w:right w:w="0" w:type="dxa"/>
        </w:tblCellMar>
      </w:tblPr>
      <w:tblGrid>
        <w:gridCol w:w="75"/>
        <w:gridCol w:w="170"/>
        <w:gridCol w:w="58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8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lack of significant revenues, positive cash flow and history of losses,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588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8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market acceptance of our products and competition;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88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8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attract and retain customers for existing and new products;</w:t>
            </w:r>
          </w:p>
        </w:tc>
      </w:tr>
    </w:tbl>
    <w:p>
      <w:pPr>
        <w:pStyle w:val="TextBody"/>
        <w:bidi w:val="0"/>
        <w:spacing w:before="0" w:after="0"/>
        <w:ind w:left="0" w:right="0" w:hanging="0"/>
        <w:jc w:val="left"/>
        <w:rPr>
          <w:caps w:val="false"/>
          <w:smallCaps w:val="false"/>
        </w:rPr>
      </w:pPr>
      <w:r>
        <w:rPr>
          <w:caps w:val="false"/>
          <w:smallCaps w:val="false"/>
        </w:rPr>
        <w:t> </w:t>
      </w:r>
    </w:p>
    <w:tbl>
      <w:tblPr>
        <w:tblW w:w="8065" w:type="dxa"/>
        <w:jc w:val="left"/>
        <w:tblInd w:w="0" w:type="dxa"/>
        <w:tblLayout w:type="fixed"/>
        <w:tblCellMar>
          <w:top w:w="0" w:type="dxa"/>
          <w:left w:w="0" w:type="dxa"/>
          <w:bottom w:w="0" w:type="dxa"/>
          <w:right w:w="0" w:type="dxa"/>
        </w:tblCellMar>
      </w:tblPr>
      <w:tblGrid>
        <w:gridCol w:w="75"/>
        <w:gridCol w:w="170"/>
        <w:gridCol w:w="78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effectively maintain and update our technology and product and service portfolio;</w:t>
            </w:r>
          </w:p>
        </w:tc>
      </w:tr>
    </w:tbl>
    <w:p>
      <w:pPr>
        <w:pStyle w:val="TextBody"/>
        <w:bidi w:val="0"/>
        <w:spacing w:before="0" w:after="0"/>
        <w:ind w:left="0" w:right="0" w:hanging="0"/>
        <w:jc w:val="left"/>
        <w:rPr>
          <w:caps w:val="false"/>
          <w:smallCaps w:val="false"/>
        </w:rPr>
      </w:pPr>
      <w:r>
        <w:rPr>
          <w:caps w:val="false"/>
          <w:smallCaps w:val="false"/>
        </w:rPr>
        <w:t> </w:t>
      </w:r>
    </w:p>
    <w:tbl>
      <w:tblPr>
        <w:tblW w:w="4450" w:type="dxa"/>
        <w:jc w:val="left"/>
        <w:tblInd w:w="0" w:type="dxa"/>
        <w:tblLayout w:type="fixed"/>
        <w:tblCellMar>
          <w:top w:w="0" w:type="dxa"/>
          <w:left w:w="0" w:type="dxa"/>
          <w:bottom w:w="0" w:type="dxa"/>
          <w:right w:w="0" w:type="dxa"/>
        </w:tblCellMar>
      </w:tblPr>
      <w:tblGrid>
        <w:gridCol w:w="75"/>
        <w:gridCol w:w="170"/>
        <w:gridCol w:w="42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2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reliance on third party software and developers;</w:t>
            </w:r>
          </w:p>
        </w:tc>
      </w:tr>
    </w:tbl>
    <w:p>
      <w:pPr>
        <w:pStyle w:val="TextBody"/>
        <w:bidi w:val="0"/>
        <w:spacing w:before="0" w:after="0"/>
        <w:ind w:left="0" w:right="0" w:hanging="0"/>
        <w:jc w:val="left"/>
        <w:rPr>
          <w:caps w:val="false"/>
          <w:smallCaps w:val="false"/>
        </w:rPr>
      </w:pPr>
      <w:r>
        <w:rPr>
          <w:caps w:val="false"/>
          <w:smallCaps w:val="false"/>
        </w:rPr>
        <w:t> </w:t>
      </w:r>
    </w:p>
    <w:tbl>
      <w:tblPr>
        <w:tblW w:w="5095" w:type="dxa"/>
        <w:jc w:val="left"/>
        <w:tblInd w:w="0" w:type="dxa"/>
        <w:tblLayout w:type="fixed"/>
        <w:tblCellMar>
          <w:top w:w="0" w:type="dxa"/>
          <w:left w:w="0" w:type="dxa"/>
          <w:bottom w:w="0" w:type="dxa"/>
          <w:right w:w="0" w:type="dxa"/>
        </w:tblCellMar>
      </w:tblPr>
      <w:tblGrid>
        <w:gridCol w:w="75"/>
        <w:gridCol w:w="170"/>
        <w:gridCol w:w="48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8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breaches of network or IT security and presentation attacks;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hire and retain key personnel and additional talent;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raise capital under acceptable terms;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maintain listing of our common stock on the Nasdaq Capital Market;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adequately protect our intellectual property, or the loss of some of our intellectual property rights through costly litigation or administrative proceedings;</w:t>
            </w:r>
          </w:p>
        </w:tc>
      </w:tr>
    </w:tbl>
    <w:p>
      <w:pPr>
        <w:pStyle w:val="TextBody"/>
        <w:bidi w:val="0"/>
        <w:spacing w:before="0" w:after="0"/>
        <w:ind w:left="0" w:right="0" w:hanging="0"/>
        <w:jc w:val="left"/>
        <w:rPr>
          <w:caps w:val="false"/>
          <w:smallCaps w:val="false"/>
        </w:rPr>
      </w:pPr>
      <w:r>
        <w:rPr>
          <w:caps w:val="false"/>
          <w:smallCaps w:val="false"/>
        </w:rPr>
        <w:t> </w:t>
      </w:r>
    </w:p>
    <w:tbl>
      <w:tblPr>
        <w:tblW w:w="5800" w:type="dxa"/>
        <w:jc w:val="left"/>
        <w:tblInd w:w="0" w:type="dxa"/>
        <w:tblLayout w:type="fixed"/>
        <w:tblCellMar>
          <w:top w:w="0" w:type="dxa"/>
          <w:left w:w="0" w:type="dxa"/>
          <w:bottom w:w="0" w:type="dxa"/>
          <w:right w:w="0" w:type="dxa"/>
        </w:tblCellMar>
      </w:tblPr>
      <w:tblGrid>
        <w:gridCol w:w="75"/>
        <w:gridCol w:w="170"/>
        <w:gridCol w:w="55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5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operate in non-US markets;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55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5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impact of the wars in Ukraine and the Middle East;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55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5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stock price and market volatility and the risk of securities litigation;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55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5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legislation and government regulation;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55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5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general economic conditions, inflation and access to capital.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sections of this report include additional factors which could adversely impact our business and financial performance.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any forward-looking statements. Except for our ongoing obligations to disclose material information under the Federal securities laws, we undertake no obligation to release publicly any revisions to any forward-looking statements, to report events or to report the occurrence of unanticipated events. These forward-looking statements speak only as of the date of this report, and you should not rely on these statements without also considering the risks and uncertainties associated with these statements and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PERTINENT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specifically set forth to the contrary, when used in this report the terms “authID” the “Company,” “we,” “our,” “us,” and similar terms refer to authID Inc., a Delaware corporation and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which appears on our website www.authID.ai is not part of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PART I – FINANCIAL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ITEM 1.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authID INC. AND SUBSIDIARIES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010"/>
        <w:gridCol w:w="60"/>
        <w:gridCol w:w="140"/>
        <w:gridCol w:w="1295"/>
        <w:gridCol w:w="95"/>
        <w:gridCol w:w="60"/>
        <w:gridCol w:w="140"/>
        <w:gridCol w:w="1295"/>
        <w:gridCol w:w="110"/>
      </w:tblGrid>
      <w:tr>
        <w:trPr/>
        <w:tc>
          <w:tcPr>
            <w:tcW w:w="7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7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7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7010" w:type="dxa"/>
            <w:tcBorders/>
            <w:vAlign w:val="center"/>
          </w:tcPr>
          <w:p>
            <w:pPr>
              <w:pStyle w:val="TableContents"/>
              <w:bidi w:val="0"/>
              <w:spacing w:before="0" w:after="283"/>
              <w:jc w:val="center"/>
              <w:rPr/>
            </w:pPr>
            <w:r>
              <w:rPr/>
              <w:t>ASSETS</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7010" w:type="dxa"/>
            <w:tcBorders/>
            <w:vAlign w:val="center"/>
          </w:tcPr>
          <w:p>
            <w:pPr>
              <w:pStyle w:val="TableContents"/>
              <w:bidi w:val="0"/>
              <w:spacing w:before="0" w:after="283"/>
              <w:jc w:val="left"/>
              <w:rPr/>
            </w:pPr>
            <w:r>
              <w:rPr/>
              <w:t>Current Assets:</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14,407,393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10,177,099</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vAlign w:val="center"/>
          </w:tcPr>
          <w:p>
            <w:pPr>
              <w:pStyle w:val="TableContents"/>
              <w:bidi w:val="0"/>
              <w:spacing w:before="0" w:after="283"/>
              <w:jc w:val="left"/>
              <w:rPr/>
            </w:pPr>
            <w:r>
              <w:rPr/>
              <w:t>Accounts receivable, net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192,667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91,277</w:t>
            </w:r>
          </w:p>
        </w:tc>
        <w:tc>
          <w:tcPr>
            <w:tcW w:w="110" w:type="dxa"/>
            <w:tcBorders/>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Deferred contract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156,735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157,300</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vAlign w:val="center"/>
          </w:tcPr>
          <w:p>
            <w:pPr>
              <w:pStyle w:val="TableContents"/>
              <w:bidi w:val="0"/>
              <w:spacing w:before="0" w:after="283"/>
              <w:jc w:val="left"/>
              <w:rPr/>
            </w:pPr>
            <w:r>
              <w:rPr/>
              <w:t>Other current assets, net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771,755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476,004</w:t>
            </w:r>
          </w:p>
        </w:tc>
        <w:tc>
          <w:tcPr>
            <w:tcW w:w="110" w:type="dxa"/>
            <w:tcBorders/>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Contract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201,610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vAlign w:val="center"/>
          </w:tcPr>
          <w:p>
            <w:pPr>
              <w:pStyle w:val="TableContents"/>
              <w:bidi w:val="0"/>
              <w:spacing w:before="0" w:after="283"/>
              <w:jc w:val="left"/>
              <w:rPr/>
            </w:pPr>
            <w:r>
              <w:rPr/>
              <w:t>Total current assets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15,730,160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10,901,680</w:t>
            </w:r>
          </w:p>
        </w:tc>
        <w:tc>
          <w:tcPr>
            <w:tcW w:w="110" w:type="dxa"/>
            <w:tcBorders/>
            <w:vAlign w:val="center"/>
          </w:tcPr>
          <w:p>
            <w:pPr>
              <w:pStyle w:val="TableContents"/>
              <w:bidi w:val="0"/>
              <w:spacing w:before="0" w:after="283"/>
              <w:ind w:left="0" w:right="0" w:hanging="200"/>
              <w:jc w:val="left"/>
              <w:rPr/>
            </w:pPr>
            <w:r>
              <w:rPr/>
              <w:t> </w:t>
            </w:r>
          </w:p>
        </w:tc>
      </w:tr>
      <w:tr>
        <w:trPr/>
        <w:tc>
          <w:tcPr>
            <w:tcW w:w="70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7010" w:type="dxa"/>
            <w:tcBorders/>
            <w:vAlign w:val="center"/>
          </w:tcPr>
          <w:p>
            <w:pPr>
              <w:pStyle w:val="TableContents"/>
              <w:bidi w:val="0"/>
              <w:spacing w:before="0" w:after="283"/>
              <w:jc w:val="left"/>
              <w:rPr/>
            </w:pPr>
            <w:r>
              <w:rPr/>
              <w:t>Intangible Assets, net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255,171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327,001</w:t>
            </w:r>
          </w:p>
        </w:tc>
        <w:tc>
          <w:tcPr>
            <w:tcW w:w="110" w:type="dxa"/>
            <w:tcBorders/>
            <w:vAlign w:val="center"/>
          </w:tcPr>
          <w:p>
            <w:pPr>
              <w:pStyle w:val="TableContents"/>
              <w:bidi w:val="0"/>
              <w:spacing w:before="0" w:after="283"/>
              <w:ind w:left="0" w:right="0" w:hanging="200"/>
              <w:jc w:val="left"/>
              <w:rPr/>
            </w:pPr>
            <w:r>
              <w:rPr/>
              <w:t> </w:t>
            </w:r>
          </w:p>
        </w:tc>
      </w:tr>
      <w:tr>
        <w:trPr/>
        <w:tc>
          <w:tcPr>
            <w:tcW w:w="7010" w:type="dxa"/>
            <w:tcBorders/>
            <w:shd w:fill="CCEEFF" w:val="clear"/>
            <w:vAlign w:val="center"/>
          </w:tcPr>
          <w:p>
            <w:pPr>
              <w:pStyle w:val="TableContents"/>
              <w:bidi w:val="0"/>
              <w:spacing w:before="0" w:after="283"/>
              <w:jc w:val="left"/>
              <w:rPr/>
            </w:pPr>
            <w:r>
              <w:rPr/>
              <w:t>Goodwill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4,183,232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4,183,232</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vAlign w:val="center"/>
          </w:tcPr>
          <w:p>
            <w:pPr>
              <w:pStyle w:val="TableContents"/>
              <w:bidi w:val="0"/>
              <w:spacing w:before="0" w:after="283"/>
              <w:jc w:val="left"/>
              <w:rPr/>
            </w:pPr>
            <w:r>
              <w:rPr/>
              <w:t>Total assets</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w:t>
            </w:r>
          </w:p>
        </w:tc>
        <w:tc>
          <w:tcPr>
            <w:tcW w:w="1295" w:type="dxa"/>
            <w:tcBorders>
              <w:bottom w:val="double" w:sz="10" w:space="0" w:color="000000"/>
            </w:tcBorders>
            <w:tcMar>
              <w:bottom w:w="28" w:type="dxa"/>
            </w:tcMar>
            <w:vAlign w:val="center"/>
          </w:tcPr>
          <w:p>
            <w:pPr>
              <w:pStyle w:val="TableContents"/>
              <w:bidi w:val="0"/>
              <w:spacing w:before="0" w:after="283"/>
              <w:jc w:val="right"/>
              <w:rPr/>
            </w:pPr>
            <w:r>
              <w:rPr/>
              <w:t>20,168,563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w:t>
            </w:r>
          </w:p>
        </w:tc>
        <w:tc>
          <w:tcPr>
            <w:tcW w:w="1295" w:type="dxa"/>
            <w:tcBorders>
              <w:bottom w:val="double" w:sz="10" w:space="0" w:color="000000"/>
            </w:tcBorders>
            <w:tcMar>
              <w:bottom w:w="28" w:type="dxa"/>
            </w:tcMar>
            <w:vAlign w:val="center"/>
          </w:tcPr>
          <w:p>
            <w:pPr>
              <w:pStyle w:val="TableContents"/>
              <w:bidi w:val="0"/>
              <w:spacing w:before="0" w:after="283"/>
              <w:jc w:val="right"/>
              <w:rPr/>
            </w:pPr>
            <w:r>
              <w:rPr/>
              <w:t>15,411,913</w:t>
            </w:r>
          </w:p>
        </w:tc>
        <w:tc>
          <w:tcPr>
            <w:tcW w:w="110" w:type="dxa"/>
            <w:tcBorders/>
            <w:vAlign w:val="center"/>
          </w:tcPr>
          <w:p>
            <w:pPr>
              <w:pStyle w:val="TableContents"/>
              <w:bidi w:val="0"/>
              <w:spacing w:before="0" w:after="283"/>
              <w:ind w:left="0" w:right="0" w:hanging="200"/>
              <w:jc w:val="left"/>
              <w:rPr/>
            </w:pPr>
            <w:r>
              <w:rPr/>
              <w:t> </w:t>
            </w:r>
          </w:p>
        </w:tc>
      </w:tr>
      <w:tr>
        <w:trPr/>
        <w:tc>
          <w:tcPr>
            <w:tcW w:w="70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vAlign w:val="center"/>
          </w:tcPr>
          <w:p>
            <w:pPr>
              <w:pStyle w:val="TableContents"/>
              <w:bidi w:val="0"/>
              <w:spacing w:before="0" w:after="283"/>
              <w:jc w:val="center"/>
              <w:rPr/>
            </w:pPr>
            <w:r>
              <w:rPr/>
              <w:t>LIABILITIES AND STOCKHOLDERS’ EQUITY</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ind w:left="0" w:right="0" w:hanging="200"/>
              <w:jc w:val="left"/>
              <w:rPr/>
            </w:pPr>
            <w:r>
              <w:rPr/>
              <w:t> </w:t>
            </w:r>
          </w:p>
        </w:tc>
      </w:tr>
      <w:tr>
        <w:trPr/>
        <w:tc>
          <w:tcPr>
            <w:tcW w:w="7010" w:type="dxa"/>
            <w:tcBorders/>
            <w:shd w:fill="CCEEFF" w:val="clear"/>
            <w:vAlign w:val="center"/>
          </w:tcPr>
          <w:p>
            <w:pPr>
              <w:pStyle w:val="TableContents"/>
              <w:bidi w:val="0"/>
              <w:spacing w:before="0" w:after="283"/>
              <w:jc w:val="left"/>
              <w:rPr/>
            </w:pPr>
            <w:r>
              <w:rPr/>
              <w:t>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vAlign w:val="center"/>
          </w:tcPr>
          <w:p>
            <w:pPr>
              <w:pStyle w:val="TableContents"/>
              <w:bidi w:val="0"/>
              <w:spacing w:before="0" w:after="283"/>
              <w:jc w:val="left"/>
              <w:rPr/>
            </w:pPr>
            <w:r>
              <w:rPr/>
              <w:t>Accounts payable and accrued expenses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95" w:type="dxa"/>
            <w:tcBorders/>
            <w:vAlign w:val="center"/>
          </w:tcPr>
          <w:p>
            <w:pPr>
              <w:pStyle w:val="TableContents"/>
              <w:bidi w:val="0"/>
              <w:spacing w:before="0" w:after="283"/>
              <w:jc w:val="right"/>
              <w:rPr/>
            </w:pPr>
            <w:r>
              <w:rPr/>
              <w:t>998,040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95" w:type="dxa"/>
            <w:tcBorders/>
            <w:vAlign w:val="center"/>
          </w:tcPr>
          <w:p>
            <w:pPr>
              <w:pStyle w:val="TableContents"/>
              <w:bidi w:val="0"/>
              <w:spacing w:before="0" w:after="283"/>
              <w:jc w:val="right"/>
              <w:rPr/>
            </w:pPr>
            <w:r>
              <w:rPr/>
              <w:t>1,408,965</w:t>
            </w:r>
          </w:p>
        </w:tc>
        <w:tc>
          <w:tcPr>
            <w:tcW w:w="110" w:type="dxa"/>
            <w:tcBorders/>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Deferred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243,772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131,628</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vAlign w:val="center"/>
          </w:tcPr>
          <w:p>
            <w:pPr>
              <w:pStyle w:val="TableContents"/>
              <w:bidi w:val="0"/>
              <w:spacing w:before="0" w:after="283"/>
              <w:jc w:val="left"/>
              <w:rPr/>
            </w:pPr>
            <w:r>
              <w:rPr/>
              <w:t>Commission liability</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46,612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124,150</w:t>
            </w:r>
          </w:p>
        </w:tc>
        <w:tc>
          <w:tcPr>
            <w:tcW w:w="110" w:type="dxa"/>
            <w:tcBorders/>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Accrued severance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325,000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0"/>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vAlign w:val="center"/>
          </w:tcPr>
          <w:p>
            <w:pPr>
              <w:pStyle w:val="TableContents"/>
              <w:bidi w:val="0"/>
              <w:spacing w:before="0" w:after="283"/>
              <w:jc w:val="left"/>
              <w:rPr/>
            </w:pPr>
            <w:r>
              <w:rPr/>
              <w:t>Convertible debt, net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tcMar>
              <w:bottom w:w="28" w:type="dxa"/>
            </w:tcMar>
            <w:vAlign w:val="center"/>
          </w:tcPr>
          <w:p>
            <w:pPr>
              <w:pStyle w:val="TableContents"/>
              <w:bidi w:val="0"/>
              <w:spacing w:before="0" w:after="283"/>
              <w:jc w:val="right"/>
              <w:rPr/>
            </w:pPr>
            <w:r>
              <w:rPr/>
              <w:t>232,654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tcMar>
              <w:bottom w:w="28" w:type="dxa"/>
            </w:tcMar>
            <w:vAlign w:val="center"/>
          </w:tcPr>
          <w:p>
            <w:pPr>
              <w:pStyle w:val="TableContents"/>
              <w:bidi w:val="0"/>
              <w:spacing w:before="0" w:after="0"/>
              <w:jc w:val="right"/>
              <w:rPr/>
            </w:pPr>
            <w:r>
              <w:rPr/>
              <w:t>-</w:t>
            </w:r>
          </w:p>
        </w:tc>
        <w:tc>
          <w:tcPr>
            <w:tcW w:w="110" w:type="dxa"/>
            <w:tcBorders/>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1,846,078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1,664,743</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7010" w:type="dxa"/>
            <w:tcBorders/>
            <w:vAlign w:val="center"/>
          </w:tcPr>
          <w:p>
            <w:pPr>
              <w:pStyle w:val="TableContents"/>
              <w:bidi w:val="0"/>
              <w:spacing w:before="0" w:after="283"/>
              <w:jc w:val="left"/>
              <w:rPr/>
            </w:pPr>
            <w:r>
              <w:rPr/>
              <w:t>Non-current Liabilities: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Convertible debt,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224,424</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vAlign w:val="center"/>
          </w:tcPr>
          <w:p>
            <w:pPr>
              <w:pStyle w:val="TableContents"/>
              <w:bidi w:val="0"/>
              <w:spacing w:before="0" w:after="283"/>
              <w:jc w:val="left"/>
              <w:rPr/>
            </w:pPr>
            <w:r>
              <w:rPr/>
              <w:t>Accrued severance liability</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tcMar>
              <w:bottom w:w="28" w:type="dxa"/>
            </w:tcMar>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tcMar>
              <w:bottom w:w="28" w:type="dxa"/>
            </w:tcMar>
            <w:vAlign w:val="center"/>
          </w:tcPr>
          <w:p>
            <w:pPr>
              <w:pStyle w:val="TableContents"/>
              <w:bidi w:val="0"/>
              <w:spacing w:before="0" w:after="283"/>
              <w:jc w:val="right"/>
              <w:rPr/>
            </w:pPr>
            <w:r>
              <w:rPr/>
              <w:t>325,000</w:t>
            </w:r>
          </w:p>
        </w:tc>
        <w:tc>
          <w:tcPr>
            <w:tcW w:w="110" w:type="dxa"/>
            <w:tcBorders/>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1,846,078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2,214,167</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7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ind w:left="0" w:right="0" w:hanging="200"/>
              <w:jc w:val="left"/>
              <w:rPr/>
            </w:pPr>
            <w:r>
              <w:rPr/>
              <w:t> </w:t>
            </w:r>
          </w:p>
        </w:tc>
      </w:tr>
      <w:tr>
        <w:trPr/>
        <w:tc>
          <w:tcPr>
            <w:tcW w:w="7010" w:type="dxa"/>
            <w:tcBorders/>
            <w:shd w:fill="CCEEFF" w:val="clear"/>
            <w:vAlign w:val="center"/>
          </w:tcPr>
          <w:p>
            <w:pPr>
              <w:pStyle w:val="TableContents"/>
              <w:bidi w:val="0"/>
              <w:spacing w:before="0" w:after="283"/>
              <w:jc w:val="left"/>
              <w:rPr/>
            </w:pPr>
            <w:r>
              <w:rPr/>
              <w:t>Commitments and Contingencies (Note 7)</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0"/>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0"/>
              <w:jc w:val="right"/>
              <w:rPr/>
            </w:pPr>
            <w:r>
              <w:rPr/>
              <w:t> </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7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ind w:left="0" w:right="0" w:hanging="200"/>
              <w:jc w:val="left"/>
              <w:rPr/>
            </w:pPr>
            <w:r>
              <w:rPr/>
              <w:t> </w:t>
            </w:r>
          </w:p>
        </w:tc>
      </w:tr>
      <w:tr>
        <w:trPr/>
        <w:tc>
          <w:tcPr>
            <w:tcW w:w="7010" w:type="dxa"/>
            <w:tcBorders/>
            <w:shd w:fill="CCEEFF" w:val="clear"/>
            <w:vAlign w:val="center"/>
          </w:tcPr>
          <w:p>
            <w:pPr>
              <w:pStyle w:val="TableContents"/>
              <w:bidi w:val="0"/>
              <w:spacing w:before="0" w:after="283"/>
              <w:jc w:val="left"/>
              <w:rPr/>
            </w:pPr>
            <w:r>
              <w:rPr/>
              <w:t>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010" w:type="dxa"/>
            <w:tcBorders/>
            <w:vAlign w:val="center"/>
          </w:tcPr>
          <w:p>
            <w:pPr>
              <w:pStyle w:val="TableContents"/>
              <w:bidi w:val="0"/>
              <w:spacing w:before="0" w:after="283"/>
              <w:jc w:val="left"/>
              <w:rPr/>
            </w:pPr>
            <w:r>
              <w:rPr/>
              <w:t>Common stock, $0.0001 par value, 150,000,000 and 250,000,000 shares authorized; 10,920,851 and 9,450,220 shares issued and outstanding as of June 30, 2024 and December 31, 2023 respectively</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1,092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945</w:t>
            </w:r>
          </w:p>
        </w:tc>
        <w:tc>
          <w:tcPr>
            <w:tcW w:w="110" w:type="dxa"/>
            <w:tcBorders/>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Additional paid in capital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184,164,638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172,714,712</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vAlign w:val="center"/>
          </w:tcPr>
          <w:p>
            <w:pPr>
              <w:pStyle w:val="TableContents"/>
              <w:bidi w:val="0"/>
              <w:spacing w:before="0" w:after="283"/>
              <w:jc w:val="left"/>
              <w:rPr/>
            </w:pPr>
            <w:r>
              <w:rPr/>
              <w:t>Accumulated deficit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(165,849,353</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(159,530,535</w:t>
            </w:r>
          </w:p>
        </w:tc>
        <w:tc>
          <w:tcPr>
            <w:tcW w:w="110" w:type="dxa"/>
            <w:tcBorders/>
            <w:vAlign w:val="center"/>
          </w:tcPr>
          <w:p>
            <w:pPr>
              <w:pStyle w:val="TableContents"/>
              <w:bidi w:val="0"/>
              <w:spacing w:before="0" w:after="283"/>
              <w:jc w:val="left"/>
              <w:rPr/>
            </w:pPr>
            <w:r>
              <w:rPr/>
              <w:t>)</w:t>
            </w:r>
          </w:p>
        </w:tc>
      </w:tr>
      <w:tr>
        <w:trPr/>
        <w:tc>
          <w:tcPr>
            <w:tcW w:w="7010" w:type="dxa"/>
            <w:tcBorders/>
            <w:shd w:fill="CCEEFF" w:val="clear"/>
            <w:vAlign w:val="center"/>
          </w:tcPr>
          <w:p>
            <w:pPr>
              <w:pStyle w:val="TableContents"/>
              <w:bidi w:val="0"/>
              <w:spacing w:before="0" w:after="283"/>
              <w:jc w:val="left"/>
              <w:rPr/>
            </w:pPr>
            <w:r>
              <w:rPr/>
              <w:t>Accumulated comprehensive income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6,108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12,624</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vAlign w:val="center"/>
          </w:tcPr>
          <w:p>
            <w:pPr>
              <w:pStyle w:val="TableContents"/>
              <w:bidi w:val="0"/>
              <w:spacing w:before="0" w:after="283"/>
              <w:jc w:val="left"/>
              <w:rPr/>
            </w:pPr>
            <w:r>
              <w:rPr/>
              <w:t>Total stockholders’ equity</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tcMar>
              <w:bottom w:w="28" w:type="dxa"/>
            </w:tcMar>
            <w:vAlign w:val="center"/>
          </w:tcPr>
          <w:p>
            <w:pPr>
              <w:pStyle w:val="TableContents"/>
              <w:bidi w:val="0"/>
              <w:spacing w:before="0" w:after="283"/>
              <w:jc w:val="right"/>
              <w:rPr/>
            </w:pPr>
            <w:r>
              <w:rPr/>
              <w:t>18,322,485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tcMar>
              <w:bottom w:w="28" w:type="dxa"/>
            </w:tcMar>
            <w:vAlign w:val="center"/>
          </w:tcPr>
          <w:p>
            <w:pPr>
              <w:pStyle w:val="TableContents"/>
              <w:bidi w:val="0"/>
              <w:spacing w:before="0" w:after="283"/>
              <w:jc w:val="right"/>
              <w:rPr/>
            </w:pPr>
            <w:r>
              <w:rPr/>
              <w:t>13,197,746</w:t>
            </w:r>
          </w:p>
        </w:tc>
        <w:tc>
          <w:tcPr>
            <w:tcW w:w="110" w:type="dxa"/>
            <w:tcBorders/>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Total liabilities and 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10" w:space="0" w:color="000000"/>
            </w:tcBorders>
            <w:shd w:fill="CCEEFF" w:val="clear"/>
            <w:tcMar>
              <w:bottom w:w="28" w:type="dxa"/>
            </w:tcMar>
            <w:vAlign w:val="center"/>
          </w:tcPr>
          <w:p>
            <w:pPr>
              <w:pStyle w:val="TableContents"/>
              <w:bidi w:val="0"/>
              <w:spacing w:before="0" w:after="283"/>
              <w:jc w:val="right"/>
              <w:rPr/>
            </w:pPr>
            <w:r>
              <w:rPr/>
              <w:t>20,168,563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10" w:space="0" w:color="000000"/>
            </w:tcBorders>
            <w:shd w:fill="CCEEFF" w:val="clear"/>
            <w:tcMar>
              <w:bottom w:w="28" w:type="dxa"/>
            </w:tcMar>
            <w:vAlign w:val="center"/>
          </w:tcPr>
          <w:p>
            <w:pPr>
              <w:pStyle w:val="TableContents"/>
              <w:bidi w:val="0"/>
              <w:spacing w:before="0" w:after="283"/>
              <w:jc w:val="right"/>
              <w:rPr/>
            </w:pPr>
            <w:r>
              <w:rPr/>
              <w:t>15,411,913</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authID INC. AND SUBSIDIARIES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0"/>
        <w:gridCol w:w="60"/>
        <w:gridCol w:w="140"/>
        <w:gridCol w:w="1055"/>
        <w:gridCol w:w="95"/>
        <w:gridCol w:w="60"/>
        <w:gridCol w:w="140"/>
        <w:gridCol w:w="1175"/>
        <w:gridCol w:w="95"/>
        <w:gridCol w:w="60"/>
        <w:gridCol w:w="140"/>
        <w:gridCol w:w="1055"/>
        <w:gridCol w:w="95"/>
        <w:gridCol w:w="60"/>
        <w:gridCol w:w="140"/>
        <w:gridCol w:w="1175"/>
        <w:gridCol w:w="110"/>
      </w:tblGrid>
      <w:tr>
        <w:trPr/>
        <w:tc>
          <w:tcPr>
            <w:tcW w:w="45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665" w:type="dxa"/>
            <w:gridSpan w:val="6"/>
            <w:tcBorders/>
            <w:vAlign w:val="center"/>
          </w:tcPr>
          <w:p>
            <w:pPr>
              <w:pStyle w:val="TableContents"/>
              <w:bidi w:val="0"/>
              <w:spacing w:before="0" w:after="283"/>
              <w:jc w:val="center"/>
              <w:rPr>
                <w:b/>
              </w:rPr>
            </w:pPr>
            <w:r>
              <w:rPr>
                <w:b/>
              </w:rPr>
              <w:t>Three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65" w:type="dxa"/>
            <w:gridSpan w:val="6"/>
            <w:tcBorders/>
            <w:vAlign w:val="center"/>
          </w:tcPr>
          <w:p>
            <w:pPr>
              <w:pStyle w:val="TableContents"/>
              <w:bidi w:val="0"/>
              <w:spacing w:before="0" w:after="283"/>
              <w:jc w:val="center"/>
              <w:rPr>
                <w:b/>
              </w:rPr>
            </w:pPr>
            <w:r>
              <w:rPr>
                <w:b/>
              </w:rPr>
              <w:t>Six Months Ended</w:t>
            </w:r>
          </w:p>
        </w:tc>
        <w:tc>
          <w:tcPr>
            <w:tcW w:w="110" w:type="dxa"/>
            <w:tcBorders/>
            <w:vAlign w:val="center"/>
          </w:tcPr>
          <w:p>
            <w:pPr>
              <w:pStyle w:val="TableContents"/>
              <w:bidi w:val="0"/>
              <w:spacing w:before="0" w:after="283"/>
              <w:jc w:val="left"/>
              <w:rPr/>
            </w:pPr>
            <w:r>
              <w:rPr/>
              <w:t> </w:t>
            </w:r>
          </w:p>
        </w:tc>
      </w:tr>
      <w:tr>
        <w:trPr/>
        <w:tc>
          <w:tcPr>
            <w:tcW w:w="45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66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6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w:t>
            </w:r>
          </w:p>
        </w:tc>
        <w:tc>
          <w:tcPr>
            <w:tcW w:w="110" w:type="dxa"/>
            <w:tcBorders/>
            <w:vAlign w:val="center"/>
          </w:tcPr>
          <w:p>
            <w:pPr>
              <w:pStyle w:val="TableContents"/>
              <w:bidi w:val="0"/>
              <w:spacing w:before="0" w:after="283"/>
              <w:jc w:val="left"/>
              <w:rPr/>
            </w:pPr>
            <w:r>
              <w:rPr/>
              <w:t> </w:t>
            </w:r>
          </w:p>
        </w:tc>
      </w:tr>
      <w:tr>
        <w:trPr/>
        <w:tc>
          <w:tcPr>
            <w:tcW w:w="45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45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left"/>
              <w:rPr/>
            </w:pPr>
            <w:r>
              <w:rPr/>
              <w:t>Revenues,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280,438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37,142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437,816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74,998</w:t>
            </w:r>
          </w:p>
        </w:tc>
        <w:tc>
          <w:tcPr>
            <w:tcW w:w="110" w:type="dxa"/>
            <w:tcBorders/>
            <w:shd w:fill="CCEEFF" w:val="clear"/>
            <w:vAlign w:val="center"/>
          </w:tcPr>
          <w:p>
            <w:pPr>
              <w:pStyle w:val="TableContents"/>
              <w:bidi w:val="0"/>
              <w:spacing w:before="0" w:after="283"/>
              <w:jc w:val="left"/>
              <w:rPr/>
            </w:pPr>
            <w:r>
              <w:rPr/>
              <w:t> </w:t>
            </w:r>
          </w:p>
        </w:tc>
      </w:tr>
      <w:tr>
        <w:trPr/>
        <w:tc>
          <w:tcPr>
            <w:tcW w:w="45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550" w:type="dxa"/>
            <w:tcBorders/>
            <w:vAlign w:val="center"/>
          </w:tcPr>
          <w:p>
            <w:pPr>
              <w:pStyle w:val="TableContents"/>
              <w:bidi w:val="0"/>
              <w:spacing w:before="0" w:after="283"/>
              <w:jc w:val="left"/>
              <w:rPr/>
            </w:pPr>
            <w:r>
              <w:rPr/>
              <w:t>General and administrative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2,169,160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2,016,908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4,231,521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2,839,662</w:t>
            </w:r>
          </w:p>
        </w:tc>
        <w:tc>
          <w:tcPr>
            <w:tcW w:w="110" w:type="dxa"/>
            <w:tcBorders/>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1,392,103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703,590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2,597,071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824,228</w:t>
            </w:r>
          </w:p>
        </w:tc>
        <w:tc>
          <w:tcPr>
            <w:tcW w:w="110" w:type="dxa"/>
            <w:tcBorders/>
            <w:shd w:fill="CCEEFF" w:val="clear"/>
            <w:vAlign w:val="center"/>
          </w:tcPr>
          <w:p>
            <w:pPr>
              <w:pStyle w:val="TableContents"/>
              <w:bidi w:val="0"/>
              <w:spacing w:before="0" w:after="283"/>
              <w:jc w:val="left"/>
              <w:rPr/>
            </w:pPr>
            <w:r>
              <w:rPr/>
              <w:t> </w:t>
            </w:r>
          </w:p>
        </w:tc>
      </w:tr>
      <w:tr>
        <w:trPr/>
        <w:tc>
          <w:tcPr>
            <w:tcW w:w="4550" w:type="dxa"/>
            <w:tcBorders/>
            <w:vAlign w:val="center"/>
          </w:tcPr>
          <w:p>
            <w:pPr>
              <w:pStyle w:val="TableContents"/>
              <w:bidi w:val="0"/>
              <w:spacing w:before="0" w:after="283"/>
              <w:jc w:val="left"/>
              <w:rPr/>
            </w:pPr>
            <w:r>
              <w:rPr/>
              <w:t>Depreciation and amortization</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tcMar>
              <w:bottom w:w="28" w:type="dxa"/>
            </w:tcMar>
            <w:vAlign w:val="center"/>
          </w:tcPr>
          <w:p>
            <w:pPr>
              <w:pStyle w:val="TableContents"/>
              <w:bidi w:val="0"/>
              <w:spacing w:before="0" w:after="283"/>
              <w:jc w:val="right"/>
              <w:rPr/>
            </w:pPr>
            <w:r>
              <w:rPr/>
              <w:t>44,004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76,019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tcMar>
              <w:bottom w:w="28" w:type="dxa"/>
            </w:tcMar>
            <w:vAlign w:val="center"/>
          </w:tcPr>
          <w:p>
            <w:pPr>
              <w:pStyle w:val="TableContents"/>
              <w:bidi w:val="0"/>
              <w:spacing w:before="0" w:after="283"/>
              <w:jc w:val="right"/>
              <w:rPr/>
            </w:pPr>
            <w:r>
              <w:rPr/>
              <w:t>87,412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152,036</w:t>
            </w:r>
          </w:p>
        </w:tc>
        <w:tc>
          <w:tcPr>
            <w:tcW w:w="110" w:type="dxa"/>
            <w:tcBorders/>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3,605,267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2,796,517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6,916,004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3,815,926</w:t>
            </w:r>
          </w:p>
        </w:tc>
        <w:tc>
          <w:tcPr>
            <w:tcW w:w="110" w:type="dxa"/>
            <w:tcBorders/>
            <w:shd w:fill="CCEEFF" w:val="clear"/>
            <w:vAlign w:val="center"/>
          </w:tcPr>
          <w:p>
            <w:pPr>
              <w:pStyle w:val="TableContents"/>
              <w:bidi w:val="0"/>
              <w:spacing w:before="0" w:after="283"/>
              <w:jc w:val="left"/>
              <w:rPr/>
            </w:pPr>
            <w:r>
              <w:rPr/>
              <w:t> </w:t>
            </w:r>
          </w:p>
        </w:tc>
      </w:tr>
      <w:tr>
        <w:trPr/>
        <w:tc>
          <w:tcPr>
            <w:tcW w:w="45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left"/>
              <w:rPr/>
            </w:pPr>
            <w:r>
              <w:rPr/>
              <w:t>Loss from continuing operations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(3,324,829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(2,759,375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(6,478,188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(3,740,928</w:t>
            </w:r>
          </w:p>
        </w:tc>
        <w:tc>
          <w:tcPr>
            <w:tcW w:w="110" w:type="dxa"/>
            <w:tcBorders/>
            <w:shd w:fill="CCEEFF" w:val="clear"/>
            <w:vAlign w:val="center"/>
          </w:tcPr>
          <w:p>
            <w:pPr>
              <w:pStyle w:val="TableContents"/>
              <w:bidi w:val="0"/>
              <w:spacing w:before="0" w:after="283"/>
              <w:jc w:val="left"/>
              <w:rPr/>
            </w:pPr>
            <w:r>
              <w:rPr/>
              <w:t>)</w:t>
            </w:r>
          </w:p>
        </w:tc>
      </w:tr>
      <w:tr>
        <w:trPr/>
        <w:tc>
          <w:tcPr>
            <w:tcW w:w="45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left"/>
              <w:rPr/>
            </w:pPr>
            <w:r>
              <w:rPr/>
              <w:t>Other Income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550" w:type="dxa"/>
            <w:tcBorders/>
            <w:vAlign w:val="center"/>
          </w:tcPr>
          <w:p>
            <w:pPr>
              <w:pStyle w:val="TableContents"/>
              <w:bidi w:val="0"/>
              <w:spacing w:before="0" w:after="283"/>
              <w:jc w:val="left"/>
              <w:rPr/>
            </w:pPr>
            <w:r>
              <w:rPr/>
              <w:t>Interest expense, net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(10,369</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(282,109</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(23,507</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(1,082,182</w:t>
            </w:r>
          </w:p>
        </w:tc>
        <w:tc>
          <w:tcPr>
            <w:tcW w:w="110" w:type="dxa"/>
            <w:tcBorders/>
            <w:vAlign w:val="center"/>
          </w:tcPr>
          <w:p>
            <w:pPr>
              <w:pStyle w:val="TableContents"/>
              <w:bidi w:val="0"/>
              <w:spacing w:before="0" w:after="283"/>
              <w:jc w:val="left"/>
              <w:rPr/>
            </w:pPr>
            <w:r>
              <w:rPr/>
              <w:t>)</w:t>
            </w:r>
          </w:p>
        </w:tc>
      </w:tr>
      <w:tr>
        <w:trPr/>
        <w:tc>
          <w:tcPr>
            <w:tcW w:w="4550"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73,957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1,160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182,877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1,160</w:t>
            </w:r>
          </w:p>
        </w:tc>
        <w:tc>
          <w:tcPr>
            <w:tcW w:w="110" w:type="dxa"/>
            <w:tcBorders/>
            <w:shd w:fill="CCEEFF" w:val="clear"/>
            <w:vAlign w:val="center"/>
          </w:tcPr>
          <w:p>
            <w:pPr>
              <w:pStyle w:val="TableContents"/>
              <w:bidi w:val="0"/>
              <w:spacing w:before="0" w:after="283"/>
              <w:jc w:val="left"/>
              <w:rPr/>
            </w:pPr>
            <w:r>
              <w:rPr/>
              <w:t> </w:t>
            </w:r>
          </w:p>
        </w:tc>
      </w:tr>
      <w:tr>
        <w:trPr/>
        <w:tc>
          <w:tcPr>
            <w:tcW w:w="4550" w:type="dxa"/>
            <w:tcBorders/>
            <w:vAlign w:val="center"/>
          </w:tcPr>
          <w:p>
            <w:pPr>
              <w:pStyle w:val="TableContents"/>
              <w:bidi w:val="0"/>
              <w:spacing w:before="0" w:after="283"/>
              <w:jc w:val="left"/>
              <w:rPr/>
            </w:pPr>
            <w:r>
              <w:rPr/>
              <w:t>Loss on debt extinguishment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(380,741</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(380,741</w:t>
            </w:r>
          </w:p>
        </w:tc>
        <w:tc>
          <w:tcPr>
            <w:tcW w:w="110" w:type="dxa"/>
            <w:tcBorders/>
            <w:vAlign w:val="center"/>
          </w:tcPr>
          <w:p>
            <w:pPr>
              <w:pStyle w:val="TableContents"/>
              <w:bidi w:val="0"/>
              <w:spacing w:before="0" w:after="283"/>
              <w:jc w:val="left"/>
              <w:rPr/>
            </w:pPr>
            <w:r>
              <w:rPr/>
              <w:t>)</w:t>
            </w:r>
          </w:p>
        </w:tc>
      </w:tr>
      <w:tr>
        <w:trPr/>
        <w:tc>
          <w:tcPr>
            <w:tcW w:w="4550" w:type="dxa"/>
            <w:tcBorders/>
            <w:shd w:fill="CCEEFF" w:val="clear"/>
            <w:vAlign w:val="center"/>
          </w:tcPr>
          <w:p>
            <w:pPr>
              <w:pStyle w:val="TableContents"/>
              <w:bidi w:val="0"/>
              <w:spacing w:before="0" w:after="283"/>
              <w:jc w:val="left"/>
              <w:rPr/>
            </w:pPr>
            <w:r>
              <w:rPr/>
              <w:t>Conversion expense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(7,476,000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(7,476,000</w:t>
            </w:r>
          </w:p>
        </w:tc>
        <w:tc>
          <w:tcPr>
            <w:tcW w:w="110" w:type="dxa"/>
            <w:tcBorders/>
            <w:shd w:fill="CCEEFF" w:val="clear"/>
            <w:vAlign w:val="center"/>
          </w:tcPr>
          <w:p>
            <w:pPr>
              <w:pStyle w:val="TableContents"/>
              <w:bidi w:val="0"/>
              <w:spacing w:before="0" w:after="283"/>
              <w:jc w:val="left"/>
              <w:rPr/>
            </w:pPr>
            <w:r>
              <w:rPr/>
              <w:t>)</w:t>
            </w:r>
          </w:p>
        </w:tc>
      </w:tr>
      <w:tr>
        <w:trPr/>
        <w:tc>
          <w:tcPr>
            <w:tcW w:w="4550" w:type="dxa"/>
            <w:tcBorders/>
            <w:vAlign w:val="center"/>
          </w:tcPr>
          <w:p>
            <w:pPr>
              <w:pStyle w:val="TableContents"/>
              <w:bidi w:val="0"/>
              <w:spacing w:before="0" w:after="283"/>
              <w:jc w:val="left"/>
              <w:rPr/>
            </w:pPr>
            <w:r>
              <w:rPr/>
              <w:t>Other income (expense), net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tcMar>
              <w:bottom w:w="28" w:type="dxa"/>
            </w:tcMar>
            <w:vAlign w:val="center"/>
          </w:tcPr>
          <w:p>
            <w:pPr>
              <w:pStyle w:val="TableContents"/>
              <w:bidi w:val="0"/>
              <w:spacing w:before="0" w:after="283"/>
              <w:jc w:val="right"/>
              <w:rPr/>
            </w:pPr>
            <w:r>
              <w:rPr/>
              <w:t>63,588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(8,137,690</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tcMar>
              <w:bottom w:w="28" w:type="dxa"/>
            </w:tcMar>
            <w:vAlign w:val="center"/>
          </w:tcPr>
          <w:p>
            <w:pPr>
              <w:pStyle w:val="TableContents"/>
              <w:bidi w:val="0"/>
              <w:spacing w:before="0" w:after="283"/>
              <w:jc w:val="right"/>
              <w:rPr/>
            </w:pPr>
            <w:r>
              <w:rPr/>
              <w:t>159,370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(8,937,763</w:t>
            </w:r>
          </w:p>
        </w:tc>
        <w:tc>
          <w:tcPr>
            <w:tcW w:w="110" w:type="dxa"/>
            <w:tcBorders/>
            <w:vAlign w:val="center"/>
          </w:tcPr>
          <w:p>
            <w:pPr>
              <w:pStyle w:val="TableContents"/>
              <w:bidi w:val="0"/>
              <w:spacing w:before="0" w:after="283"/>
              <w:jc w:val="left"/>
              <w:rPr/>
            </w:pPr>
            <w:r>
              <w:rPr/>
              <w:t>)</w:t>
            </w:r>
          </w:p>
        </w:tc>
      </w:tr>
      <w:tr>
        <w:trPr/>
        <w:tc>
          <w:tcPr>
            <w:tcW w:w="45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550" w:type="dxa"/>
            <w:tcBorders/>
            <w:vAlign w:val="center"/>
          </w:tcPr>
          <w:p>
            <w:pPr>
              <w:pStyle w:val="TableContents"/>
              <w:bidi w:val="0"/>
              <w:spacing w:before="0" w:after="283"/>
              <w:jc w:val="left"/>
              <w:rPr/>
            </w:pPr>
            <w:r>
              <w:rPr/>
              <w:t>Loss from continuing operations before income taxes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(3,261,241</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(10,897,065</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(6,318,818</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(12,678,691</w:t>
            </w:r>
          </w:p>
        </w:tc>
        <w:tc>
          <w:tcPr>
            <w:tcW w:w="110" w:type="dxa"/>
            <w:tcBorders/>
            <w:vAlign w:val="center"/>
          </w:tcPr>
          <w:p>
            <w:pPr>
              <w:pStyle w:val="TableContents"/>
              <w:bidi w:val="0"/>
              <w:spacing w:before="0" w:after="283"/>
              <w:jc w:val="left"/>
              <w:rPr/>
            </w:pPr>
            <w:r>
              <w:rPr/>
              <w:t>)</w:t>
            </w:r>
          </w:p>
        </w:tc>
      </w:tr>
      <w:tr>
        <w:trPr/>
        <w:tc>
          <w:tcPr>
            <w:tcW w:w="4550" w:type="dxa"/>
            <w:tcBorders/>
            <w:shd w:fill="CCEEFF" w:val="clear"/>
            <w:vAlign w:val="center"/>
          </w:tcPr>
          <w:p>
            <w:pPr>
              <w:pStyle w:val="TableContents"/>
              <w:bidi w:val="0"/>
              <w:spacing w:before="0" w:after="283"/>
              <w:jc w:val="left"/>
              <w:rPr/>
            </w:pPr>
            <w:r>
              <w:rPr/>
              <w:t>Income tax expense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(3,255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(3,255</w:t>
            </w:r>
          </w:p>
        </w:tc>
        <w:tc>
          <w:tcPr>
            <w:tcW w:w="110" w:type="dxa"/>
            <w:tcBorders/>
            <w:shd w:fill="CCEEFF" w:val="clear"/>
            <w:vAlign w:val="center"/>
          </w:tcPr>
          <w:p>
            <w:pPr>
              <w:pStyle w:val="TableContents"/>
              <w:bidi w:val="0"/>
              <w:spacing w:before="0" w:after="283"/>
              <w:jc w:val="left"/>
              <w:rPr/>
            </w:pPr>
            <w:r>
              <w:rPr/>
              <w:t>)</w:t>
            </w:r>
          </w:p>
        </w:tc>
      </w:tr>
      <w:tr>
        <w:trPr/>
        <w:tc>
          <w:tcPr>
            <w:tcW w:w="4550" w:type="dxa"/>
            <w:tcBorders/>
            <w:vAlign w:val="center"/>
          </w:tcPr>
          <w:p>
            <w:pPr>
              <w:pStyle w:val="TableContents"/>
              <w:bidi w:val="0"/>
              <w:spacing w:before="0" w:after="283"/>
              <w:jc w:val="left"/>
              <w:rPr/>
            </w:pPr>
            <w:r>
              <w:rPr/>
              <w:t>Loss from continuing operations</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tcMar>
              <w:bottom w:w="28" w:type="dxa"/>
            </w:tcMar>
            <w:vAlign w:val="center"/>
          </w:tcPr>
          <w:p>
            <w:pPr>
              <w:pStyle w:val="TableContents"/>
              <w:bidi w:val="0"/>
              <w:spacing w:before="0" w:after="283"/>
              <w:jc w:val="right"/>
              <w:rPr/>
            </w:pPr>
            <w:r>
              <w:rPr/>
              <w:t>(3,261,241</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(10,900,320</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tcMar>
              <w:bottom w:w="28" w:type="dxa"/>
            </w:tcMar>
            <w:vAlign w:val="center"/>
          </w:tcPr>
          <w:p>
            <w:pPr>
              <w:pStyle w:val="TableContents"/>
              <w:bidi w:val="0"/>
              <w:spacing w:before="0" w:after="283"/>
              <w:jc w:val="right"/>
              <w:rPr/>
            </w:pPr>
            <w:r>
              <w:rPr/>
              <w:t>(6,318,818</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(12,681,946</w:t>
            </w:r>
          </w:p>
        </w:tc>
        <w:tc>
          <w:tcPr>
            <w:tcW w:w="110" w:type="dxa"/>
            <w:tcBorders/>
            <w:vAlign w:val="center"/>
          </w:tcPr>
          <w:p>
            <w:pPr>
              <w:pStyle w:val="TableContents"/>
              <w:bidi w:val="0"/>
              <w:spacing w:before="0" w:after="283"/>
              <w:jc w:val="left"/>
              <w:rPr/>
            </w:pPr>
            <w:r>
              <w:rPr/>
              <w:t>)</w:t>
            </w:r>
          </w:p>
        </w:tc>
      </w:tr>
      <w:tr>
        <w:trPr/>
        <w:tc>
          <w:tcPr>
            <w:tcW w:w="45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550" w:type="dxa"/>
            <w:tcBorders/>
            <w:vAlign w:val="center"/>
          </w:tcPr>
          <w:p>
            <w:pPr>
              <w:pStyle w:val="TableContents"/>
              <w:bidi w:val="0"/>
              <w:spacing w:before="0" w:after="283"/>
              <w:jc w:val="left"/>
              <w:rPr/>
            </w:pPr>
            <w:r>
              <w:rPr/>
              <w:t>Gain from discontinued operations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5,694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3,439</w:t>
            </w:r>
          </w:p>
        </w:tc>
        <w:tc>
          <w:tcPr>
            <w:tcW w:w="110" w:type="dxa"/>
            <w:tcBorders/>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left"/>
              <w:rPr/>
            </w:pPr>
            <w:r>
              <w:rPr/>
              <w:t>Gain on sale of discontinued operations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216,069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216,069</w:t>
            </w:r>
          </w:p>
        </w:tc>
        <w:tc>
          <w:tcPr>
            <w:tcW w:w="110" w:type="dxa"/>
            <w:tcBorders/>
            <w:shd w:fill="CCEEFF" w:val="clear"/>
            <w:vAlign w:val="center"/>
          </w:tcPr>
          <w:p>
            <w:pPr>
              <w:pStyle w:val="TableContents"/>
              <w:bidi w:val="0"/>
              <w:spacing w:before="0" w:after="283"/>
              <w:jc w:val="left"/>
              <w:rPr/>
            </w:pPr>
            <w:r>
              <w:rPr/>
              <w:t> </w:t>
            </w:r>
          </w:p>
        </w:tc>
      </w:tr>
      <w:tr>
        <w:trPr/>
        <w:tc>
          <w:tcPr>
            <w:tcW w:w="4550" w:type="dxa"/>
            <w:tcBorders/>
            <w:vAlign w:val="center"/>
          </w:tcPr>
          <w:p>
            <w:pPr>
              <w:pStyle w:val="TableContents"/>
              <w:bidi w:val="0"/>
              <w:spacing w:before="0" w:after="283"/>
              <w:jc w:val="left"/>
              <w:rPr/>
            </w:pPr>
            <w:r>
              <w:rPr/>
              <w:t>Total gain from discontinued operations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221,763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219,508</w:t>
            </w:r>
          </w:p>
        </w:tc>
        <w:tc>
          <w:tcPr>
            <w:tcW w:w="110" w:type="dxa"/>
            <w:tcBorders/>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(3,261,241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(10,678,557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(6,318,818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(12,462,438</w:t>
            </w:r>
          </w:p>
        </w:tc>
        <w:tc>
          <w:tcPr>
            <w:tcW w:w="110" w:type="dxa"/>
            <w:tcBorders/>
            <w:shd w:fill="CCEEFF" w:val="clear"/>
            <w:vAlign w:val="center"/>
          </w:tcPr>
          <w:p>
            <w:pPr>
              <w:pStyle w:val="TableContents"/>
              <w:bidi w:val="0"/>
              <w:spacing w:before="0" w:after="283"/>
              <w:jc w:val="left"/>
              <w:rPr/>
            </w:pPr>
            <w:r>
              <w:rPr/>
              <w:t>)</w:t>
            </w:r>
          </w:p>
        </w:tc>
      </w:tr>
      <w:tr>
        <w:trPr/>
        <w:tc>
          <w:tcPr>
            <w:tcW w:w="45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left"/>
              <w:rPr/>
            </w:pPr>
            <w:r>
              <w:rPr/>
              <w:t>Net Loss Per Share -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550" w:type="dxa"/>
            <w:tcBorders/>
            <w:vAlign w:val="center"/>
          </w:tcPr>
          <w:p>
            <w:pPr>
              <w:pStyle w:val="TableContents"/>
              <w:bidi w:val="0"/>
              <w:spacing w:before="0" w:after="0"/>
              <w:jc w:val="left"/>
              <w:rPr/>
            </w:pPr>
            <w:r>
              <w:rPr/>
              <w:t>Continuing operations</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tcMar>
              <w:bottom w:w="28" w:type="dxa"/>
            </w:tcMar>
            <w:vAlign w:val="center"/>
          </w:tcPr>
          <w:p>
            <w:pPr>
              <w:pStyle w:val="TableContents"/>
              <w:bidi w:val="0"/>
              <w:spacing w:before="0" w:after="283"/>
              <w:jc w:val="right"/>
              <w:rPr/>
            </w:pPr>
            <w:r>
              <w:rPr/>
              <w:t>(0.34</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tcMar>
              <w:bottom w:w="28" w:type="dxa"/>
            </w:tcMar>
            <w:vAlign w:val="center"/>
          </w:tcPr>
          <w:p>
            <w:pPr>
              <w:pStyle w:val="TableContents"/>
              <w:bidi w:val="0"/>
              <w:spacing w:before="0" w:after="283"/>
              <w:jc w:val="right"/>
              <w:rPr/>
            </w:pPr>
            <w:r>
              <w:rPr/>
              <w:t>(2.16</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tcMar>
              <w:bottom w:w="28" w:type="dxa"/>
            </w:tcMar>
            <w:vAlign w:val="center"/>
          </w:tcPr>
          <w:p>
            <w:pPr>
              <w:pStyle w:val="TableContents"/>
              <w:bidi w:val="0"/>
              <w:spacing w:before="0" w:after="283"/>
              <w:jc w:val="right"/>
              <w:rPr/>
            </w:pPr>
            <w:r>
              <w:rPr/>
              <w:t>(0.67</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tcMar>
              <w:bottom w:w="28" w:type="dxa"/>
            </w:tcMar>
            <w:vAlign w:val="center"/>
          </w:tcPr>
          <w:p>
            <w:pPr>
              <w:pStyle w:val="TableContents"/>
              <w:bidi w:val="0"/>
              <w:spacing w:before="0" w:after="283"/>
              <w:jc w:val="right"/>
              <w:rPr/>
            </w:pPr>
            <w:r>
              <w:rPr/>
              <w:t>(3.09</w:t>
            </w:r>
          </w:p>
        </w:tc>
        <w:tc>
          <w:tcPr>
            <w:tcW w:w="110" w:type="dxa"/>
            <w:tcBorders/>
            <w:vAlign w:val="center"/>
          </w:tcPr>
          <w:p>
            <w:pPr>
              <w:pStyle w:val="TableContents"/>
              <w:bidi w:val="0"/>
              <w:spacing w:before="0" w:after="283"/>
              <w:jc w:val="left"/>
              <w:rPr/>
            </w:pPr>
            <w:r>
              <w:rPr/>
              <w:t>)</w:t>
            </w:r>
          </w:p>
        </w:tc>
      </w:tr>
      <w:tr>
        <w:trPr/>
        <w:tc>
          <w:tcPr>
            <w:tcW w:w="4550" w:type="dxa"/>
            <w:tcBorders/>
            <w:shd w:fill="CCEEFF" w:val="clear"/>
            <w:vAlign w:val="center"/>
          </w:tcPr>
          <w:p>
            <w:pPr>
              <w:pStyle w:val="TableContents"/>
              <w:bidi w:val="0"/>
              <w:spacing w:before="0" w:after="0"/>
              <w:jc w:val="left"/>
              <w:rPr/>
            </w:pPr>
            <w:r>
              <w:rPr/>
              <w:t>Discontinued operations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0.04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0.05</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550" w:type="dxa"/>
            <w:tcBorders/>
            <w:vAlign w:val="center"/>
          </w:tcPr>
          <w:p>
            <w:pPr>
              <w:pStyle w:val="TableContents"/>
              <w:bidi w:val="0"/>
              <w:spacing w:before="0" w:after="0"/>
              <w:jc w:val="left"/>
              <w:rPr/>
            </w:pPr>
            <w:r>
              <w:rPr/>
              <w:t>Weighted Average Shares Outstanding - Basic and Diluted:</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tcMar>
              <w:bottom w:w="28" w:type="dxa"/>
            </w:tcMar>
            <w:vAlign w:val="center"/>
          </w:tcPr>
          <w:p>
            <w:pPr>
              <w:pStyle w:val="TableContents"/>
              <w:bidi w:val="0"/>
              <w:spacing w:before="0" w:after="283"/>
              <w:jc w:val="right"/>
              <w:rPr/>
            </w:pPr>
            <w:r>
              <w:rPr/>
              <w:t>9,501,691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tcMar>
              <w:bottom w:w="28" w:type="dxa"/>
            </w:tcMar>
            <w:vAlign w:val="center"/>
          </w:tcPr>
          <w:p>
            <w:pPr>
              <w:pStyle w:val="TableContents"/>
              <w:bidi w:val="0"/>
              <w:spacing w:before="0" w:after="283"/>
              <w:jc w:val="right"/>
              <w:rPr/>
            </w:pPr>
            <w:r>
              <w:rPr/>
              <w:t>5,046,514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tcMar>
              <w:bottom w:w="28" w:type="dxa"/>
            </w:tcMar>
            <w:vAlign w:val="center"/>
          </w:tcPr>
          <w:p>
            <w:pPr>
              <w:pStyle w:val="TableContents"/>
              <w:bidi w:val="0"/>
              <w:spacing w:before="0" w:after="283"/>
              <w:jc w:val="right"/>
              <w:rPr/>
            </w:pPr>
            <w:r>
              <w:rPr/>
              <w:t>9,475,956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tcMar>
              <w:bottom w:w="28" w:type="dxa"/>
            </w:tcMar>
            <w:vAlign w:val="center"/>
          </w:tcPr>
          <w:p>
            <w:pPr>
              <w:pStyle w:val="TableContents"/>
              <w:bidi w:val="0"/>
              <w:spacing w:before="0" w:after="283"/>
              <w:jc w:val="right"/>
              <w:rPr/>
            </w:pPr>
            <w:r>
              <w:rPr/>
              <w:t>4,108,372</w:t>
            </w:r>
          </w:p>
        </w:tc>
        <w:tc>
          <w:tcPr>
            <w:tcW w:w="11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authID INC. AND SUBSIDIARIES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COMPREHENSIVE LOSS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7595" w:type="dxa"/>
        <w:jc w:val="left"/>
        <w:tblInd w:w="0" w:type="dxa"/>
        <w:tblLayout w:type="fixed"/>
        <w:tblCellMar>
          <w:top w:w="0" w:type="dxa"/>
          <w:left w:w="0" w:type="dxa"/>
          <w:bottom w:w="0" w:type="dxa"/>
          <w:right w:w="0" w:type="dxa"/>
        </w:tblCellMar>
      </w:tblPr>
      <w:tblGrid>
        <w:gridCol w:w="2690"/>
        <w:gridCol w:w="60"/>
        <w:gridCol w:w="125"/>
        <w:gridCol w:w="905"/>
        <w:gridCol w:w="80"/>
        <w:gridCol w:w="60"/>
        <w:gridCol w:w="125"/>
        <w:gridCol w:w="1010"/>
        <w:gridCol w:w="80"/>
        <w:gridCol w:w="60"/>
        <w:gridCol w:w="125"/>
        <w:gridCol w:w="905"/>
        <w:gridCol w:w="80"/>
        <w:gridCol w:w="60"/>
        <w:gridCol w:w="125"/>
        <w:gridCol w:w="1010"/>
        <w:gridCol w:w="95"/>
      </w:tblGrid>
      <w:tr>
        <w:trPr/>
        <w:tc>
          <w:tcPr>
            <w:tcW w:w="26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305" w:type="dxa"/>
            <w:gridSpan w:val="6"/>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Three Months Ended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5" w:type="dxa"/>
            <w:gridSpan w:val="6"/>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Six Months Ended</w:t>
            </w:r>
          </w:p>
        </w:tc>
        <w:tc>
          <w:tcPr>
            <w:tcW w:w="95" w:type="dxa"/>
            <w:tcBorders/>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30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June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June 30,</w:t>
            </w:r>
          </w:p>
        </w:tc>
        <w:tc>
          <w:tcPr>
            <w:tcW w:w="95" w:type="dxa"/>
            <w:tcBorders/>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3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2023</w:t>
            </w:r>
          </w:p>
        </w:tc>
        <w:tc>
          <w:tcPr>
            <w:tcW w:w="95" w:type="dxa"/>
            <w:tcBorders/>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5"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Loss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(3,261,241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(10,678,557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(6,318,818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(12,462,438</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Foreign currency translation loss</w:t>
            </w:r>
          </w:p>
        </w:tc>
        <w:tc>
          <w:tcPr>
            <w:tcW w:w="60" w:type="dxa"/>
            <w:tcBorders/>
            <w:vAlign w:val="center"/>
          </w:tcPr>
          <w:p>
            <w:pPr>
              <w:pStyle w:val="TableContents"/>
              <w:bidi w:val="0"/>
              <w:spacing w:before="0" w:after="283"/>
              <w:jc w:val="left"/>
              <w:rPr/>
            </w:pPr>
            <w:r>
              <w:rPr/>
              <w:t> </w:t>
            </w:r>
          </w:p>
        </w:tc>
        <w:tc>
          <w:tcPr>
            <w:tcW w:w="125" w:type="dxa"/>
            <w:tcBorders>
              <w:bottom w:val="double" w:sz="12" w:space="0" w:color="000000"/>
            </w:tcBorders>
            <w:tcMar>
              <w:bottom w:w="28" w:type="dxa"/>
            </w:tcMar>
            <w:vAlign w:val="center"/>
          </w:tcPr>
          <w:p>
            <w:pPr>
              <w:pStyle w:val="TableContents"/>
              <w:bidi w:val="0"/>
              <w:spacing w:before="0" w:after="283"/>
              <w:jc w:val="left"/>
              <w:rPr/>
            </w:pPr>
            <w:r>
              <w:rPr/>
              <w:t> </w:t>
            </w:r>
          </w:p>
        </w:tc>
        <w:tc>
          <w:tcPr>
            <w:tcW w:w="905" w:type="dxa"/>
            <w:tcBorders>
              <w:bottom w:val="doub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(10,594</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bottom w:val="double" w:sz="12" w:space="0" w:color="000000"/>
            </w:tcBorders>
            <w:tcMar>
              <w:bottom w:w="28" w:type="dxa"/>
            </w:tcMar>
            <w:vAlign w:val="center"/>
          </w:tcPr>
          <w:p>
            <w:pPr>
              <w:pStyle w:val="TableContents"/>
              <w:bidi w:val="0"/>
              <w:spacing w:before="0" w:after="283"/>
              <w:jc w:val="left"/>
              <w:rPr/>
            </w:pPr>
            <w:r>
              <w:rPr/>
              <w:t> </w:t>
            </w:r>
          </w:p>
        </w:tc>
        <w:tc>
          <w:tcPr>
            <w:tcW w:w="1010" w:type="dxa"/>
            <w:tcBorders>
              <w:bottom w:val="doub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(132,071</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bottom w:val="double" w:sz="12" w:space="0" w:color="000000"/>
            </w:tcBorders>
            <w:tcMar>
              <w:bottom w:w="28" w:type="dxa"/>
            </w:tcMar>
            <w:vAlign w:val="center"/>
          </w:tcPr>
          <w:p>
            <w:pPr>
              <w:pStyle w:val="TableContents"/>
              <w:bidi w:val="0"/>
              <w:spacing w:before="0" w:after="283"/>
              <w:jc w:val="left"/>
              <w:rPr/>
            </w:pPr>
            <w:r>
              <w:rPr/>
              <w:t> </w:t>
            </w:r>
          </w:p>
        </w:tc>
        <w:tc>
          <w:tcPr>
            <w:tcW w:w="905" w:type="dxa"/>
            <w:tcBorders>
              <w:bottom w:val="doub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(6,516</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bottom w:val="double" w:sz="12" w:space="0" w:color="000000"/>
            </w:tcBorders>
            <w:tcMar>
              <w:bottom w:w="28" w:type="dxa"/>
            </w:tcMar>
            <w:vAlign w:val="center"/>
          </w:tcPr>
          <w:p>
            <w:pPr>
              <w:pStyle w:val="TableContents"/>
              <w:bidi w:val="0"/>
              <w:spacing w:before="0" w:after="283"/>
              <w:jc w:val="left"/>
              <w:rPr/>
            </w:pPr>
            <w:r>
              <w:rPr/>
              <w:t> </w:t>
            </w:r>
          </w:p>
        </w:tc>
        <w:tc>
          <w:tcPr>
            <w:tcW w:w="1010" w:type="dxa"/>
            <w:tcBorders>
              <w:bottom w:val="doub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(156,137</w:t>
            </w:r>
          </w:p>
        </w:tc>
        <w:tc>
          <w:tcPr>
            <w:tcW w:w="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Comprehensive loss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(3,271,835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(10,810,628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(6,325,334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(12,618,575</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authID INC. AND SUBSIDIARIES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CONDENSED CONSOLIDATED STATEMENTS OF CHANGES IN STOCKHOLDERS’ EQUITY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22"/>
        <w:gridCol w:w="60"/>
        <w:gridCol w:w="60"/>
        <w:gridCol w:w="1100"/>
        <w:gridCol w:w="60"/>
        <w:gridCol w:w="60"/>
        <w:gridCol w:w="172"/>
        <w:gridCol w:w="688"/>
        <w:gridCol w:w="60"/>
        <w:gridCol w:w="60"/>
        <w:gridCol w:w="140"/>
        <w:gridCol w:w="1220"/>
        <w:gridCol w:w="95"/>
        <w:gridCol w:w="60"/>
        <w:gridCol w:w="140"/>
        <w:gridCol w:w="1295"/>
        <w:gridCol w:w="95"/>
        <w:gridCol w:w="60"/>
        <w:gridCol w:w="220"/>
        <w:gridCol w:w="1390"/>
        <w:gridCol w:w="95"/>
        <w:gridCol w:w="60"/>
        <w:gridCol w:w="140"/>
        <w:gridCol w:w="1175"/>
        <w:gridCol w:w="78"/>
      </w:tblGrid>
      <w:tr>
        <w:trPr/>
        <w:tc>
          <w:tcPr>
            <w:tcW w:w="162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center"/>
              <w:rPr/>
            </w:pPr>
            <w:r>
              <w:rPr/>
              <w:t> </w:t>
            </w:r>
          </w:p>
        </w:tc>
        <w:tc>
          <w:tcPr>
            <w:tcW w:w="78" w:type="dxa"/>
            <w:tcBorders/>
            <w:vAlign w:val="center"/>
          </w:tcPr>
          <w:p>
            <w:pPr>
              <w:pStyle w:val="TableContents"/>
              <w:bidi w:val="0"/>
              <w:spacing w:before="0" w:after="283"/>
              <w:jc w:val="left"/>
              <w:rPr/>
            </w:pPr>
            <w:r>
              <w:rPr/>
              <w:t> </w:t>
            </w:r>
          </w:p>
        </w:tc>
      </w:tr>
      <w:tr>
        <w:trPr/>
        <w:tc>
          <w:tcPr>
            <w:tcW w:w="162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b/>
              </w:rPr>
            </w:pPr>
            <w:r>
              <w:rPr>
                <w:b/>
              </w:rPr>
              <w:t>Additional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Other</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center"/>
              <w:rPr/>
            </w:pPr>
            <w:r>
              <w:rPr/>
              <w:t> </w:t>
            </w:r>
          </w:p>
        </w:tc>
        <w:tc>
          <w:tcPr>
            <w:tcW w:w="78" w:type="dxa"/>
            <w:tcBorders/>
            <w:vAlign w:val="center"/>
          </w:tcPr>
          <w:p>
            <w:pPr>
              <w:pStyle w:val="TableContents"/>
              <w:bidi w:val="0"/>
              <w:spacing w:before="0" w:after="283"/>
              <w:jc w:val="left"/>
              <w:rPr/>
            </w:pPr>
            <w:r>
              <w:rPr/>
              <w:t> </w:t>
            </w:r>
          </w:p>
        </w:tc>
      </w:tr>
      <w:tr>
        <w:trPr/>
        <w:tc>
          <w:tcPr>
            <w:tcW w:w="162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b/>
              </w:rPr>
            </w:pPr>
            <w:r>
              <w:rPr>
                <w:b/>
              </w:rPr>
              <w:t>Paid-in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Comprehensive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center"/>
              <w:rPr/>
            </w:pPr>
            <w:r>
              <w:rPr/>
              <w:t> </w:t>
            </w:r>
          </w:p>
        </w:tc>
        <w:tc>
          <w:tcPr>
            <w:tcW w:w="78" w:type="dxa"/>
            <w:tcBorders/>
            <w:vAlign w:val="center"/>
          </w:tcPr>
          <w:p>
            <w:pPr>
              <w:pStyle w:val="TableContents"/>
              <w:bidi w:val="0"/>
              <w:spacing w:before="0" w:after="283"/>
              <w:jc w:val="left"/>
              <w:rPr/>
            </w:pPr>
            <w:r>
              <w:rPr/>
              <w:t> </w:t>
            </w:r>
          </w:p>
        </w:tc>
      </w:tr>
      <w:tr>
        <w:trPr/>
        <w:tc>
          <w:tcPr>
            <w:tcW w:w="162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Income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78" w:type="dxa"/>
            <w:tcBorders/>
            <w:vAlign w:val="center"/>
          </w:tcPr>
          <w:p>
            <w:pPr>
              <w:pStyle w:val="TableContents"/>
              <w:bidi w:val="0"/>
              <w:spacing w:before="0" w:after="283"/>
              <w:ind w:left="0" w:right="0" w:hanging="180"/>
              <w:jc w:val="left"/>
              <w:rPr/>
            </w:pPr>
            <w:r>
              <w:rPr/>
              <w:t> </w:t>
            </w:r>
          </w:p>
        </w:tc>
      </w:tr>
      <w:tr>
        <w:trPr/>
        <w:tc>
          <w:tcPr>
            <w:tcW w:w="1622" w:type="dxa"/>
            <w:tcBorders/>
            <w:shd w:fill="CCEEFF" w:val="clear"/>
            <w:vAlign w:val="center"/>
          </w:tcPr>
          <w:p>
            <w:pPr>
              <w:pStyle w:val="TableContents"/>
              <w:bidi w:val="0"/>
              <w:spacing w:before="0" w:after="283"/>
              <w:jc w:val="left"/>
              <w:rPr/>
            </w:pPr>
            <w:r>
              <w:rPr/>
              <w:t>Balances, March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9,450,220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945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173,437,683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(162,588,112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1390" w:type="dxa"/>
            <w:tcBorders/>
            <w:shd w:fill="CCEEFF" w:val="clear"/>
            <w:vAlign w:val="center"/>
          </w:tcPr>
          <w:p>
            <w:pPr>
              <w:pStyle w:val="TableContents"/>
              <w:bidi w:val="0"/>
              <w:spacing w:before="0" w:after="283"/>
              <w:jc w:val="right"/>
              <w:rPr/>
            </w:pPr>
            <w:r>
              <w:rPr/>
              <w:t>16,702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10,867,218</w:t>
            </w:r>
          </w:p>
        </w:tc>
        <w:tc>
          <w:tcPr>
            <w:tcW w:w="78" w:type="dxa"/>
            <w:tcBorders/>
            <w:shd w:fill="CCEEFF" w:val="clear"/>
            <w:vAlign w:val="center"/>
          </w:tcPr>
          <w:p>
            <w:pPr>
              <w:pStyle w:val="TableContents"/>
              <w:bidi w:val="0"/>
              <w:spacing w:before="0" w:after="283"/>
              <w:ind w:left="0" w:right="0" w:hanging="180"/>
              <w:jc w:val="left"/>
              <w:rPr/>
            </w:pPr>
            <w:r>
              <w:rPr/>
              <w:t> </w:t>
            </w:r>
          </w:p>
        </w:tc>
      </w:tr>
      <w:tr>
        <w:trPr/>
        <w:tc>
          <w:tcPr>
            <w:tcW w:w="1622" w:type="dxa"/>
            <w:tcBorders/>
            <w:vAlign w:val="center"/>
          </w:tcPr>
          <w:p>
            <w:pPr>
              <w:pStyle w:val="TableContents"/>
              <w:bidi w:val="0"/>
              <w:spacing w:before="0" w:after="283"/>
              <w:jc w:val="left"/>
              <w:rPr/>
            </w:pPr>
            <w:r>
              <w:rPr/>
              <w:t>Stock-based compensation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725,704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390"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725,704</w:t>
            </w:r>
          </w:p>
        </w:tc>
        <w:tc>
          <w:tcPr>
            <w:tcW w:w="78" w:type="dxa"/>
            <w:tcBorders/>
            <w:vAlign w:val="center"/>
          </w:tcPr>
          <w:p>
            <w:pPr>
              <w:pStyle w:val="TableContents"/>
              <w:bidi w:val="0"/>
              <w:spacing w:before="0" w:after="283"/>
              <w:ind w:left="0" w:right="0" w:hanging="180"/>
              <w:jc w:val="left"/>
              <w:rPr/>
            </w:pPr>
            <w:r>
              <w:rPr/>
              <w:t> </w:t>
            </w:r>
          </w:p>
        </w:tc>
      </w:tr>
      <w:tr>
        <w:trPr/>
        <w:tc>
          <w:tcPr>
            <w:tcW w:w="1622" w:type="dxa"/>
            <w:tcBorders/>
            <w:shd w:fill="CCEEFF" w:val="clear"/>
            <w:vAlign w:val="center"/>
          </w:tcPr>
          <w:p>
            <w:pPr>
              <w:pStyle w:val="TableContents"/>
              <w:bidi w:val="0"/>
              <w:spacing w:before="0" w:after="283"/>
              <w:jc w:val="left"/>
              <w:rPr/>
            </w:pPr>
            <w:r>
              <w:rPr/>
              <w:t>Sale of common stock for cash, net of offering costs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1,464,965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146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10,001,252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10,001,398</w:t>
            </w:r>
          </w:p>
        </w:tc>
        <w:tc>
          <w:tcPr>
            <w:tcW w:w="78" w:type="dxa"/>
            <w:tcBorders/>
            <w:shd w:fill="CCEEFF" w:val="clear"/>
            <w:vAlign w:val="center"/>
          </w:tcPr>
          <w:p>
            <w:pPr>
              <w:pStyle w:val="TableContents"/>
              <w:bidi w:val="0"/>
              <w:spacing w:before="0" w:after="283"/>
              <w:ind w:left="0" w:right="0" w:hanging="180"/>
              <w:jc w:val="left"/>
              <w:rPr/>
            </w:pPr>
            <w:r>
              <w:rPr/>
              <w:t> </w:t>
            </w:r>
          </w:p>
        </w:tc>
      </w:tr>
      <w:tr>
        <w:trPr/>
        <w:tc>
          <w:tcPr>
            <w:tcW w:w="1622" w:type="dxa"/>
            <w:tcBorders/>
            <w:vAlign w:val="center"/>
          </w:tcPr>
          <w:p>
            <w:pPr>
              <w:pStyle w:val="TableContents"/>
              <w:bidi w:val="0"/>
              <w:spacing w:before="0" w:after="283"/>
              <w:jc w:val="left"/>
              <w:rPr/>
            </w:pPr>
            <w:r>
              <w:rPr/>
              <w:t>Cashless stock option exercise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5,666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390"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w:t>
            </w:r>
          </w:p>
        </w:tc>
        <w:tc>
          <w:tcPr>
            <w:tcW w:w="78" w:type="dxa"/>
            <w:tcBorders/>
            <w:vAlign w:val="center"/>
          </w:tcPr>
          <w:p>
            <w:pPr>
              <w:pStyle w:val="TableContents"/>
              <w:bidi w:val="0"/>
              <w:spacing w:before="0" w:after="283"/>
              <w:ind w:left="0" w:right="0" w:hanging="180"/>
              <w:jc w:val="left"/>
              <w:rPr/>
            </w:pPr>
            <w:r>
              <w:rPr/>
              <w:t> </w:t>
            </w:r>
          </w:p>
        </w:tc>
      </w:tr>
      <w:tr>
        <w:trPr/>
        <w:tc>
          <w:tcPr>
            <w:tcW w:w="1622"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(3,261,241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(3,261,241</w:t>
            </w:r>
          </w:p>
        </w:tc>
        <w:tc>
          <w:tcPr>
            <w:tcW w:w="78" w:type="dxa"/>
            <w:tcBorders/>
            <w:shd w:fill="CCEEFF" w:val="clear"/>
            <w:vAlign w:val="center"/>
          </w:tcPr>
          <w:p>
            <w:pPr>
              <w:pStyle w:val="TableContents"/>
              <w:bidi w:val="0"/>
              <w:spacing w:before="0" w:after="283"/>
              <w:ind w:left="0" w:right="0" w:hanging="180"/>
              <w:jc w:val="left"/>
              <w:rPr/>
            </w:pPr>
            <w:r>
              <w:rPr/>
              <w:t>)</w:t>
            </w:r>
          </w:p>
        </w:tc>
      </w:tr>
      <w:tr>
        <w:trPr/>
        <w:tc>
          <w:tcPr>
            <w:tcW w:w="1622" w:type="dxa"/>
            <w:tcBorders/>
            <w:vAlign w:val="center"/>
          </w:tcPr>
          <w:p>
            <w:pPr>
              <w:pStyle w:val="TableContents"/>
              <w:bidi w:val="0"/>
              <w:spacing w:before="0" w:after="283"/>
              <w:jc w:val="left"/>
              <w:rPr/>
            </w:pPr>
            <w:r>
              <w:rPr/>
              <w:t>Foreign currency translation</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tcMar>
              <w:bottom w:w="28" w:type="dxa"/>
            </w:tcMar>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bottom w:val="single" w:sz="12" w:space="0" w:color="000000"/>
            </w:tcBorders>
            <w:tcMar>
              <w:bottom w:w="28" w:type="dxa"/>
            </w:tcMar>
            <w:vAlign w:val="center"/>
          </w:tcPr>
          <w:p>
            <w:pPr>
              <w:pStyle w:val="TableContents"/>
              <w:bidi w:val="0"/>
              <w:spacing w:before="0" w:after="283"/>
              <w:jc w:val="left"/>
              <w:rPr/>
            </w:pPr>
            <w:r>
              <w:rPr/>
              <w:t> </w:t>
            </w:r>
          </w:p>
        </w:tc>
        <w:tc>
          <w:tcPr>
            <w:tcW w:w="688" w:type="dxa"/>
            <w:tcBorders>
              <w:bottom w:val="single" w:sz="12" w:space="0" w:color="000000"/>
            </w:tcBorders>
            <w:tcMar>
              <w:bottom w:w="28" w:type="dxa"/>
            </w:tcMar>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tcMar>
              <w:bottom w:w="28" w:type="dxa"/>
            </w:tcMar>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tcMar>
              <w:bottom w:w="28" w:type="dxa"/>
            </w:tcMar>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90" w:type="dxa"/>
            <w:tcBorders>
              <w:bottom w:val="single" w:sz="12" w:space="0" w:color="000000"/>
            </w:tcBorders>
            <w:tcMar>
              <w:bottom w:w="28" w:type="dxa"/>
            </w:tcMar>
            <w:vAlign w:val="center"/>
          </w:tcPr>
          <w:p>
            <w:pPr>
              <w:pStyle w:val="TableContents"/>
              <w:bidi w:val="0"/>
              <w:spacing w:before="0" w:after="283"/>
              <w:jc w:val="right"/>
              <w:rPr/>
            </w:pPr>
            <w:r>
              <w:rPr/>
              <w:t>(10,594</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(10,594</w:t>
            </w:r>
          </w:p>
        </w:tc>
        <w:tc>
          <w:tcPr>
            <w:tcW w:w="78" w:type="dxa"/>
            <w:tcBorders/>
            <w:vAlign w:val="center"/>
          </w:tcPr>
          <w:p>
            <w:pPr>
              <w:pStyle w:val="TableContents"/>
              <w:bidi w:val="0"/>
              <w:spacing w:before="0" w:after="283"/>
              <w:ind w:left="0" w:right="0" w:hanging="180"/>
              <w:jc w:val="left"/>
              <w:rPr/>
            </w:pPr>
            <w:r>
              <w:rPr/>
              <w:t>)</w:t>
            </w:r>
          </w:p>
        </w:tc>
      </w:tr>
      <w:tr>
        <w:trPr/>
        <w:tc>
          <w:tcPr>
            <w:tcW w:w="1622" w:type="dxa"/>
            <w:tcBorders/>
            <w:shd w:fill="CCEEFF" w:val="clear"/>
            <w:vAlign w:val="center"/>
          </w:tcPr>
          <w:p>
            <w:pPr>
              <w:pStyle w:val="TableContents"/>
              <w:bidi w:val="0"/>
              <w:spacing w:before="0" w:after="283"/>
              <w:jc w:val="left"/>
              <w:rPr/>
            </w:pPr>
            <w:r>
              <w:rPr/>
              <w:t>Balances, June 30, 2024</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10,920,851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8" w:type="dxa"/>
            <w:tcBorders>
              <w:bottom w:val="double" w:sz="10" w:space="0" w:color="000000"/>
            </w:tcBorders>
            <w:shd w:fill="CCEEFF" w:val="clear"/>
            <w:tcMar>
              <w:bottom w:w="28" w:type="dxa"/>
            </w:tcMar>
            <w:vAlign w:val="center"/>
          </w:tcPr>
          <w:p>
            <w:pPr>
              <w:pStyle w:val="TableContents"/>
              <w:bidi w:val="0"/>
              <w:spacing w:before="0" w:after="283"/>
              <w:jc w:val="right"/>
              <w:rPr/>
            </w:pPr>
            <w:r>
              <w:rPr/>
              <w:t>1,092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184,164,638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10" w:space="0" w:color="000000"/>
            </w:tcBorders>
            <w:shd w:fill="CCEEFF" w:val="clear"/>
            <w:tcMar>
              <w:bottom w:w="28" w:type="dxa"/>
            </w:tcMar>
            <w:vAlign w:val="center"/>
          </w:tcPr>
          <w:p>
            <w:pPr>
              <w:pStyle w:val="TableContents"/>
              <w:bidi w:val="0"/>
              <w:spacing w:before="0" w:after="283"/>
              <w:jc w:val="right"/>
              <w:rPr/>
            </w:pPr>
            <w:r>
              <w:rPr/>
              <w:t>(165,849,353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90" w:type="dxa"/>
            <w:tcBorders>
              <w:bottom w:val="double" w:sz="10" w:space="0" w:color="000000"/>
            </w:tcBorders>
            <w:shd w:fill="CCEEFF" w:val="clear"/>
            <w:tcMar>
              <w:bottom w:w="28" w:type="dxa"/>
            </w:tcMar>
            <w:vAlign w:val="center"/>
          </w:tcPr>
          <w:p>
            <w:pPr>
              <w:pStyle w:val="TableContents"/>
              <w:bidi w:val="0"/>
              <w:spacing w:before="0" w:after="283"/>
              <w:jc w:val="right"/>
              <w:rPr/>
            </w:pPr>
            <w:r>
              <w:rPr/>
              <w:t>6,108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18,322,485</w:t>
            </w:r>
          </w:p>
        </w:tc>
        <w:tc>
          <w:tcPr>
            <w:tcW w:w="78" w:type="dxa"/>
            <w:tcBorders/>
            <w:shd w:fill="CCEEFF" w:val="clear"/>
            <w:vAlign w:val="center"/>
          </w:tcPr>
          <w:p>
            <w:pPr>
              <w:pStyle w:val="TableContents"/>
              <w:bidi w:val="0"/>
              <w:spacing w:before="0" w:after="283"/>
              <w:ind w:left="0" w:right="0" w:hanging="180"/>
              <w:jc w:val="left"/>
              <w:rPr/>
            </w:pPr>
            <w:r>
              <w:rPr/>
              <w:t> </w:t>
            </w:r>
          </w:p>
        </w:tc>
      </w:tr>
      <w:tr>
        <w:trPr/>
        <w:tc>
          <w:tcPr>
            <w:tcW w:w="16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39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78" w:type="dxa"/>
            <w:tcBorders/>
            <w:vAlign w:val="center"/>
          </w:tcPr>
          <w:p>
            <w:pPr>
              <w:pStyle w:val="TableContents"/>
              <w:bidi w:val="0"/>
              <w:spacing w:before="0" w:after="283"/>
              <w:ind w:left="0" w:right="0" w:hanging="180"/>
              <w:jc w:val="left"/>
              <w:rPr/>
            </w:pPr>
            <w:r>
              <w:rPr/>
              <w:t> </w:t>
            </w:r>
          </w:p>
        </w:tc>
      </w:tr>
      <w:tr>
        <w:trPr/>
        <w:tc>
          <w:tcPr>
            <w:tcW w:w="1622" w:type="dxa"/>
            <w:tcBorders/>
            <w:shd w:fill="CCEEFF" w:val="clear"/>
            <w:vAlign w:val="center"/>
          </w:tcPr>
          <w:p>
            <w:pPr>
              <w:pStyle w:val="TableContents"/>
              <w:bidi w:val="0"/>
              <w:spacing w:before="0" w:after="283"/>
              <w:jc w:val="left"/>
              <w:rPr/>
            </w:pPr>
            <w:r>
              <w:rPr/>
              <w:t>Balances,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9,450,220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945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172,714,712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(159,530,535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1390" w:type="dxa"/>
            <w:tcBorders/>
            <w:shd w:fill="CCEEFF" w:val="clear"/>
            <w:vAlign w:val="center"/>
          </w:tcPr>
          <w:p>
            <w:pPr>
              <w:pStyle w:val="TableContents"/>
              <w:bidi w:val="0"/>
              <w:spacing w:before="0" w:after="283"/>
              <w:jc w:val="right"/>
              <w:rPr/>
            </w:pPr>
            <w:r>
              <w:rPr/>
              <w:t>12,624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13,197,746</w:t>
            </w:r>
          </w:p>
        </w:tc>
        <w:tc>
          <w:tcPr>
            <w:tcW w:w="78" w:type="dxa"/>
            <w:tcBorders/>
            <w:shd w:fill="CCEEFF" w:val="clear"/>
            <w:vAlign w:val="center"/>
          </w:tcPr>
          <w:p>
            <w:pPr>
              <w:pStyle w:val="TableContents"/>
              <w:bidi w:val="0"/>
              <w:spacing w:before="0" w:after="283"/>
              <w:ind w:left="0" w:right="0" w:hanging="180"/>
              <w:jc w:val="left"/>
              <w:rPr/>
            </w:pPr>
            <w:r>
              <w:rPr/>
              <w:t> </w:t>
            </w:r>
          </w:p>
        </w:tc>
      </w:tr>
      <w:tr>
        <w:trPr/>
        <w:tc>
          <w:tcPr>
            <w:tcW w:w="1622" w:type="dxa"/>
            <w:tcBorders/>
            <w:vAlign w:val="center"/>
          </w:tcPr>
          <w:p>
            <w:pPr>
              <w:pStyle w:val="TableContents"/>
              <w:bidi w:val="0"/>
              <w:spacing w:before="0" w:after="283"/>
              <w:jc w:val="left"/>
              <w:rPr/>
            </w:pPr>
            <w:r>
              <w:rPr/>
              <w:t>Stock-based compensation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1,448,675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390"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1,448,675</w:t>
            </w:r>
          </w:p>
        </w:tc>
        <w:tc>
          <w:tcPr>
            <w:tcW w:w="78" w:type="dxa"/>
            <w:tcBorders/>
            <w:vAlign w:val="center"/>
          </w:tcPr>
          <w:p>
            <w:pPr>
              <w:pStyle w:val="TableContents"/>
              <w:bidi w:val="0"/>
              <w:spacing w:before="0" w:after="283"/>
              <w:ind w:left="0" w:right="0" w:hanging="180"/>
              <w:jc w:val="left"/>
              <w:rPr/>
            </w:pPr>
            <w:r>
              <w:rPr/>
              <w:t> </w:t>
            </w:r>
          </w:p>
        </w:tc>
      </w:tr>
      <w:tr>
        <w:trPr/>
        <w:tc>
          <w:tcPr>
            <w:tcW w:w="1622" w:type="dxa"/>
            <w:tcBorders/>
            <w:shd w:fill="CCEEFF" w:val="clear"/>
            <w:vAlign w:val="center"/>
          </w:tcPr>
          <w:p>
            <w:pPr>
              <w:pStyle w:val="TableContents"/>
              <w:bidi w:val="0"/>
              <w:spacing w:before="0" w:after="283"/>
              <w:jc w:val="left"/>
              <w:rPr/>
            </w:pPr>
            <w:r>
              <w:rPr/>
              <w:t>Sale of common stock for cash, net of offering costs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1,464,965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146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10,001,252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10,001,398</w:t>
            </w:r>
          </w:p>
        </w:tc>
        <w:tc>
          <w:tcPr>
            <w:tcW w:w="78" w:type="dxa"/>
            <w:tcBorders/>
            <w:shd w:fill="CCEEFF" w:val="clear"/>
            <w:vAlign w:val="center"/>
          </w:tcPr>
          <w:p>
            <w:pPr>
              <w:pStyle w:val="TableContents"/>
              <w:bidi w:val="0"/>
              <w:spacing w:before="0" w:after="283"/>
              <w:ind w:left="0" w:right="0" w:hanging="180"/>
              <w:jc w:val="left"/>
              <w:rPr/>
            </w:pPr>
            <w:r>
              <w:rPr/>
              <w:t> </w:t>
            </w:r>
          </w:p>
        </w:tc>
      </w:tr>
      <w:tr>
        <w:trPr/>
        <w:tc>
          <w:tcPr>
            <w:tcW w:w="1622" w:type="dxa"/>
            <w:tcBorders/>
            <w:vAlign w:val="center"/>
          </w:tcPr>
          <w:p>
            <w:pPr>
              <w:pStyle w:val="TableContents"/>
              <w:bidi w:val="0"/>
              <w:spacing w:before="0" w:after="283"/>
              <w:jc w:val="left"/>
              <w:rPr/>
            </w:pPr>
            <w:r>
              <w:rPr/>
              <w:t>Cashless stock option exercise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5,666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390"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w:t>
            </w:r>
          </w:p>
        </w:tc>
        <w:tc>
          <w:tcPr>
            <w:tcW w:w="78" w:type="dxa"/>
            <w:tcBorders/>
            <w:vAlign w:val="center"/>
          </w:tcPr>
          <w:p>
            <w:pPr>
              <w:pStyle w:val="TableContents"/>
              <w:bidi w:val="0"/>
              <w:spacing w:before="0" w:after="283"/>
              <w:ind w:left="0" w:right="0" w:hanging="180"/>
              <w:jc w:val="left"/>
              <w:rPr/>
            </w:pPr>
            <w:r>
              <w:rPr/>
              <w:t> </w:t>
            </w:r>
          </w:p>
        </w:tc>
      </w:tr>
      <w:tr>
        <w:trPr/>
        <w:tc>
          <w:tcPr>
            <w:tcW w:w="1622"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(6,318,818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(6,318,818</w:t>
            </w:r>
          </w:p>
        </w:tc>
        <w:tc>
          <w:tcPr>
            <w:tcW w:w="78" w:type="dxa"/>
            <w:tcBorders/>
            <w:shd w:fill="CCEEFF" w:val="clear"/>
            <w:vAlign w:val="center"/>
          </w:tcPr>
          <w:p>
            <w:pPr>
              <w:pStyle w:val="TableContents"/>
              <w:bidi w:val="0"/>
              <w:spacing w:before="0" w:after="283"/>
              <w:ind w:left="0" w:right="0" w:hanging="180"/>
              <w:jc w:val="left"/>
              <w:rPr/>
            </w:pPr>
            <w:r>
              <w:rPr/>
              <w:t>)</w:t>
            </w:r>
          </w:p>
        </w:tc>
      </w:tr>
      <w:tr>
        <w:trPr/>
        <w:tc>
          <w:tcPr>
            <w:tcW w:w="1622" w:type="dxa"/>
            <w:tcBorders/>
            <w:vAlign w:val="center"/>
          </w:tcPr>
          <w:p>
            <w:pPr>
              <w:pStyle w:val="TableContents"/>
              <w:bidi w:val="0"/>
              <w:spacing w:before="0" w:after="283"/>
              <w:jc w:val="left"/>
              <w:rPr/>
            </w:pPr>
            <w:r>
              <w:rPr/>
              <w:t>Foreign currency translation</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tcMar>
              <w:bottom w:w="28" w:type="dxa"/>
            </w:tcMar>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bottom w:val="single" w:sz="12" w:space="0" w:color="000000"/>
            </w:tcBorders>
            <w:tcMar>
              <w:bottom w:w="28" w:type="dxa"/>
            </w:tcMar>
            <w:vAlign w:val="center"/>
          </w:tcPr>
          <w:p>
            <w:pPr>
              <w:pStyle w:val="TableContents"/>
              <w:bidi w:val="0"/>
              <w:spacing w:before="0" w:after="283"/>
              <w:jc w:val="left"/>
              <w:rPr/>
            </w:pPr>
            <w:r>
              <w:rPr/>
              <w:t> </w:t>
            </w:r>
          </w:p>
        </w:tc>
        <w:tc>
          <w:tcPr>
            <w:tcW w:w="688" w:type="dxa"/>
            <w:tcBorders>
              <w:bottom w:val="single" w:sz="12" w:space="0" w:color="000000"/>
            </w:tcBorders>
            <w:tcMar>
              <w:bottom w:w="28" w:type="dxa"/>
            </w:tcMar>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tcMar>
              <w:bottom w:w="28" w:type="dxa"/>
            </w:tcMar>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tcMar>
              <w:bottom w:w="28" w:type="dxa"/>
            </w:tcMar>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90" w:type="dxa"/>
            <w:tcBorders>
              <w:bottom w:val="single" w:sz="12" w:space="0" w:color="000000"/>
            </w:tcBorders>
            <w:tcMar>
              <w:bottom w:w="28" w:type="dxa"/>
            </w:tcMar>
            <w:vAlign w:val="center"/>
          </w:tcPr>
          <w:p>
            <w:pPr>
              <w:pStyle w:val="TableContents"/>
              <w:bidi w:val="0"/>
              <w:spacing w:before="0" w:after="283"/>
              <w:jc w:val="right"/>
              <w:rPr/>
            </w:pPr>
            <w:r>
              <w:rPr/>
              <w:t>(6,516</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(6,516</w:t>
            </w:r>
          </w:p>
        </w:tc>
        <w:tc>
          <w:tcPr>
            <w:tcW w:w="78" w:type="dxa"/>
            <w:tcBorders/>
            <w:vAlign w:val="center"/>
          </w:tcPr>
          <w:p>
            <w:pPr>
              <w:pStyle w:val="TableContents"/>
              <w:bidi w:val="0"/>
              <w:spacing w:before="0" w:after="283"/>
              <w:ind w:left="0" w:right="0" w:hanging="180"/>
              <w:jc w:val="left"/>
              <w:rPr/>
            </w:pPr>
            <w:r>
              <w:rPr/>
              <w:t>)</w:t>
            </w:r>
          </w:p>
        </w:tc>
      </w:tr>
      <w:tr>
        <w:trPr/>
        <w:tc>
          <w:tcPr>
            <w:tcW w:w="1622" w:type="dxa"/>
            <w:tcBorders/>
            <w:shd w:fill="CCEEFF" w:val="clear"/>
            <w:vAlign w:val="center"/>
          </w:tcPr>
          <w:p>
            <w:pPr>
              <w:pStyle w:val="TableContents"/>
              <w:bidi w:val="0"/>
              <w:spacing w:before="0" w:after="283"/>
              <w:jc w:val="left"/>
              <w:rPr/>
            </w:pPr>
            <w:r>
              <w:rPr/>
              <w:t>Balances, June 30, 2024</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10,920,851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8" w:type="dxa"/>
            <w:tcBorders>
              <w:bottom w:val="double" w:sz="10" w:space="0" w:color="000000"/>
            </w:tcBorders>
            <w:shd w:fill="CCEEFF" w:val="clear"/>
            <w:tcMar>
              <w:bottom w:w="28" w:type="dxa"/>
            </w:tcMar>
            <w:vAlign w:val="center"/>
          </w:tcPr>
          <w:p>
            <w:pPr>
              <w:pStyle w:val="TableContents"/>
              <w:bidi w:val="0"/>
              <w:spacing w:before="0" w:after="283"/>
              <w:jc w:val="right"/>
              <w:rPr/>
            </w:pPr>
            <w:r>
              <w:rPr/>
              <w:t>1,092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184,164,638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10" w:space="0" w:color="000000"/>
            </w:tcBorders>
            <w:shd w:fill="CCEEFF" w:val="clear"/>
            <w:tcMar>
              <w:bottom w:w="28" w:type="dxa"/>
            </w:tcMar>
            <w:vAlign w:val="center"/>
          </w:tcPr>
          <w:p>
            <w:pPr>
              <w:pStyle w:val="TableContents"/>
              <w:bidi w:val="0"/>
              <w:spacing w:before="0" w:after="283"/>
              <w:jc w:val="right"/>
              <w:rPr/>
            </w:pPr>
            <w:r>
              <w:rPr/>
              <w:t>(165,849,353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90" w:type="dxa"/>
            <w:tcBorders>
              <w:bottom w:val="double" w:sz="10" w:space="0" w:color="000000"/>
            </w:tcBorders>
            <w:shd w:fill="CCEEFF" w:val="clear"/>
            <w:tcMar>
              <w:bottom w:w="28" w:type="dxa"/>
            </w:tcMar>
            <w:vAlign w:val="center"/>
          </w:tcPr>
          <w:p>
            <w:pPr>
              <w:pStyle w:val="TableContents"/>
              <w:bidi w:val="0"/>
              <w:spacing w:before="0" w:after="283"/>
              <w:jc w:val="right"/>
              <w:rPr/>
            </w:pPr>
            <w:r>
              <w:rPr/>
              <w:t>6,108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18,322,485</w:t>
            </w:r>
          </w:p>
        </w:tc>
        <w:tc>
          <w:tcPr>
            <w:tcW w:w="78" w:type="dxa"/>
            <w:tcBorders/>
            <w:shd w:fill="CCEEFF" w:val="clear"/>
            <w:vAlign w:val="center"/>
          </w:tcPr>
          <w:p>
            <w:pPr>
              <w:pStyle w:val="TableContents"/>
              <w:bidi w:val="0"/>
              <w:spacing w:before="0" w:after="283"/>
              <w:ind w:left="0" w:right="0" w:hanging="180"/>
              <w:jc w:val="left"/>
              <w:rPr/>
            </w:pPr>
            <w:r>
              <w:rPr/>
              <w:t> </w:t>
            </w:r>
          </w:p>
        </w:tc>
      </w:tr>
      <w:tr>
        <w:trPr/>
        <w:tc>
          <w:tcPr>
            <w:tcW w:w="16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39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78" w:type="dxa"/>
            <w:tcBorders/>
            <w:vAlign w:val="center"/>
          </w:tcPr>
          <w:p>
            <w:pPr>
              <w:pStyle w:val="TableContents"/>
              <w:bidi w:val="0"/>
              <w:spacing w:before="0" w:after="283"/>
              <w:ind w:left="0" w:right="0" w:hanging="180"/>
              <w:jc w:val="left"/>
              <w:rPr/>
            </w:pPr>
            <w:r>
              <w:rPr/>
              <w:t> </w:t>
            </w:r>
          </w:p>
        </w:tc>
      </w:tr>
      <w:tr>
        <w:trPr/>
        <w:tc>
          <w:tcPr>
            <w:tcW w:w="1622" w:type="dxa"/>
            <w:tcBorders/>
            <w:shd w:fill="CCEEFF" w:val="clear"/>
            <w:vAlign w:val="center"/>
          </w:tcPr>
          <w:p>
            <w:pPr>
              <w:pStyle w:val="TableContents"/>
              <w:bidi w:val="0"/>
              <w:spacing w:before="0" w:after="283"/>
              <w:jc w:val="left"/>
              <w:rPr/>
            </w:pPr>
            <w:r>
              <w:rPr/>
              <w:t>Balances, March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3,247,957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325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137,881,276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(141,914,040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1390" w:type="dxa"/>
            <w:tcBorders/>
            <w:shd w:fill="CCEEFF" w:val="clear"/>
            <w:vAlign w:val="center"/>
          </w:tcPr>
          <w:p>
            <w:pPr>
              <w:pStyle w:val="TableContents"/>
              <w:bidi w:val="0"/>
              <w:spacing w:before="0" w:after="283"/>
              <w:jc w:val="right"/>
              <w:rPr/>
            </w:pPr>
            <w:r>
              <w:rPr/>
              <w:t>131,863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(3,900,576</w:t>
            </w:r>
          </w:p>
        </w:tc>
        <w:tc>
          <w:tcPr>
            <w:tcW w:w="78" w:type="dxa"/>
            <w:tcBorders/>
            <w:shd w:fill="CCEEFF" w:val="clear"/>
            <w:vAlign w:val="center"/>
          </w:tcPr>
          <w:p>
            <w:pPr>
              <w:pStyle w:val="TableContents"/>
              <w:bidi w:val="0"/>
              <w:spacing w:before="0" w:after="283"/>
              <w:ind w:left="0" w:right="0" w:hanging="180"/>
              <w:jc w:val="left"/>
              <w:rPr/>
            </w:pPr>
            <w:r>
              <w:rPr/>
              <w:t>)</w:t>
            </w:r>
          </w:p>
        </w:tc>
      </w:tr>
      <w:tr>
        <w:trPr/>
        <w:tc>
          <w:tcPr>
            <w:tcW w:w="1622" w:type="dxa"/>
            <w:tcBorders/>
            <w:vAlign w:val="center"/>
          </w:tcPr>
          <w:p>
            <w:pPr>
              <w:pStyle w:val="TableContents"/>
              <w:bidi w:val="0"/>
              <w:spacing w:before="0" w:after="283"/>
              <w:jc w:val="left"/>
              <w:rPr/>
            </w:pPr>
            <w:r>
              <w:rPr/>
              <w:t>Stock-based compensation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1,055,690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390"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1,055,690</w:t>
            </w:r>
          </w:p>
        </w:tc>
        <w:tc>
          <w:tcPr>
            <w:tcW w:w="78" w:type="dxa"/>
            <w:tcBorders/>
            <w:vAlign w:val="center"/>
          </w:tcPr>
          <w:p>
            <w:pPr>
              <w:pStyle w:val="TableContents"/>
              <w:bidi w:val="0"/>
              <w:spacing w:before="0" w:after="283"/>
              <w:ind w:left="0" w:right="0" w:hanging="180"/>
              <w:jc w:val="left"/>
              <w:rPr/>
            </w:pPr>
            <w:r>
              <w:rPr/>
              <w:t> </w:t>
            </w:r>
          </w:p>
        </w:tc>
      </w:tr>
      <w:tr>
        <w:trPr/>
        <w:tc>
          <w:tcPr>
            <w:tcW w:w="1622" w:type="dxa"/>
            <w:tcBorders/>
            <w:shd w:fill="CCEEFF" w:val="clear"/>
            <w:vAlign w:val="center"/>
          </w:tcPr>
          <w:p>
            <w:pPr>
              <w:pStyle w:val="TableContents"/>
              <w:bidi w:val="0"/>
              <w:spacing w:before="0" w:after="283"/>
              <w:jc w:val="left"/>
              <w:rPr/>
            </w:pPr>
            <w:r>
              <w:rPr/>
              <w:t>Warrants issued for services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438,000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438,000</w:t>
            </w:r>
          </w:p>
        </w:tc>
        <w:tc>
          <w:tcPr>
            <w:tcW w:w="78" w:type="dxa"/>
            <w:tcBorders/>
            <w:shd w:fill="CCEEFF" w:val="clear"/>
            <w:vAlign w:val="center"/>
          </w:tcPr>
          <w:p>
            <w:pPr>
              <w:pStyle w:val="TableContents"/>
              <w:bidi w:val="0"/>
              <w:spacing w:before="0" w:after="283"/>
              <w:ind w:left="0" w:right="0" w:hanging="180"/>
              <w:jc w:val="left"/>
              <w:rPr/>
            </w:pPr>
            <w:r>
              <w:rPr/>
              <w:t> </w:t>
            </w:r>
          </w:p>
        </w:tc>
      </w:tr>
      <w:tr>
        <w:trPr/>
        <w:tc>
          <w:tcPr>
            <w:tcW w:w="1622" w:type="dxa"/>
            <w:tcBorders/>
            <w:vAlign w:val="center"/>
          </w:tcPr>
          <w:p>
            <w:pPr>
              <w:pStyle w:val="TableContents"/>
              <w:bidi w:val="0"/>
              <w:spacing w:before="0" w:after="283"/>
              <w:jc w:val="left"/>
              <w:rPr/>
            </w:pPr>
            <w:r>
              <w:rPr/>
              <w:t>Shares issued in lieu of interest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43,348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right"/>
              <w:rPr/>
            </w:pPr>
            <w:r>
              <w:rPr/>
              <w:t>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165,147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390"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165,151</w:t>
            </w:r>
          </w:p>
        </w:tc>
        <w:tc>
          <w:tcPr>
            <w:tcW w:w="78" w:type="dxa"/>
            <w:tcBorders/>
            <w:vAlign w:val="center"/>
          </w:tcPr>
          <w:p>
            <w:pPr>
              <w:pStyle w:val="TableContents"/>
              <w:bidi w:val="0"/>
              <w:spacing w:before="0" w:after="283"/>
              <w:ind w:left="0" w:right="0" w:hanging="180"/>
              <w:jc w:val="left"/>
              <w:rPr/>
            </w:pPr>
            <w:r>
              <w:rPr/>
              <w:t> </w:t>
            </w:r>
          </w:p>
        </w:tc>
      </w:tr>
      <w:tr>
        <w:trPr/>
        <w:tc>
          <w:tcPr>
            <w:tcW w:w="1622" w:type="dxa"/>
            <w:tcBorders/>
            <w:shd w:fill="CCEEFF" w:val="clear"/>
            <w:vAlign w:val="center"/>
          </w:tcPr>
          <w:p>
            <w:pPr>
              <w:pStyle w:val="TableContents"/>
              <w:bidi w:val="0"/>
              <w:spacing w:before="0" w:after="283"/>
              <w:jc w:val="left"/>
              <w:rPr/>
            </w:pPr>
            <w:r>
              <w:rPr/>
              <w:t>Conversion of convertible notes into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2,348,347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235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15,331,776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15,332,011</w:t>
            </w:r>
          </w:p>
        </w:tc>
        <w:tc>
          <w:tcPr>
            <w:tcW w:w="78" w:type="dxa"/>
            <w:tcBorders/>
            <w:shd w:fill="CCEEFF" w:val="clear"/>
            <w:vAlign w:val="center"/>
          </w:tcPr>
          <w:p>
            <w:pPr>
              <w:pStyle w:val="TableContents"/>
              <w:bidi w:val="0"/>
              <w:spacing w:before="0" w:after="283"/>
              <w:ind w:left="0" w:right="0" w:hanging="180"/>
              <w:jc w:val="left"/>
              <w:rPr/>
            </w:pPr>
            <w:r>
              <w:rPr/>
              <w:t> </w:t>
            </w:r>
          </w:p>
        </w:tc>
      </w:tr>
      <w:tr>
        <w:trPr/>
        <w:tc>
          <w:tcPr>
            <w:tcW w:w="1622" w:type="dxa"/>
            <w:tcBorders/>
            <w:vAlign w:val="center"/>
          </w:tcPr>
          <w:p>
            <w:pPr>
              <w:pStyle w:val="TableContents"/>
              <w:bidi w:val="0"/>
              <w:spacing w:before="0" w:after="283"/>
              <w:jc w:val="left"/>
              <w:rPr/>
            </w:pPr>
            <w:r>
              <w:rPr/>
              <w:t>Conversion of credit facility borrowings into 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245,634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right"/>
              <w:rPr/>
            </w:pPr>
            <w:r>
              <w:rPr/>
              <w:t>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899,976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390"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900,000</w:t>
            </w:r>
          </w:p>
        </w:tc>
        <w:tc>
          <w:tcPr>
            <w:tcW w:w="78" w:type="dxa"/>
            <w:tcBorders/>
            <w:vAlign w:val="center"/>
          </w:tcPr>
          <w:p>
            <w:pPr>
              <w:pStyle w:val="TableContents"/>
              <w:bidi w:val="0"/>
              <w:spacing w:before="0" w:after="283"/>
              <w:ind w:left="0" w:right="0" w:hanging="180"/>
              <w:jc w:val="left"/>
              <w:rPr/>
            </w:pPr>
            <w:r>
              <w:rPr/>
              <w:t> </w:t>
            </w:r>
          </w:p>
        </w:tc>
      </w:tr>
      <w:tr>
        <w:trPr/>
        <w:tc>
          <w:tcPr>
            <w:tcW w:w="1622" w:type="dxa"/>
            <w:tcBorders/>
            <w:shd w:fill="CCEEFF" w:val="clear"/>
            <w:vAlign w:val="center"/>
          </w:tcPr>
          <w:p>
            <w:pPr>
              <w:pStyle w:val="TableContents"/>
              <w:bidi w:val="0"/>
              <w:spacing w:before="0" w:after="283"/>
              <w:jc w:val="left"/>
              <w:rPr/>
            </w:pPr>
            <w:r>
              <w:rPr/>
              <w:t>Sale of common stock for cash, net of offering costs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1,989,676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198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6,383,443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6,383,641</w:t>
            </w:r>
          </w:p>
        </w:tc>
        <w:tc>
          <w:tcPr>
            <w:tcW w:w="78" w:type="dxa"/>
            <w:tcBorders/>
            <w:shd w:fill="CCEEFF" w:val="clear"/>
            <w:vAlign w:val="center"/>
          </w:tcPr>
          <w:p>
            <w:pPr>
              <w:pStyle w:val="TableContents"/>
              <w:bidi w:val="0"/>
              <w:spacing w:before="0" w:after="283"/>
              <w:ind w:left="0" w:right="0" w:hanging="180"/>
              <w:jc w:val="left"/>
              <w:rPr/>
            </w:pPr>
            <w:r>
              <w:rPr/>
              <w:t> </w:t>
            </w:r>
          </w:p>
        </w:tc>
      </w:tr>
      <w:tr>
        <w:trPr/>
        <w:tc>
          <w:tcPr>
            <w:tcW w:w="1622" w:type="dxa"/>
            <w:tcBorders/>
            <w:vAlign w:val="center"/>
          </w:tcPr>
          <w:p>
            <w:pPr>
              <w:pStyle w:val="TableContents"/>
              <w:bidi w:val="0"/>
              <w:spacing w:before="0" w:after="283"/>
              <w:jc w:val="left"/>
              <w:rPr/>
            </w:pPr>
            <w:r>
              <w:rPr/>
              <w:t>Net loss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(10,678,557</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390"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(10,678,557</w:t>
            </w:r>
          </w:p>
        </w:tc>
        <w:tc>
          <w:tcPr>
            <w:tcW w:w="78" w:type="dxa"/>
            <w:tcBorders/>
            <w:vAlign w:val="center"/>
          </w:tcPr>
          <w:p>
            <w:pPr>
              <w:pStyle w:val="TableContents"/>
              <w:bidi w:val="0"/>
              <w:spacing w:before="0" w:after="283"/>
              <w:ind w:left="0" w:right="0" w:hanging="180"/>
              <w:jc w:val="left"/>
              <w:rPr/>
            </w:pPr>
            <w:r>
              <w:rPr/>
              <w:t>)</w:t>
            </w:r>
          </w:p>
        </w:tc>
      </w:tr>
      <w:tr>
        <w:trPr/>
        <w:tc>
          <w:tcPr>
            <w:tcW w:w="1622" w:type="dxa"/>
            <w:tcBorders/>
            <w:shd w:fill="CCEEFF" w:val="clear"/>
            <w:vAlign w:val="center"/>
          </w:tcPr>
          <w:p>
            <w:pPr>
              <w:pStyle w:val="TableContents"/>
              <w:bidi w:val="0"/>
              <w:spacing w:before="0" w:after="283"/>
              <w:jc w:val="left"/>
              <w:rPr/>
            </w:pPr>
            <w:r>
              <w:rPr/>
              <w:t>Foreign currency translation</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90" w:type="dxa"/>
            <w:tcBorders>
              <w:bottom w:val="single" w:sz="12" w:space="0" w:color="000000"/>
            </w:tcBorders>
            <w:shd w:fill="CCEEFF" w:val="clear"/>
            <w:tcMar>
              <w:bottom w:w="28" w:type="dxa"/>
            </w:tcMar>
            <w:vAlign w:val="center"/>
          </w:tcPr>
          <w:p>
            <w:pPr>
              <w:pStyle w:val="TableContents"/>
              <w:bidi w:val="0"/>
              <w:spacing w:before="0" w:after="283"/>
              <w:jc w:val="right"/>
              <w:rPr/>
            </w:pPr>
            <w:r>
              <w:rPr/>
              <w:t>(132,071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(132,071</w:t>
            </w:r>
          </w:p>
        </w:tc>
        <w:tc>
          <w:tcPr>
            <w:tcW w:w="78" w:type="dxa"/>
            <w:tcBorders/>
            <w:shd w:fill="CCEEFF" w:val="clear"/>
            <w:vAlign w:val="center"/>
          </w:tcPr>
          <w:p>
            <w:pPr>
              <w:pStyle w:val="TableContents"/>
              <w:bidi w:val="0"/>
              <w:spacing w:before="0" w:after="283"/>
              <w:ind w:left="0" w:right="0" w:hanging="180"/>
              <w:jc w:val="left"/>
              <w:rPr/>
            </w:pPr>
            <w:r>
              <w:rPr/>
              <w:t>)</w:t>
            </w:r>
          </w:p>
        </w:tc>
      </w:tr>
      <w:tr>
        <w:trPr/>
        <w:tc>
          <w:tcPr>
            <w:tcW w:w="1622" w:type="dxa"/>
            <w:tcBorders/>
            <w:vAlign w:val="center"/>
          </w:tcPr>
          <w:p>
            <w:pPr>
              <w:pStyle w:val="TableContents"/>
              <w:bidi w:val="0"/>
              <w:spacing w:before="0" w:after="283"/>
              <w:jc w:val="left"/>
              <w:rPr/>
            </w:pPr>
            <w:r>
              <w:rPr/>
              <w:t>Balances, June 30, 2023</w:t>
            </w:r>
          </w:p>
        </w:tc>
        <w:tc>
          <w:tcPr>
            <w:tcW w:w="60" w:type="dxa"/>
            <w:tcBorders/>
            <w:vAlign w:val="center"/>
          </w:tcPr>
          <w:p>
            <w:pPr>
              <w:pStyle w:val="TableContents"/>
              <w:bidi w:val="0"/>
              <w:spacing w:before="0" w:after="283"/>
              <w:jc w:val="left"/>
              <w:rPr/>
            </w:pPr>
            <w:r>
              <w:rPr/>
              <w:t> </w:t>
            </w:r>
          </w:p>
        </w:tc>
        <w:tc>
          <w:tcPr>
            <w:tcW w:w="60" w:type="dxa"/>
            <w:tcBorders>
              <w:bottom w:val="double" w:sz="10" w:space="0" w:color="000000"/>
            </w:tcBorders>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tcMar>
              <w:bottom w:w="28" w:type="dxa"/>
            </w:tcMar>
            <w:vAlign w:val="center"/>
          </w:tcPr>
          <w:p>
            <w:pPr>
              <w:pStyle w:val="TableContents"/>
              <w:bidi w:val="0"/>
              <w:spacing w:before="0" w:after="283"/>
              <w:jc w:val="right"/>
              <w:rPr/>
            </w:pPr>
            <w:r>
              <w:rPr/>
              <w:t>7,874,962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bottom w:val="double" w:sz="10" w:space="0" w:color="000000"/>
            </w:tcBorders>
            <w:tcMar>
              <w:bottom w:w="28" w:type="dxa"/>
            </w:tcMar>
            <w:vAlign w:val="center"/>
          </w:tcPr>
          <w:p>
            <w:pPr>
              <w:pStyle w:val="TableContents"/>
              <w:bidi w:val="0"/>
              <w:spacing w:before="0" w:after="283"/>
              <w:jc w:val="left"/>
              <w:rPr/>
            </w:pPr>
            <w:r>
              <w:rPr/>
              <w:t>$</w:t>
            </w:r>
          </w:p>
        </w:tc>
        <w:tc>
          <w:tcPr>
            <w:tcW w:w="688" w:type="dxa"/>
            <w:tcBorders>
              <w:bottom w:val="double" w:sz="10" w:space="0" w:color="000000"/>
            </w:tcBorders>
            <w:tcMar>
              <w:bottom w:w="28" w:type="dxa"/>
            </w:tcMar>
            <w:vAlign w:val="center"/>
          </w:tcPr>
          <w:p>
            <w:pPr>
              <w:pStyle w:val="TableContents"/>
              <w:bidi w:val="0"/>
              <w:spacing w:before="0" w:after="283"/>
              <w:jc w:val="right"/>
              <w:rPr/>
            </w:pPr>
            <w:r>
              <w:rPr/>
              <w:t>786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tcMar>
              <w:bottom w:w="28" w:type="dxa"/>
            </w:tcMar>
            <w:vAlign w:val="center"/>
          </w:tcPr>
          <w:p>
            <w:pPr>
              <w:pStyle w:val="TableContents"/>
              <w:bidi w:val="0"/>
              <w:spacing w:before="0" w:after="283"/>
              <w:jc w:val="right"/>
              <w:rPr/>
            </w:pPr>
            <w:r>
              <w:rPr/>
              <w:t>162,155,308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w:t>
            </w:r>
          </w:p>
        </w:tc>
        <w:tc>
          <w:tcPr>
            <w:tcW w:w="1295" w:type="dxa"/>
            <w:tcBorders>
              <w:bottom w:val="double" w:sz="10" w:space="0" w:color="000000"/>
            </w:tcBorders>
            <w:tcMar>
              <w:bottom w:w="28" w:type="dxa"/>
            </w:tcMar>
            <w:vAlign w:val="center"/>
          </w:tcPr>
          <w:p>
            <w:pPr>
              <w:pStyle w:val="TableContents"/>
              <w:bidi w:val="0"/>
              <w:spacing w:before="0" w:after="283"/>
              <w:jc w:val="right"/>
              <w:rPr/>
            </w:pPr>
            <w:r>
              <w:rPr/>
              <w:t>(152,592,597</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0" w:type="dxa"/>
            <w:tcBorders>
              <w:bottom w:val="double" w:sz="10" w:space="0" w:color="000000"/>
            </w:tcBorders>
            <w:tcMar>
              <w:bottom w:w="28" w:type="dxa"/>
            </w:tcMar>
            <w:vAlign w:val="center"/>
          </w:tcPr>
          <w:p>
            <w:pPr>
              <w:pStyle w:val="TableContents"/>
              <w:bidi w:val="0"/>
              <w:spacing w:before="0" w:after="283"/>
              <w:jc w:val="left"/>
              <w:rPr/>
            </w:pPr>
            <w:r>
              <w:rPr/>
              <w:t>$</w:t>
            </w:r>
          </w:p>
        </w:tc>
        <w:tc>
          <w:tcPr>
            <w:tcW w:w="1390" w:type="dxa"/>
            <w:tcBorders>
              <w:bottom w:val="double" w:sz="10" w:space="0" w:color="000000"/>
            </w:tcBorders>
            <w:tcMar>
              <w:bottom w:w="28" w:type="dxa"/>
            </w:tcMar>
            <w:vAlign w:val="center"/>
          </w:tcPr>
          <w:p>
            <w:pPr>
              <w:pStyle w:val="TableContents"/>
              <w:bidi w:val="0"/>
              <w:spacing w:before="0" w:after="283"/>
              <w:jc w:val="right"/>
              <w:rPr/>
            </w:pPr>
            <w:r>
              <w:rPr/>
              <w:t>(208</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tcMar>
              <w:bottom w:w="28" w:type="dxa"/>
            </w:tcMar>
            <w:vAlign w:val="center"/>
          </w:tcPr>
          <w:p>
            <w:pPr>
              <w:pStyle w:val="TableContents"/>
              <w:bidi w:val="0"/>
              <w:spacing w:before="0" w:after="283"/>
              <w:jc w:val="right"/>
              <w:rPr/>
            </w:pPr>
            <w:r>
              <w:rPr/>
              <w:t>9,563,289</w:t>
            </w:r>
          </w:p>
        </w:tc>
        <w:tc>
          <w:tcPr>
            <w:tcW w:w="78" w:type="dxa"/>
            <w:tcBorders/>
            <w:vAlign w:val="center"/>
          </w:tcPr>
          <w:p>
            <w:pPr>
              <w:pStyle w:val="TableContents"/>
              <w:bidi w:val="0"/>
              <w:spacing w:before="0" w:after="283"/>
              <w:ind w:left="0" w:right="0" w:hanging="180"/>
              <w:jc w:val="left"/>
              <w:rPr/>
            </w:pPr>
            <w:r>
              <w:rPr/>
              <w:t> </w:t>
            </w:r>
          </w:p>
        </w:tc>
      </w:tr>
      <w:tr>
        <w:trPr/>
        <w:tc>
          <w:tcPr>
            <w:tcW w:w="162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ind w:left="0" w:right="0" w:hanging="180"/>
              <w:jc w:val="left"/>
              <w:rPr/>
            </w:pPr>
            <w:r>
              <w:rPr/>
              <w:t> </w:t>
            </w:r>
          </w:p>
        </w:tc>
      </w:tr>
      <w:tr>
        <w:trPr/>
        <w:tc>
          <w:tcPr>
            <w:tcW w:w="1622" w:type="dxa"/>
            <w:tcBorders/>
            <w:vAlign w:val="center"/>
          </w:tcPr>
          <w:p>
            <w:pPr>
              <w:pStyle w:val="TableContents"/>
              <w:bidi w:val="0"/>
              <w:spacing w:before="0" w:after="283"/>
              <w:jc w:val="left"/>
              <w:rPr/>
            </w:pPr>
            <w:r>
              <w:rPr/>
              <w:t>Balances, December 31, 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3,179,789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w:t>
            </w:r>
          </w:p>
        </w:tc>
        <w:tc>
          <w:tcPr>
            <w:tcW w:w="688" w:type="dxa"/>
            <w:tcBorders/>
            <w:vAlign w:val="center"/>
          </w:tcPr>
          <w:p>
            <w:pPr>
              <w:pStyle w:val="TableContents"/>
              <w:bidi w:val="0"/>
              <w:spacing w:before="0" w:after="283"/>
              <w:jc w:val="right"/>
              <w:rPr/>
            </w:pPr>
            <w:r>
              <w:rPr/>
              <w:t>318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140,257,448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95" w:type="dxa"/>
            <w:tcBorders/>
            <w:vAlign w:val="center"/>
          </w:tcPr>
          <w:p>
            <w:pPr>
              <w:pStyle w:val="TableContents"/>
              <w:bidi w:val="0"/>
              <w:spacing w:before="0" w:after="283"/>
              <w:jc w:val="right"/>
              <w:rPr/>
            </w:pPr>
            <w:r>
              <w:rPr/>
              <w:t>(140,130,159</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w:t>
            </w:r>
          </w:p>
        </w:tc>
        <w:tc>
          <w:tcPr>
            <w:tcW w:w="1390" w:type="dxa"/>
            <w:tcBorders/>
            <w:vAlign w:val="center"/>
          </w:tcPr>
          <w:p>
            <w:pPr>
              <w:pStyle w:val="TableContents"/>
              <w:bidi w:val="0"/>
              <w:spacing w:before="0" w:after="283"/>
              <w:jc w:val="right"/>
              <w:rPr/>
            </w:pPr>
            <w:r>
              <w:rPr/>
              <w:t>155,929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75" w:type="dxa"/>
            <w:tcBorders/>
            <w:vAlign w:val="center"/>
          </w:tcPr>
          <w:p>
            <w:pPr>
              <w:pStyle w:val="TableContents"/>
              <w:bidi w:val="0"/>
              <w:spacing w:before="0" w:after="283"/>
              <w:jc w:val="right"/>
              <w:rPr/>
            </w:pPr>
            <w:r>
              <w:rPr/>
              <w:t>283,536</w:t>
            </w:r>
          </w:p>
        </w:tc>
        <w:tc>
          <w:tcPr>
            <w:tcW w:w="78" w:type="dxa"/>
            <w:tcBorders/>
            <w:vAlign w:val="center"/>
          </w:tcPr>
          <w:p>
            <w:pPr>
              <w:pStyle w:val="TableContents"/>
              <w:bidi w:val="0"/>
              <w:spacing w:before="0" w:after="283"/>
              <w:ind w:left="0" w:right="0" w:hanging="180"/>
              <w:jc w:val="left"/>
              <w:rPr/>
            </w:pPr>
            <w:r>
              <w:rPr/>
              <w:t> </w:t>
            </w:r>
          </w:p>
        </w:tc>
      </w:tr>
      <w:tr>
        <w:trPr/>
        <w:tc>
          <w:tcPr>
            <w:tcW w:w="1622"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(1,542,902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(1,542,902</w:t>
            </w:r>
          </w:p>
        </w:tc>
        <w:tc>
          <w:tcPr>
            <w:tcW w:w="78" w:type="dxa"/>
            <w:tcBorders/>
            <w:shd w:fill="CCEEFF" w:val="clear"/>
            <w:vAlign w:val="center"/>
          </w:tcPr>
          <w:p>
            <w:pPr>
              <w:pStyle w:val="TableContents"/>
              <w:bidi w:val="0"/>
              <w:spacing w:before="0" w:after="283"/>
              <w:ind w:left="0" w:right="0" w:hanging="180"/>
              <w:jc w:val="left"/>
              <w:rPr/>
            </w:pPr>
            <w:r>
              <w:rPr/>
              <w:t>)</w:t>
            </w:r>
          </w:p>
        </w:tc>
      </w:tr>
      <w:tr>
        <w:trPr/>
        <w:tc>
          <w:tcPr>
            <w:tcW w:w="1622" w:type="dxa"/>
            <w:tcBorders/>
            <w:vAlign w:val="center"/>
          </w:tcPr>
          <w:p>
            <w:pPr>
              <w:pStyle w:val="TableContents"/>
              <w:bidi w:val="0"/>
              <w:spacing w:before="0" w:after="283"/>
              <w:jc w:val="left"/>
              <w:rPr/>
            </w:pPr>
            <w:r>
              <w:rPr/>
              <w:t>Warrants issued for services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438,000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390"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438,000</w:t>
            </w:r>
          </w:p>
        </w:tc>
        <w:tc>
          <w:tcPr>
            <w:tcW w:w="78" w:type="dxa"/>
            <w:tcBorders/>
            <w:vAlign w:val="center"/>
          </w:tcPr>
          <w:p>
            <w:pPr>
              <w:pStyle w:val="TableContents"/>
              <w:bidi w:val="0"/>
              <w:spacing w:before="0" w:after="283"/>
              <w:ind w:left="0" w:right="0" w:hanging="180"/>
              <w:jc w:val="left"/>
              <w:rPr/>
            </w:pPr>
            <w:r>
              <w:rPr/>
              <w:t> </w:t>
            </w:r>
          </w:p>
        </w:tc>
      </w:tr>
      <w:tr>
        <w:trPr/>
        <w:tc>
          <w:tcPr>
            <w:tcW w:w="1622" w:type="dxa"/>
            <w:tcBorders/>
            <w:shd w:fill="CCEEFF" w:val="clear"/>
            <w:vAlign w:val="center"/>
          </w:tcPr>
          <w:p>
            <w:pPr>
              <w:pStyle w:val="TableContents"/>
              <w:bidi w:val="0"/>
              <w:spacing w:before="0" w:after="283"/>
              <w:jc w:val="left"/>
              <w:rPr/>
            </w:pPr>
            <w:r>
              <w:rPr/>
              <w:t>Shares issued in lieu of interest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111,516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387,567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387,578</w:t>
            </w:r>
          </w:p>
        </w:tc>
        <w:tc>
          <w:tcPr>
            <w:tcW w:w="78" w:type="dxa"/>
            <w:tcBorders/>
            <w:shd w:fill="CCEEFF" w:val="clear"/>
            <w:vAlign w:val="center"/>
          </w:tcPr>
          <w:p>
            <w:pPr>
              <w:pStyle w:val="TableContents"/>
              <w:bidi w:val="0"/>
              <w:spacing w:before="0" w:after="283"/>
              <w:ind w:left="0" w:right="0" w:hanging="180"/>
              <w:jc w:val="left"/>
              <w:rPr/>
            </w:pPr>
            <w:r>
              <w:rPr/>
              <w:t> </w:t>
            </w:r>
          </w:p>
        </w:tc>
      </w:tr>
      <w:tr>
        <w:trPr/>
        <w:tc>
          <w:tcPr>
            <w:tcW w:w="1622" w:type="dxa"/>
            <w:tcBorders/>
            <w:vAlign w:val="center"/>
          </w:tcPr>
          <w:p>
            <w:pPr>
              <w:pStyle w:val="TableContents"/>
              <w:bidi w:val="0"/>
              <w:spacing w:before="0" w:after="283"/>
              <w:jc w:val="left"/>
              <w:rPr/>
            </w:pPr>
            <w:r>
              <w:rPr/>
              <w:t>Conversion of convertible notes into 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2,348,347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right"/>
              <w:rPr/>
            </w:pPr>
            <w:r>
              <w:rPr/>
              <w:t>235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15,331,776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390"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15,332,011</w:t>
            </w:r>
          </w:p>
        </w:tc>
        <w:tc>
          <w:tcPr>
            <w:tcW w:w="78" w:type="dxa"/>
            <w:tcBorders/>
            <w:vAlign w:val="center"/>
          </w:tcPr>
          <w:p>
            <w:pPr>
              <w:pStyle w:val="TableContents"/>
              <w:bidi w:val="0"/>
              <w:spacing w:before="0" w:after="283"/>
              <w:ind w:left="0" w:right="0" w:hanging="180"/>
              <w:jc w:val="left"/>
              <w:rPr/>
            </w:pPr>
            <w:r>
              <w:rPr/>
              <w:t> </w:t>
            </w:r>
          </w:p>
        </w:tc>
      </w:tr>
      <w:tr>
        <w:trPr/>
        <w:tc>
          <w:tcPr>
            <w:tcW w:w="1622" w:type="dxa"/>
            <w:tcBorders/>
            <w:shd w:fill="CCEEFF" w:val="clear"/>
            <w:vAlign w:val="center"/>
          </w:tcPr>
          <w:p>
            <w:pPr>
              <w:pStyle w:val="TableContents"/>
              <w:bidi w:val="0"/>
              <w:spacing w:before="0" w:after="283"/>
              <w:jc w:val="left"/>
              <w:rPr/>
            </w:pPr>
            <w:r>
              <w:rPr/>
              <w:t>Conversion of credit facility borrowings into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245,634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899,976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900,000</w:t>
            </w:r>
          </w:p>
        </w:tc>
        <w:tc>
          <w:tcPr>
            <w:tcW w:w="78" w:type="dxa"/>
            <w:tcBorders/>
            <w:shd w:fill="CCEEFF" w:val="clear"/>
            <w:vAlign w:val="center"/>
          </w:tcPr>
          <w:p>
            <w:pPr>
              <w:pStyle w:val="TableContents"/>
              <w:bidi w:val="0"/>
              <w:spacing w:before="0" w:after="283"/>
              <w:ind w:left="0" w:right="0" w:hanging="180"/>
              <w:jc w:val="left"/>
              <w:rPr/>
            </w:pPr>
            <w:r>
              <w:rPr/>
              <w:t> </w:t>
            </w:r>
          </w:p>
        </w:tc>
      </w:tr>
      <w:tr>
        <w:trPr/>
        <w:tc>
          <w:tcPr>
            <w:tcW w:w="1622" w:type="dxa"/>
            <w:tcBorders/>
            <w:vAlign w:val="center"/>
          </w:tcPr>
          <w:p>
            <w:pPr>
              <w:pStyle w:val="TableContents"/>
              <w:bidi w:val="0"/>
              <w:spacing w:before="0" w:after="283"/>
              <w:jc w:val="left"/>
              <w:rPr/>
            </w:pPr>
            <w:r>
              <w:rPr/>
              <w:t>Sale of common stock for cash, net of offering costs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1,989,676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right"/>
              <w:rPr/>
            </w:pPr>
            <w:r>
              <w:rPr/>
              <w:t>198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6,383,443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390"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6,383,641</w:t>
            </w:r>
          </w:p>
        </w:tc>
        <w:tc>
          <w:tcPr>
            <w:tcW w:w="78" w:type="dxa"/>
            <w:tcBorders/>
            <w:vAlign w:val="center"/>
          </w:tcPr>
          <w:p>
            <w:pPr>
              <w:pStyle w:val="TableContents"/>
              <w:bidi w:val="0"/>
              <w:spacing w:before="0" w:after="283"/>
              <w:ind w:left="0" w:right="0" w:hanging="180"/>
              <w:jc w:val="left"/>
              <w:rPr/>
            </w:pPr>
            <w:r>
              <w:rPr/>
              <w:t> </w:t>
            </w:r>
          </w:p>
        </w:tc>
      </w:tr>
      <w:tr>
        <w:trPr/>
        <w:tc>
          <w:tcPr>
            <w:tcW w:w="1622"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(12,462,438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(12,462,438</w:t>
            </w:r>
          </w:p>
        </w:tc>
        <w:tc>
          <w:tcPr>
            <w:tcW w:w="78" w:type="dxa"/>
            <w:tcBorders/>
            <w:shd w:fill="CCEEFF" w:val="clear"/>
            <w:vAlign w:val="center"/>
          </w:tcPr>
          <w:p>
            <w:pPr>
              <w:pStyle w:val="TableContents"/>
              <w:bidi w:val="0"/>
              <w:spacing w:before="0" w:after="283"/>
              <w:ind w:left="0" w:right="0" w:hanging="180"/>
              <w:jc w:val="left"/>
              <w:rPr/>
            </w:pPr>
            <w:r>
              <w:rPr/>
              <w:t>)</w:t>
            </w:r>
          </w:p>
        </w:tc>
      </w:tr>
      <w:tr>
        <w:trPr/>
        <w:tc>
          <w:tcPr>
            <w:tcW w:w="1622" w:type="dxa"/>
            <w:tcBorders/>
            <w:vAlign w:val="center"/>
          </w:tcPr>
          <w:p>
            <w:pPr>
              <w:pStyle w:val="TableContents"/>
              <w:bidi w:val="0"/>
              <w:spacing w:before="0" w:after="283"/>
              <w:jc w:val="left"/>
              <w:rPr/>
            </w:pPr>
            <w:r>
              <w:rPr/>
              <w:t>Foreign currency translation</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tcMar>
              <w:bottom w:w="28" w:type="dxa"/>
            </w:tcMar>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bottom w:val="single" w:sz="12" w:space="0" w:color="000000"/>
            </w:tcBorders>
            <w:tcMar>
              <w:bottom w:w="28" w:type="dxa"/>
            </w:tcMar>
            <w:vAlign w:val="center"/>
          </w:tcPr>
          <w:p>
            <w:pPr>
              <w:pStyle w:val="TableContents"/>
              <w:bidi w:val="0"/>
              <w:spacing w:before="0" w:after="283"/>
              <w:jc w:val="left"/>
              <w:rPr/>
            </w:pPr>
            <w:r>
              <w:rPr/>
              <w:t> </w:t>
            </w:r>
          </w:p>
        </w:tc>
        <w:tc>
          <w:tcPr>
            <w:tcW w:w="688" w:type="dxa"/>
            <w:tcBorders>
              <w:bottom w:val="single" w:sz="12" w:space="0" w:color="000000"/>
            </w:tcBorders>
            <w:tcMar>
              <w:bottom w:w="28" w:type="dxa"/>
            </w:tcMar>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tcMar>
              <w:bottom w:w="28" w:type="dxa"/>
            </w:tcMar>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tcMar>
              <w:bottom w:w="28" w:type="dxa"/>
            </w:tcMar>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90" w:type="dxa"/>
            <w:tcBorders>
              <w:bottom w:val="single" w:sz="12" w:space="0" w:color="000000"/>
            </w:tcBorders>
            <w:tcMar>
              <w:bottom w:w="28" w:type="dxa"/>
            </w:tcMar>
            <w:vAlign w:val="center"/>
          </w:tcPr>
          <w:p>
            <w:pPr>
              <w:pStyle w:val="TableContents"/>
              <w:bidi w:val="0"/>
              <w:spacing w:before="0" w:after="283"/>
              <w:jc w:val="right"/>
              <w:rPr/>
            </w:pPr>
            <w:r>
              <w:rPr/>
              <w:t>(156,137</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(156,137</w:t>
            </w:r>
          </w:p>
        </w:tc>
        <w:tc>
          <w:tcPr>
            <w:tcW w:w="78" w:type="dxa"/>
            <w:tcBorders/>
            <w:vAlign w:val="center"/>
          </w:tcPr>
          <w:p>
            <w:pPr>
              <w:pStyle w:val="TableContents"/>
              <w:bidi w:val="0"/>
              <w:spacing w:before="0" w:after="283"/>
              <w:ind w:left="0" w:right="0" w:hanging="180"/>
              <w:jc w:val="left"/>
              <w:rPr/>
            </w:pPr>
            <w:r>
              <w:rPr/>
              <w:t>)</w:t>
            </w:r>
          </w:p>
        </w:tc>
      </w:tr>
      <w:tr>
        <w:trPr/>
        <w:tc>
          <w:tcPr>
            <w:tcW w:w="1622" w:type="dxa"/>
            <w:tcBorders/>
            <w:shd w:fill="CCEEFF" w:val="clear"/>
            <w:vAlign w:val="center"/>
          </w:tcPr>
          <w:p>
            <w:pPr>
              <w:pStyle w:val="TableContents"/>
              <w:bidi w:val="0"/>
              <w:spacing w:before="0" w:after="283"/>
              <w:jc w:val="left"/>
              <w:rPr/>
            </w:pPr>
            <w:r>
              <w:rPr/>
              <w:t>Balances, June 30, 2023</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7,874,962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8" w:type="dxa"/>
            <w:tcBorders>
              <w:bottom w:val="double" w:sz="10" w:space="0" w:color="000000"/>
            </w:tcBorders>
            <w:shd w:fill="CCEEFF" w:val="clear"/>
            <w:tcMar>
              <w:bottom w:w="28" w:type="dxa"/>
            </w:tcMar>
            <w:vAlign w:val="center"/>
          </w:tcPr>
          <w:p>
            <w:pPr>
              <w:pStyle w:val="TableContents"/>
              <w:bidi w:val="0"/>
              <w:spacing w:before="0" w:after="283"/>
              <w:jc w:val="right"/>
              <w:rPr/>
            </w:pPr>
            <w:r>
              <w:rPr/>
              <w:t>786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162,155,308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10" w:space="0" w:color="000000"/>
            </w:tcBorders>
            <w:shd w:fill="CCEEFF" w:val="clear"/>
            <w:tcMar>
              <w:bottom w:w="28" w:type="dxa"/>
            </w:tcMar>
            <w:vAlign w:val="center"/>
          </w:tcPr>
          <w:p>
            <w:pPr>
              <w:pStyle w:val="TableContents"/>
              <w:bidi w:val="0"/>
              <w:spacing w:before="0" w:after="283"/>
              <w:jc w:val="right"/>
              <w:rPr/>
            </w:pPr>
            <w:r>
              <w:rPr/>
              <w:t>(152,592,597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90" w:type="dxa"/>
            <w:tcBorders>
              <w:bottom w:val="double" w:sz="10" w:space="0" w:color="000000"/>
            </w:tcBorders>
            <w:shd w:fill="CCEEFF" w:val="clear"/>
            <w:tcMar>
              <w:bottom w:w="28" w:type="dxa"/>
            </w:tcMar>
            <w:vAlign w:val="center"/>
          </w:tcPr>
          <w:p>
            <w:pPr>
              <w:pStyle w:val="TableContents"/>
              <w:bidi w:val="0"/>
              <w:spacing w:before="0" w:after="283"/>
              <w:jc w:val="right"/>
              <w:rPr/>
            </w:pPr>
            <w:r>
              <w:rPr/>
              <w:t>(208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9,563,289</w:t>
            </w:r>
          </w:p>
        </w:tc>
        <w:tc>
          <w:tcPr>
            <w:tcW w:w="78"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authID INC. AND SUBSIDIARIES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8870" w:type="dxa"/>
        <w:jc w:val="left"/>
        <w:tblInd w:w="0" w:type="dxa"/>
        <w:tblLayout w:type="fixed"/>
        <w:tblCellMar>
          <w:top w:w="0" w:type="dxa"/>
          <w:left w:w="0" w:type="dxa"/>
          <w:bottom w:w="0" w:type="dxa"/>
          <w:right w:w="0" w:type="dxa"/>
        </w:tblCellMar>
      </w:tblPr>
      <w:tblGrid>
        <w:gridCol w:w="6365"/>
        <w:gridCol w:w="60"/>
        <w:gridCol w:w="125"/>
        <w:gridCol w:w="950"/>
        <w:gridCol w:w="80"/>
        <w:gridCol w:w="60"/>
        <w:gridCol w:w="125"/>
        <w:gridCol w:w="1010"/>
        <w:gridCol w:w="95"/>
      </w:tblGrid>
      <w:tr>
        <w:trPr/>
        <w:tc>
          <w:tcPr>
            <w:tcW w:w="6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50" w:type="dxa"/>
            <w:gridSpan w:val="6"/>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Six Months Ended</w:t>
            </w:r>
          </w:p>
        </w:tc>
        <w:tc>
          <w:tcPr>
            <w:tcW w:w="95" w:type="dxa"/>
            <w:tcBorders/>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5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June 30,</w:t>
            </w:r>
          </w:p>
        </w:tc>
        <w:tc>
          <w:tcPr>
            <w:tcW w:w="95" w:type="dxa"/>
            <w:tcBorders/>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2023</w:t>
            </w:r>
          </w:p>
        </w:tc>
        <w:tc>
          <w:tcPr>
            <w:tcW w:w="95" w:type="dxa"/>
            <w:tcBorders/>
            <w:vAlign w:val="center"/>
          </w:tcPr>
          <w:p>
            <w:pPr>
              <w:pStyle w:val="TableContents"/>
              <w:bidi w:val="0"/>
              <w:spacing w:before="0" w:after="283"/>
              <w:ind w:left="0" w:right="0" w:hanging="180"/>
              <w:jc w:val="left"/>
              <w:rPr/>
            </w:pPr>
            <w:r>
              <w:rPr/>
              <w:t> </w:t>
            </w:r>
          </w:p>
        </w:tc>
      </w:tr>
      <w:tr>
        <w:trPr/>
        <w:tc>
          <w:tcPr>
            <w:tcW w:w="6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FLOWS FROM OPERATING ACTIVITIES:</w:t>
            </w:r>
          </w:p>
        </w:tc>
        <w:tc>
          <w:tcPr>
            <w:tcW w:w="6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ind w:left="0" w:right="0" w:hanging="180"/>
              <w:jc w:val="left"/>
              <w:rPr/>
            </w:pPr>
            <w:r>
              <w:rPr/>
              <w:t> </w:t>
            </w:r>
          </w:p>
        </w:tc>
      </w:tr>
      <w:tr>
        <w:trPr/>
        <w:tc>
          <w:tcPr>
            <w:tcW w:w="63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loss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(6,318,818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(12,462,438</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6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Adjustments to reconcile net loss with cash flows from operations: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ind w:left="0" w:right="0" w:hanging="180"/>
              <w:jc w:val="left"/>
              <w:rPr/>
            </w:pPr>
            <w:r>
              <w:rPr/>
              <w:t> </w:t>
            </w:r>
          </w:p>
        </w:tc>
      </w:tr>
      <w:tr>
        <w:trPr/>
        <w:tc>
          <w:tcPr>
            <w:tcW w:w="63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1,448,675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(1,542,902</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6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Depreciation and amortization expense</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87,412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152,036</w:t>
            </w:r>
          </w:p>
        </w:tc>
        <w:tc>
          <w:tcPr>
            <w:tcW w:w="95" w:type="dxa"/>
            <w:tcBorders/>
            <w:vAlign w:val="center"/>
          </w:tcPr>
          <w:p>
            <w:pPr>
              <w:pStyle w:val="TableContents"/>
              <w:bidi w:val="0"/>
              <w:spacing w:before="0" w:after="283"/>
              <w:ind w:left="0" w:right="0" w:hanging="180"/>
              <w:jc w:val="left"/>
              <w:rPr/>
            </w:pPr>
            <w:r>
              <w:rPr/>
              <w:t> </w:t>
            </w:r>
          </w:p>
        </w:tc>
      </w:tr>
      <w:tr>
        <w:trPr/>
        <w:tc>
          <w:tcPr>
            <w:tcW w:w="63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Amortization of debt discounts and issuance costs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689,305</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6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Non-cash recruiting fees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438,000</w:t>
            </w:r>
          </w:p>
        </w:tc>
        <w:tc>
          <w:tcPr>
            <w:tcW w:w="95" w:type="dxa"/>
            <w:tcBorders/>
            <w:vAlign w:val="center"/>
          </w:tcPr>
          <w:p>
            <w:pPr>
              <w:pStyle w:val="TableContents"/>
              <w:bidi w:val="0"/>
              <w:spacing w:before="0" w:after="283"/>
              <w:ind w:left="0" w:right="0" w:hanging="180"/>
              <w:jc w:val="left"/>
              <w:rPr/>
            </w:pPr>
            <w:r>
              <w:rPr/>
              <w:t> </w:t>
            </w:r>
          </w:p>
        </w:tc>
      </w:tr>
      <w:tr>
        <w:trPr/>
        <w:tc>
          <w:tcPr>
            <w:tcW w:w="63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Shares issued in lieu of interest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387,578</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6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Gain from sale of discontinued operation</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(216,069</w:t>
            </w:r>
          </w:p>
        </w:tc>
        <w:tc>
          <w:tcPr>
            <w:tcW w:w="95"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63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Loss on debt extinguishment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380,741</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6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Conversion expense</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7,476,000</w:t>
            </w:r>
          </w:p>
        </w:tc>
        <w:tc>
          <w:tcPr>
            <w:tcW w:w="95" w:type="dxa"/>
            <w:tcBorders/>
            <w:vAlign w:val="center"/>
          </w:tcPr>
          <w:p>
            <w:pPr>
              <w:pStyle w:val="TableContents"/>
              <w:bidi w:val="0"/>
              <w:spacing w:before="0" w:after="283"/>
              <w:ind w:left="0" w:right="0" w:hanging="180"/>
              <w:jc w:val="left"/>
              <w:rPr/>
            </w:pPr>
            <w:r>
              <w:rPr/>
              <w:t> </w:t>
            </w:r>
          </w:p>
        </w:tc>
      </w:tr>
      <w:tr>
        <w:trPr/>
        <w:tc>
          <w:tcPr>
            <w:tcW w:w="63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6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Accounts receivable</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(101,390</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219,684</w:t>
            </w:r>
          </w:p>
        </w:tc>
        <w:tc>
          <w:tcPr>
            <w:tcW w:w="95" w:type="dxa"/>
            <w:tcBorders/>
            <w:vAlign w:val="center"/>
          </w:tcPr>
          <w:p>
            <w:pPr>
              <w:pStyle w:val="TableContents"/>
              <w:bidi w:val="0"/>
              <w:spacing w:before="0" w:after="283"/>
              <w:ind w:left="0" w:right="0" w:hanging="180"/>
              <w:jc w:val="left"/>
              <w:rPr/>
            </w:pPr>
            <w:r>
              <w:rPr/>
              <w:t> </w:t>
            </w:r>
          </w:p>
        </w:tc>
      </w:tr>
      <w:tr>
        <w:trPr/>
        <w:tc>
          <w:tcPr>
            <w:tcW w:w="63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Deferred contract costs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(76,973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6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current assets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(497,379</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(136,564</w:t>
            </w:r>
          </w:p>
        </w:tc>
        <w:tc>
          <w:tcPr>
            <w:tcW w:w="95"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63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Accounts payable and accrued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(411,552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63,546</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6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Deferred revenue</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112,144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(22,211</w:t>
            </w:r>
          </w:p>
        </w:tc>
        <w:tc>
          <w:tcPr>
            <w:tcW w:w="95"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63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accrued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290,000</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6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Adjustments relating to discontinued operations</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110,064</w:t>
            </w:r>
          </w:p>
        </w:tc>
        <w:tc>
          <w:tcPr>
            <w:tcW w:w="95" w:type="dxa"/>
            <w:tcBorders/>
            <w:vAlign w:val="center"/>
          </w:tcPr>
          <w:p>
            <w:pPr>
              <w:pStyle w:val="TableContents"/>
              <w:bidi w:val="0"/>
              <w:spacing w:before="0" w:after="283"/>
              <w:ind w:left="0" w:right="0" w:hanging="180"/>
              <w:jc w:val="left"/>
              <w:rPr/>
            </w:pPr>
            <w:r>
              <w:rPr/>
              <w:t> </w:t>
            </w:r>
          </w:p>
        </w:tc>
      </w:tr>
      <w:tr>
        <w:trPr/>
        <w:tc>
          <w:tcPr>
            <w:tcW w:w="63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(5,749,651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(4,173,230</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6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ind w:left="0" w:right="0" w:hanging="180"/>
              <w:jc w:val="left"/>
              <w:rPr/>
            </w:pPr>
            <w:r>
              <w:rPr/>
              <w:t> </w:t>
            </w:r>
          </w:p>
        </w:tc>
      </w:tr>
      <w:tr>
        <w:trPr/>
        <w:tc>
          <w:tcPr>
            <w:tcW w:w="63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6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Purchase of intangible assets</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(15,582</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ind w:left="0" w:right="0" w:hanging="180"/>
              <w:jc w:val="left"/>
              <w:rPr/>
            </w:pPr>
            <w:r>
              <w:rPr/>
              <w:t> </w:t>
            </w:r>
          </w:p>
        </w:tc>
      </w:tr>
      <w:tr>
        <w:trPr/>
        <w:tc>
          <w:tcPr>
            <w:tcW w:w="63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(15,582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6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ind w:left="0" w:right="0" w:hanging="180"/>
              <w:jc w:val="left"/>
              <w:rPr/>
            </w:pPr>
            <w:r>
              <w:rPr/>
              <w:t> </w:t>
            </w:r>
          </w:p>
        </w:tc>
      </w:tr>
      <w:tr>
        <w:trPr/>
        <w:tc>
          <w:tcPr>
            <w:tcW w:w="63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6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Proceeds from sale of common stock, net of offering costs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10,001,398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6,383,641</w:t>
            </w:r>
          </w:p>
        </w:tc>
        <w:tc>
          <w:tcPr>
            <w:tcW w:w="95" w:type="dxa"/>
            <w:tcBorders/>
            <w:vAlign w:val="center"/>
          </w:tcPr>
          <w:p>
            <w:pPr>
              <w:pStyle w:val="TableContents"/>
              <w:bidi w:val="0"/>
              <w:spacing w:before="0" w:after="283"/>
              <w:ind w:left="0" w:right="0" w:hanging="180"/>
              <w:jc w:val="left"/>
              <w:rPr/>
            </w:pPr>
            <w:r>
              <w:rPr/>
              <w:t> </w:t>
            </w:r>
          </w:p>
        </w:tc>
      </w:tr>
      <w:tr>
        <w:trPr/>
        <w:tc>
          <w:tcPr>
            <w:tcW w:w="63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Credit facility drawdown, net of issuance costs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543,760</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6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cash flows from financing activities</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10,001,398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6,927,401</w:t>
            </w:r>
          </w:p>
        </w:tc>
        <w:tc>
          <w:tcPr>
            <w:tcW w:w="95" w:type="dxa"/>
            <w:tcBorders/>
            <w:vAlign w:val="center"/>
          </w:tcPr>
          <w:p>
            <w:pPr>
              <w:pStyle w:val="TableContents"/>
              <w:bidi w:val="0"/>
              <w:spacing w:before="0" w:after="283"/>
              <w:ind w:left="0" w:right="0" w:hanging="180"/>
              <w:jc w:val="left"/>
              <w:rPr/>
            </w:pPr>
            <w:r>
              <w:rPr/>
              <w:t> </w:t>
            </w:r>
          </w:p>
        </w:tc>
      </w:tr>
      <w:tr>
        <w:trPr/>
        <w:tc>
          <w:tcPr>
            <w:tcW w:w="6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6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of Foreign Currencies</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(5,871</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(12,206</w:t>
            </w:r>
          </w:p>
        </w:tc>
        <w:tc>
          <w:tcPr>
            <w:tcW w:w="95"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6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6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Change in Cash</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4,230,294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2,741,965</w:t>
            </w:r>
          </w:p>
        </w:tc>
        <w:tc>
          <w:tcPr>
            <w:tcW w:w="95" w:type="dxa"/>
            <w:tcBorders/>
            <w:vAlign w:val="center"/>
          </w:tcPr>
          <w:p>
            <w:pPr>
              <w:pStyle w:val="TableContents"/>
              <w:bidi w:val="0"/>
              <w:spacing w:before="0" w:after="283"/>
              <w:ind w:left="0" w:right="0" w:hanging="180"/>
              <w:jc w:val="left"/>
              <w:rPr/>
            </w:pPr>
            <w:r>
              <w:rPr/>
              <w:t> </w:t>
            </w:r>
          </w:p>
        </w:tc>
      </w:tr>
      <w:tr>
        <w:trPr/>
        <w:tc>
          <w:tcPr>
            <w:tcW w:w="63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Beginning of the Period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10,177,099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3,237,106</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6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Beginning of the Period - Discontinued Operations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2,703</w:t>
            </w:r>
          </w:p>
        </w:tc>
        <w:tc>
          <w:tcPr>
            <w:tcW w:w="95" w:type="dxa"/>
            <w:tcBorders/>
            <w:vAlign w:val="center"/>
          </w:tcPr>
          <w:p>
            <w:pPr>
              <w:pStyle w:val="TableContents"/>
              <w:bidi w:val="0"/>
              <w:spacing w:before="0" w:after="283"/>
              <w:ind w:left="0" w:right="0" w:hanging="180"/>
              <w:jc w:val="left"/>
              <w:rPr/>
            </w:pPr>
            <w:r>
              <w:rPr/>
              <w:t> </w:t>
            </w:r>
          </w:p>
        </w:tc>
      </w:tr>
      <w:tr>
        <w:trPr/>
        <w:tc>
          <w:tcPr>
            <w:tcW w:w="63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End of the Period - Discontinued Operations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6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End of the Period</w:t>
            </w:r>
          </w:p>
        </w:tc>
        <w:tc>
          <w:tcPr>
            <w:tcW w:w="60" w:type="dxa"/>
            <w:tcBorders/>
            <w:vAlign w:val="center"/>
          </w:tcPr>
          <w:p>
            <w:pPr>
              <w:pStyle w:val="TableContents"/>
              <w:bidi w:val="0"/>
              <w:spacing w:before="0" w:after="283"/>
              <w:jc w:val="right"/>
              <w:rPr/>
            </w:pPr>
            <w:r>
              <w:rPr/>
              <w:t> </w:t>
            </w:r>
          </w:p>
        </w:tc>
        <w:tc>
          <w:tcPr>
            <w:tcW w:w="125" w:type="dxa"/>
            <w:tcBorders>
              <w:bottom w:val="doub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0" w:type="dxa"/>
            <w:tcBorders>
              <w:bottom w:val="doub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14,407,393</w:t>
            </w:r>
          </w:p>
        </w:tc>
        <w:tc>
          <w:tcPr>
            <w:tcW w:w="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125" w:type="dxa"/>
            <w:tcBorders>
              <w:bottom w:val="doub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010" w:type="dxa"/>
            <w:tcBorders>
              <w:bottom w:val="doub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5,981,773</w:t>
            </w:r>
          </w:p>
        </w:tc>
        <w:tc>
          <w:tcPr>
            <w:tcW w:w="95" w:type="dxa"/>
            <w:tcBorders/>
            <w:vAlign w:val="center"/>
          </w:tcPr>
          <w:p>
            <w:pPr>
              <w:pStyle w:val="TableContents"/>
              <w:bidi w:val="0"/>
              <w:spacing w:before="0" w:after="283"/>
              <w:ind w:left="0" w:right="0" w:hanging="180"/>
              <w:jc w:val="right"/>
              <w:rPr/>
            </w:pPr>
            <w:r>
              <w:rPr/>
              <w:t> </w:t>
            </w:r>
          </w:p>
        </w:tc>
      </w:tr>
      <w:tr>
        <w:trPr/>
        <w:tc>
          <w:tcPr>
            <w:tcW w:w="6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6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Supplemental Disclosure of Cash Flow Information:</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ind w:left="0" w:right="0" w:hanging="180"/>
              <w:jc w:val="left"/>
              <w:rPr/>
            </w:pPr>
            <w:r>
              <w:rPr/>
              <w:t> </w:t>
            </w:r>
          </w:p>
        </w:tc>
      </w:tr>
      <w:tr>
        <w:trPr/>
        <w:tc>
          <w:tcPr>
            <w:tcW w:w="63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paid for interest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15,276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6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paid for income taxes - discontinued operations</w:t>
            </w:r>
          </w:p>
        </w:tc>
        <w:tc>
          <w:tcPr>
            <w:tcW w:w="60" w:type="dxa"/>
            <w:tcBorders/>
            <w:vAlign w:val="center"/>
          </w:tcPr>
          <w:p>
            <w:pPr>
              <w:pStyle w:val="TableContents"/>
              <w:bidi w:val="0"/>
              <w:spacing w:before="0" w:after="283"/>
              <w:jc w:val="left"/>
              <w:rPr/>
            </w:pPr>
            <w:r>
              <w:rPr/>
              <w:t> </w:t>
            </w:r>
          </w:p>
        </w:tc>
        <w:tc>
          <w:tcPr>
            <w:tcW w:w="125"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10" w:space="0" w:color="000000"/>
            </w:tcBorders>
            <w:tcMar>
              <w:bottom w:w="28" w:type="dxa"/>
            </w:tcMar>
            <w:vAlign w:val="center"/>
          </w:tcPr>
          <w:p>
            <w:pPr>
              <w:pStyle w:val="TableContents"/>
              <w:bidi w:val="0"/>
              <w:spacing w:before="0" w:after="283"/>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364</w:t>
            </w:r>
          </w:p>
        </w:tc>
        <w:tc>
          <w:tcPr>
            <w:tcW w:w="95" w:type="dxa"/>
            <w:tcBorders/>
            <w:vAlign w:val="center"/>
          </w:tcPr>
          <w:p>
            <w:pPr>
              <w:pStyle w:val="TableContents"/>
              <w:bidi w:val="0"/>
              <w:spacing w:before="0" w:after="283"/>
              <w:ind w:left="0" w:right="0" w:hanging="180"/>
              <w:jc w:val="left"/>
              <w:rPr/>
            </w:pPr>
            <w:r>
              <w:rPr/>
              <w:t> </w:t>
            </w:r>
          </w:p>
        </w:tc>
      </w:tr>
      <w:tr>
        <w:trPr/>
        <w:tc>
          <w:tcPr>
            <w:tcW w:w="63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paid for income taxes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3,255</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6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paid for income taxes - discontinued operations</w:t>
            </w:r>
          </w:p>
        </w:tc>
        <w:tc>
          <w:tcPr>
            <w:tcW w:w="60" w:type="dxa"/>
            <w:tcBorders/>
            <w:vAlign w:val="center"/>
          </w:tcPr>
          <w:p>
            <w:pPr>
              <w:pStyle w:val="TableContents"/>
              <w:bidi w:val="0"/>
              <w:spacing w:before="0" w:after="283"/>
              <w:jc w:val="left"/>
              <w:rPr/>
            </w:pPr>
            <w:r>
              <w:rPr/>
              <w:t> </w:t>
            </w:r>
          </w:p>
        </w:tc>
        <w:tc>
          <w:tcPr>
            <w:tcW w:w="125"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10" w:space="0" w:color="000000"/>
            </w:tcBorders>
            <w:tcMar>
              <w:bottom w:w="28" w:type="dxa"/>
            </w:tcMar>
            <w:vAlign w:val="center"/>
          </w:tcPr>
          <w:p>
            <w:pPr>
              <w:pStyle w:val="TableContents"/>
              <w:bidi w:val="0"/>
              <w:spacing w:before="0" w:after="283"/>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1,254</w:t>
            </w:r>
          </w:p>
        </w:tc>
        <w:tc>
          <w:tcPr>
            <w:tcW w:w="95" w:type="dxa"/>
            <w:tcBorders/>
            <w:vAlign w:val="center"/>
          </w:tcPr>
          <w:p>
            <w:pPr>
              <w:pStyle w:val="TableContents"/>
              <w:bidi w:val="0"/>
              <w:spacing w:before="0" w:after="283"/>
              <w:ind w:left="0" w:right="0" w:hanging="180"/>
              <w:jc w:val="left"/>
              <w:rPr/>
            </w:pPr>
            <w:r>
              <w:rPr/>
              <w:t> </w:t>
            </w:r>
          </w:p>
        </w:tc>
      </w:tr>
      <w:tr>
        <w:trPr/>
        <w:tc>
          <w:tcPr>
            <w:tcW w:w="6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of Non-cash Investing and Financing Activities: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ind w:left="0" w:right="0" w:hanging="180"/>
              <w:jc w:val="left"/>
              <w:rPr/>
            </w:pPr>
            <w:r>
              <w:rPr/>
              <w:t> </w:t>
            </w:r>
          </w:p>
        </w:tc>
      </w:tr>
      <w:tr>
        <w:trPr/>
        <w:tc>
          <w:tcPr>
            <w:tcW w:w="63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Conversion of convertible note payable and accrued interest to common stock</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7,856,011</w:t>
            </w:r>
          </w:p>
        </w:tc>
        <w:tc>
          <w:tcPr>
            <w:tcW w:w="95" w:type="dxa"/>
            <w:tcBorders/>
            <w:shd w:fill="CCEEFF" w:val="clear"/>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Conversion of credit facility borrowings into common stock</w:t>
            </w:r>
          </w:p>
        </w:tc>
        <w:tc>
          <w:tcPr>
            <w:tcW w:w="60" w:type="dxa"/>
            <w:tcBorders/>
            <w:vAlign w:val="center"/>
          </w:tcPr>
          <w:p>
            <w:pPr>
              <w:pStyle w:val="TableContents"/>
              <w:bidi w:val="0"/>
              <w:spacing w:before="0" w:after="283"/>
              <w:jc w:val="left"/>
              <w:rPr/>
            </w:pPr>
            <w:r>
              <w:rPr/>
              <w:t> </w:t>
            </w:r>
          </w:p>
        </w:tc>
        <w:tc>
          <w:tcPr>
            <w:tcW w:w="125"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10" w:space="0" w:color="000000"/>
            </w:tcBorders>
            <w:tcMar>
              <w:bottom w:w="28" w:type="dxa"/>
            </w:tcMar>
            <w:vAlign w:val="center"/>
          </w:tcPr>
          <w:p>
            <w:pPr>
              <w:pStyle w:val="TableContents"/>
              <w:bidi w:val="0"/>
              <w:spacing w:before="0" w:after="283"/>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900,000</w:t>
            </w:r>
          </w:p>
        </w:tc>
        <w:tc>
          <w:tcPr>
            <w:tcW w:w="95" w:type="dxa"/>
            <w:tcBorders/>
            <w:vAlign w:val="center"/>
          </w:tcPr>
          <w:p>
            <w:pPr>
              <w:pStyle w:val="TableContents"/>
              <w:bidi w:val="0"/>
              <w:spacing w:before="0" w:after="283"/>
              <w:ind w:left="0" w:right="0" w:hanging="180"/>
              <w:jc w:val="left"/>
              <w:rPr/>
            </w:pPr>
            <w:r>
              <w:rPr/>
              <w:t> </w:t>
            </w:r>
          </w:p>
        </w:tc>
      </w:tr>
      <w:tr>
        <w:trPr/>
        <w:tc>
          <w:tcPr>
            <w:tcW w:w="63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Warrants for services with the sale of common stock</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877,392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725,889</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6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Cashless option and warrant exercises</w:t>
            </w:r>
          </w:p>
        </w:tc>
        <w:tc>
          <w:tcPr>
            <w:tcW w:w="60" w:type="dxa"/>
            <w:tcBorders/>
            <w:vAlign w:val="center"/>
          </w:tcPr>
          <w:p>
            <w:pPr>
              <w:pStyle w:val="TableContents"/>
              <w:bidi w:val="0"/>
              <w:spacing w:before="0" w:after="283"/>
              <w:jc w:val="left"/>
              <w:rPr/>
            </w:pPr>
            <w:r>
              <w:rPr/>
              <w:t> </w:t>
            </w:r>
          </w:p>
        </w:tc>
        <w:tc>
          <w:tcPr>
            <w:tcW w:w="125"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10" w:space="0" w:color="000000"/>
            </w:tcBorders>
            <w:tcMar>
              <w:bottom w:w="28" w:type="dxa"/>
            </w:tcMar>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condensed consolidated financial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9" w:name="a_008"/>
      <w:bookmarkEnd w:id="9"/>
      <w:r>
        <w:rPr>
          <w:rFonts w:ascii="Times New Roman;Times;Serif" w:hAnsi="Times New Roman;Times;Serif"/>
          <w:b/>
          <w:i w:val="false"/>
          <w:caps w:val="false"/>
          <w:smallCaps w:val="false"/>
          <w:sz w:val="20"/>
        </w:rPr>
        <w:t>authID INC. AND SUBSIDIARIES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 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opinion of Management, the accompanying unaudited condensed consolidated financial statements are prepared in accordance with instructions for Form 10-Q, include all adjustments (consisting only of normal recurring accruals) which we considered as necessary for a fair presentation of the results for the periods presented. Certain information and footnote disclosures normally included in the consolidated financial statements prepared in accordance with accounting principles generally accepted in the United States of America have been condensed or omitted. It is suggested that these condensed consolidated financial statements be read in conjunction with the Company’s Annual Report on Form 10-K for the year ended December 31, 2023. The results of operations for the three and six months ended June 30, 2024 are not necessarily indicative of the results to be expected for future periods or the full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condensed consolidated financial statements include the accounts of authID Inc. and its wholly-owned subsidiaries MultiPay S.A.S., ID Solutions, Inc., FIN Holdings Inc., Ipsidy Enterprises Limited and authID Gaming Inc. (collectively the “Company”). All significant intercompany balances and transactions have been eliminated in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2024, the Company had an accumulated deficit of approximately $165.8 million. For the three and six months ended June 30, 2024, the Company earned revenue from continuing operations of approximately $0.3 million and $0.4 million, used approximately $2.8 million and $5.7 million to fund its operations, and incurred a net loss of approximately $3.3 million and $6.3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continuation of the Company as a going concern is dependent upon financial support from the Company’s stockholders, the ability of the Company to obtain additional debt or equity financing to continue operations, the Company’s ability to generate sufficient cash flows from operations, successfully locating and negotiating with other business entities for potential acquisition, and acquiring new clients to generate revenues and cash flows. In June 2024, the Company raised approximately $10.0 million after expenses from existing and new stockholders through the sale of Common Stock pursuant to a registered direct offering. Going forward, the Company plans to raise additional funds to support its operations and investments as it seeks to create a sustainable organization. Our growth-oriented business plan to offer products to our customers will require continued capital investment and there is no guarantee that such financing will be available, or available on acceptable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assurance that the Company will ever be profitable. These unaudited condensed consolidated financial statements do not include any adjustments to reflect the possible future effects on the recoverability and classification of assets or the amounts and classifications of liabilities that may result should the Company be unable to continue as a going concern. As there can be no assurance that the Company will be able to achieve positive cash flows (become cash flow positive) and raise sufficient capital to maintain operations, there is substantial doubt about the Company’s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Reclassification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prior year expenses have been reclassified for consistency with the current year presentation. These reclassifications had no effect on the previously reported loss from continuing operations and management does not believe that this reclassification is material to the consolidated financial statements taken as a whole. Specifically, for the three and six months ended June 30, 2023, we reclassified approximately $64,000 and $93,000, respectively, in expenses from research and development expenses to 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Loss per Common Share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computes net loss per share in accordance with FASB ASC 260, “Earnings per Share”. ASC 260 requires presentation of both basic and diluted earnings per share (“EPS”) on the face of the statement of operations. Basic EPS is computed by dividing net loss available to common shareholders by the weighted average number of common shares outstanding during the period. Diluted EPS gives effect to all dilutive potential common shares outstanding during the period including stock options, using the treasury stock method, and convertible notes and stock warrants, using the if-converted method. In computing diluted EPS, the average stock price for the period is used in determining the number of shares assumed to be purchased from the exercise of stock options, warrants and conversion of convertible notes. Diluted EPS excludes all dilutive potential common shares if their effect is anti-dilutive. The following potentially dilutive securities were excluded from the calculation of diluted loss per share for the three and six months ended June 30, 2024 and 2023 because their effect was antidilutive:</w:t>
      </w:r>
    </w:p>
    <w:p>
      <w:pPr>
        <w:pStyle w:val="TextBody"/>
        <w:bidi w:val="0"/>
        <w:spacing w:before="0" w:after="0"/>
        <w:ind w:left="0" w:right="0" w:hanging="0"/>
        <w:jc w:val="both"/>
        <w:rPr>
          <w:caps w:val="false"/>
          <w:smallCaps w:val="false"/>
        </w:rPr>
      </w:pPr>
      <w:r>
        <w:rPr>
          <w:caps w:val="false"/>
          <w:smallCaps w:val="false"/>
        </w:rPr>
        <w:t> </w:t>
      </w:r>
    </w:p>
    <w:tbl>
      <w:tblPr>
        <w:tblW w:w="4830" w:type="dxa"/>
        <w:jc w:val="left"/>
        <w:tblInd w:w="0" w:type="dxa"/>
        <w:tblLayout w:type="fixed"/>
        <w:tblCellMar>
          <w:top w:w="0" w:type="dxa"/>
          <w:left w:w="0" w:type="dxa"/>
          <w:bottom w:w="28" w:type="dxa"/>
          <w:right w:w="0" w:type="dxa"/>
        </w:tblCellMar>
      </w:tblPr>
      <w:tblGrid>
        <w:gridCol w:w="2495"/>
        <w:gridCol w:w="60"/>
        <w:gridCol w:w="60"/>
        <w:gridCol w:w="980"/>
        <w:gridCol w:w="60"/>
        <w:gridCol w:w="60"/>
        <w:gridCol w:w="60"/>
        <w:gridCol w:w="980"/>
        <w:gridCol w:w="75"/>
      </w:tblGrid>
      <w:tr>
        <w:trPr/>
        <w:tc>
          <w:tcPr>
            <w:tcW w:w="2495" w:type="dxa"/>
            <w:tcBorders>
              <w:bottom w:val="single" w:sz="12" w:space="0" w:color="000000"/>
            </w:tcBorders>
            <w:vAlign w:val="center"/>
          </w:tcPr>
          <w:p>
            <w:pPr>
              <w:pStyle w:val="TableContents"/>
              <w:bidi w:val="0"/>
              <w:spacing w:before="0" w:after="283"/>
              <w:jc w:val="left"/>
              <w:rPr>
                <w:b/>
              </w:rPr>
            </w:pPr>
            <w:r>
              <w:rPr>
                <w:b/>
              </w:rPr>
              <w:t>Security</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12" w:space="0" w:color="000000"/>
            </w:tcBorders>
            <w:vAlign w:val="center"/>
          </w:tcPr>
          <w:p>
            <w:pPr>
              <w:pStyle w:val="TableContents"/>
              <w:bidi w:val="0"/>
              <w:spacing w:before="0" w:after="283"/>
              <w:jc w:val="center"/>
              <w:rPr>
                <w:b/>
              </w:rPr>
            </w:pPr>
            <w:r>
              <w:rPr>
                <w:b/>
              </w:rPr>
              <w:t>2024</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12" w:space="0" w:color="000000"/>
            </w:tcBorders>
            <w:vAlign w:val="center"/>
          </w:tcPr>
          <w:p>
            <w:pPr>
              <w:pStyle w:val="TableContents"/>
              <w:bidi w:val="0"/>
              <w:spacing w:before="0" w:after="283"/>
              <w:jc w:val="center"/>
              <w:rPr>
                <w:b/>
              </w:rPr>
            </w:pPr>
            <w:r>
              <w:rPr>
                <w:b/>
              </w:rPr>
              <w:t>2023</w:t>
            </w:r>
          </w:p>
        </w:tc>
        <w:tc>
          <w:tcPr>
            <w:tcW w:w="75" w:type="dxa"/>
            <w:tcBorders/>
            <w:tcMar>
              <w:bottom w:w="0" w:type="dxa"/>
            </w:tcMar>
            <w:vAlign w:val="center"/>
          </w:tcPr>
          <w:p>
            <w:pPr>
              <w:pStyle w:val="TableContents"/>
              <w:bidi w:val="0"/>
              <w:spacing w:before="0" w:after="283"/>
              <w:jc w:val="left"/>
              <w:rPr/>
            </w:pPr>
            <w:r>
              <w:rPr/>
              <w:t> </w:t>
            </w:r>
          </w:p>
        </w:tc>
      </w:tr>
      <w:tr>
        <w:trPr/>
        <w:tc>
          <w:tcPr>
            <w:tcW w:w="24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495" w:type="dxa"/>
            <w:tcBorders/>
            <w:shd w:fill="CCEEFF" w:val="clear"/>
            <w:tcMar>
              <w:bottom w:w="0" w:type="dxa"/>
            </w:tcMar>
            <w:vAlign w:val="center"/>
          </w:tcPr>
          <w:p>
            <w:pPr>
              <w:pStyle w:val="TableContents"/>
              <w:bidi w:val="0"/>
              <w:spacing w:before="0" w:after="283"/>
              <w:jc w:val="left"/>
              <w:rPr/>
            </w:pPr>
            <w:r>
              <w:rPr/>
              <w:t>Convertible notes payable</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8,277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8,277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495" w:type="dxa"/>
            <w:tcBorders/>
            <w:tcMar>
              <w:bottom w:w="0" w:type="dxa"/>
            </w:tcMar>
            <w:vAlign w:val="center"/>
          </w:tcPr>
          <w:p>
            <w:pPr>
              <w:pStyle w:val="TableContents"/>
              <w:bidi w:val="0"/>
              <w:spacing w:before="0" w:after="283"/>
              <w:jc w:val="left"/>
              <w:rPr/>
            </w:pPr>
            <w:r>
              <w:rPr/>
              <w:t>Warrants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283"/>
              <w:jc w:val="right"/>
              <w:rPr/>
            </w:pPr>
            <w:r>
              <w:rPr/>
              <w:t>697,446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283"/>
              <w:jc w:val="right"/>
              <w:rPr/>
            </w:pPr>
            <w:r>
              <w:rPr/>
              <w:t>497,895</w:t>
            </w:r>
          </w:p>
        </w:tc>
        <w:tc>
          <w:tcPr>
            <w:tcW w:w="75" w:type="dxa"/>
            <w:tcBorders/>
            <w:tcMar>
              <w:bottom w:w="0" w:type="dxa"/>
            </w:tcMar>
            <w:vAlign w:val="center"/>
          </w:tcPr>
          <w:p>
            <w:pPr>
              <w:pStyle w:val="TableContents"/>
              <w:bidi w:val="0"/>
              <w:spacing w:before="0" w:after="283"/>
              <w:jc w:val="left"/>
              <w:rPr/>
            </w:pPr>
            <w:r>
              <w:rPr/>
              <w:t> </w:t>
            </w:r>
          </w:p>
        </w:tc>
      </w:tr>
      <w:tr>
        <w:trPr/>
        <w:tc>
          <w:tcPr>
            <w:tcW w:w="2495" w:type="dxa"/>
            <w:tcBorders/>
            <w:shd w:fill="CCEEFF" w:val="clear"/>
            <w:tcMar>
              <w:bottom w:w="0" w:type="dxa"/>
            </w:tcMar>
            <w:vAlign w:val="center"/>
          </w:tcPr>
          <w:p>
            <w:pPr>
              <w:pStyle w:val="TableContents"/>
              <w:bidi w:val="0"/>
              <w:spacing w:before="0" w:after="283"/>
              <w:jc w:val="left"/>
              <w:rPr/>
            </w:pPr>
            <w:r>
              <w:rPr/>
              <w:t>Stock options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980" w:type="dxa"/>
            <w:tcBorders>
              <w:bottom w:val="single" w:sz="12" w:space="0" w:color="000000"/>
            </w:tcBorders>
            <w:shd w:fill="CCEEFF" w:val="clear"/>
            <w:vAlign w:val="center"/>
          </w:tcPr>
          <w:p>
            <w:pPr>
              <w:pStyle w:val="TableContents"/>
              <w:bidi w:val="0"/>
              <w:spacing w:before="0" w:after="283"/>
              <w:jc w:val="right"/>
              <w:rPr/>
            </w:pPr>
            <w:r>
              <w:rPr/>
              <w:t>1,852,819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980" w:type="dxa"/>
            <w:tcBorders>
              <w:bottom w:val="single" w:sz="12" w:space="0" w:color="000000"/>
            </w:tcBorders>
            <w:shd w:fill="CCEEFF" w:val="clear"/>
            <w:vAlign w:val="center"/>
          </w:tcPr>
          <w:p>
            <w:pPr>
              <w:pStyle w:val="TableContents"/>
              <w:bidi w:val="0"/>
              <w:spacing w:before="0" w:after="283"/>
              <w:jc w:val="right"/>
              <w:rPr/>
            </w:pPr>
            <w:r>
              <w:rPr/>
              <w:t>1,561,070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4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bottom w:val="double" w:sz="10" w:space="0" w:color="000000"/>
            </w:tcBorders>
            <w:vAlign w:val="center"/>
          </w:tcPr>
          <w:p>
            <w:pPr>
              <w:pStyle w:val="TableContents"/>
              <w:bidi w:val="0"/>
              <w:spacing w:before="0" w:after="283"/>
              <w:jc w:val="left"/>
              <w:rPr/>
            </w:pPr>
            <w:r>
              <w:rPr/>
              <w:t> </w:t>
            </w:r>
          </w:p>
        </w:tc>
        <w:tc>
          <w:tcPr>
            <w:tcW w:w="980" w:type="dxa"/>
            <w:tcBorders>
              <w:bottom w:val="double" w:sz="10" w:space="0" w:color="000000"/>
            </w:tcBorders>
            <w:vAlign w:val="center"/>
          </w:tcPr>
          <w:p>
            <w:pPr>
              <w:pStyle w:val="TableContents"/>
              <w:bidi w:val="0"/>
              <w:spacing w:before="0" w:after="283"/>
              <w:jc w:val="right"/>
              <w:rPr/>
            </w:pPr>
            <w:r>
              <w:rPr/>
              <w:t>2,558,542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bottom w:val="double" w:sz="10" w:space="0" w:color="000000"/>
            </w:tcBorders>
            <w:vAlign w:val="center"/>
          </w:tcPr>
          <w:p>
            <w:pPr>
              <w:pStyle w:val="TableContents"/>
              <w:bidi w:val="0"/>
              <w:spacing w:before="0" w:after="283"/>
              <w:jc w:val="left"/>
              <w:rPr/>
            </w:pPr>
            <w:r>
              <w:rPr/>
              <w:t> </w:t>
            </w:r>
          </w:p>
        </w:tc>
        <w:tc>
          <w:tcPr>
            <w:tcW w:w="980" w:type="dxa"/>
            <w:tcBorders>
              <w:bottom w:val="double" w:sz="10" w:space="0" w:color="000000"/>
            </w:tcBorders>
            <w:vAlign w:val="center"/>
          </w:tcPr>
          <w:p>
            <w:pPr>
              <w:pStyle w:val="TableContents"/>
              <w:bidi w:val="0"/>
              <w:spacing w:before="0" w:after="283"/>
              <w:jc w:val="right"/>
              <w:rPr/>
            </w:pPr>
            <w:r>
              <w:rPr/>
              <w:t>2,067,242</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Software License </w:t>
      </w:r>
      <w:r>
        <w:rPr>
          <w:rFonts w:ascii="Times New Roman;Times;Serif" w:hAnsi="Times New Roman;Times;Serif"/>
          <w:b w:val="false"/>
          <w:i w:val="false"/>
          <w:caps w:val="false"/>
          <w:smallCaps w:val="false"/>
          <w:sz w:val="20"/>
        </w:rPr>
        <w:t>– The Company recognizes revenue based on the identified performance obligations over the performance period for fixed consideration and / or variable fees generated. Variable fees are typically earned over time based on monthly users, transaction volumes or a monthly flat fee rate. We allocate the selling price in a contract which has multiple performance obligations based on the contract selling price that we believe represents a fair market price for the service rendered based on estimated standalone selling price. Transaction fees are billed monthly and are constrained to transactions incurred within the month.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contracts with minimum annual fees, the Company generally recognizes the amount of revenue ratably over the contract year and records contract assets for the amount in excess of monthly contract billings relating to variable contract consideration. For certain contracts, the Company enters into an agreement which stipulates a minimum annual fee which is generally due at the end of the contract year, in excess of the amount of monthly billings. The Company may also require milestone payments of the minimum annual fee. The amount of any billed fees in excess of revenue recognized is recorded as deferred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usage-based fees in excess of the minimum contract amount are charged to the customer and allocated to the annual period in which they are earned under the contract. At the beginning of each annual period in the contract, the Company estimates the variable amounts for the annual period subject to the constrained variable consideration (usage-based fees) and recognizes that amount on a time-elapsed basis over the annual period. At each reporting date within an annual period, the Company reassesses its estimate of the excess variable amounts for the annual period and updates the amount recognized on a time-elapsed basis over the remainder of the annual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deferred revenue contract liabilities of approximately $244,000 and $132,000 as of June 30, 2024 and December 31, 2023, respectively, for certain revenue that will be earned in future periods. All deferred revenue contract liabilities as of June 30, 2024 are expected to be earned over the next twelve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Concentration of Revenue and Accounts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2024, two customers represented 59% of revenue, respectively. For the six months ended June 30, 2023, one customer represented 47% of revenue. For the three months ended June 30, 2024, three customers represented 76% of revenue, respectively. For the three months ended June 30, 2023, one customer represented 51% of revenue. As of June 30, 2024, three customers accounted for 80% respectively, of accounts receivable. As of December 31, 2023, two customers accounted for 67%, respectively, of accounts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Remaining Performance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2024, the Company’s Remaining Performance Obligation (RPO) was $4.24 million, of which $0.24 million is held as deferred revenue and $4.00 million is related to other non-cancellable contracted amounts. The Company expects approximately 36% of the RPO to be recognized as revenue over the next twelve months ending June 30, 2025 based on contractual commitments and expected usage patterns. However, the amount and timing of revenue recognition are generally dependent upon customers’ future consumption, which is inherently variable at customers’ discretion. Furthermore, the Company does not have sufficient historical information to estimate the recognition of revenue due to its current operations and has approximated such amount based on discussions with the contracted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Deferred Contract Costs</w:t>
      </w:r>
      <w:r>
        <w:rPr>
          <w:rFonts w:ascii="Times New Roman;Times;Serif" w:hAnsi="Times New Roman;Times;Serif"/>
          <w:b w:val="false"/>
          <w:i w:val="false"/>
          <w:caps w:val="false"/>
          <w:smallCaps w:val="false"/>
          <w:sz w:val="20"/>
        </w:rPr>
        <w:t xml:space="preserve"> – We defer the portion of sales commission that is considered a cost of obtaining a new contract with a customer and amortize these deferred costs over the period of benefit. We expense the remaining sales commissions as incurred. The following table summarizes deferred contract cost activity for the six months ended June 30, 2024:</w:t>
      </w:r>
    </w:p>
    <w:p>
      <w:pPr>
        <w:pStyle w:val="TextBody"/>
        <w:bidi w:val="0"/>
        <w:spacing w:before="0" w:after="0"/>
        <w:ind w:left="0" w:right="0" w:hanging="0"/>
        <w:jc w:val="both"/>
        <w:rPr>
          <w:caps w:val="false"/>
          <w:smallCaps w:val="false"/>
        </w:rPr>
      </w:pPr>
      <w:r>
        <w:rPr>
          <w:caps w:val="false"/>
          <w:smallCaps w:val="false"/>
        </w:rPr>
        <w:t> </w:t>
      </w:r>
    </w:p>
    <w:tbl>
      <w:tblPr>
        <w:tblW w:w="5384" w:type="dxa"/>
        <w:jc w:val="left"/>
        <w:tblInd w:w="0" w:type="dxa"/>
        <w:tblLayout w:type="fixed"/>
        <w:tblCellMar>
          <w:top w:w="0" w:type="dxa"/>
          <w:left w:w="0" w:type="dxa"/>
          <w:bottom w:w="0" w:type="dxa"/>
          <w:right w:w="0" w:type="dxa"/>
        </w:tblCellMar>
      </w:tblPr>
      <w:tblGrid>
        <w:gridCol w:w="3665"/>
        <w:gridCol w:w="60"/>
        <w:gridCol w:w="230"/>
        <w:gridCol w:w="1319"/>
        <w:gridCol w:w="110"/>
      </w:tblGrid>
      <w:tr>
        <w:trPr/>
        <w:tc>
          <w:tcPr>
            <w:tcW w:w="36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49" w:type="dxa"/>
            <w:gridSpan w:val="2"/>
            <w:tcBorders/>
            <w:vAlign w:val="center"/>
          </w:tcPr>
          <w:p>
            <w:pPr>
              <w:pStyle w:val="TableContents"/>
              <w:bidi w:val="0"/>
              <w:spacing w:before="0" w:after="283"/>
              <w:jc w:val="center"/>
              <w:rPr>
                <w:b/>
              </w:rPr>
            </w:pPr>
            <w:r>
              <w:rPr>
                <w:b/>
              </w:rPr>
              <w:t>Deferred</w:t>
            </w:r>
          </w:p>
        </w:tc>
        <w:tc>
          <w:tcPr>
            <w:tcW w:w="110"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Contract Costs</w:t>
            </w:r>
          </w:p>
        </w:tc>
        <w:tc>
          <w:tcPr>
            <w:tcW w:w="110"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9"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283"/>
              <w:jc w:val="left"/>
              <w:rPr/>
            </w:pPr>
            <w:r>
              <w:rPr/>
              <w:t>Carrying Value at December 31, 2023</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w:t>
            </w:r>
          </w:p>
        </w:tc>
        <w:tc>
          <w:tcPr>
            <w:tcW w:w="1319" w:type="dxa"/>
            <w:tcBorders/>
            <w:shd w:fill="CCEEFF" w:val="clear"/>
            <w:vAlign w:val="center"/>
          </w:tcPr>
          <w:p>
            <w:pPr>
              <w:pStyle w:val="TableContents"/>
              <w:bidi w:val="0"/>
              <w:spacing w:before="0" w:after="283"/>
              <w:jc w:val="right"/>
              <w:rPr/>
            </w:pPr>
            <w:r>
              <w:rPr/>
              <w:t>157,300</w:t>
            </w:r>
          </w:p>
        </w:tc>
        <w:tc>
          <w:tcPr>
            <w:tcW w:w="110" w:type="dxa"/>
            <w:tcBorders/>
            <w:shd w:fill="CCEEFF" w:val="clear"/>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pPr>
            <w:r>
              <w:rPr/>
              <w:t>Additions</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319" w:type="dxa"/>
            <w:tcBorders/>
            <w:vAlign w:val="center"/>
          </w:tcPr>
          <w:p>
            <w:pPr>
              <w:pStyle w:val="TableContents"/>
              <w:bidi w:val="0"/>
              <w:spacing w:before="0" w:after="283"/>
              <w:jc w:val="right"/>
              <w:rPr/>
            </w:pPr>
            <w:r>
              <w:rPr/>
              <w:t>8,294</w:t>
            </w:r>
          </w:p>
        </w:tc>
        <w:tc>
          <w:tcPr>
            <w:tcW w:w="110" w:type="dxa"/>
            <w:tcBorders/>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283"/>
              <w:jc w:val="left"/>
              <w:rPr/>
            </w:pPr>
            <w:r>
              <w:rPr/>
              <w:t>Amortization</w:t>
            </w:r>
          </w:p>
        </w:tc>
        <w:tc>
          <w:tcPr>
            <w:tcW w:w="60" w:type="dxa"/>
            <w:tcBorders/>
            <w:shd w:fill="CCEEFF" w:val="clear"/>
            <w:vAlign w:val="center"/>
          </w:tcPr>
          <w:p>
            <w:pPr>
              <w:pStyle w:val="TableContents"/>
              <w:bidi w:val="0"/>
              <w:spacing w:before="0" w:after="283"/>
              <w:jc w:val="left"/>
              <w:rPr/>
            </w:pPr>
            <w:r>
              <w:rPr/>
              <w:t> </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19" w:type="dxa"/>
            <w:tcBorders>
              <w:bottom w:val="single" w:sz="12" w:space="0" w:color="000000"/>
            </w:tcBorders>
            <w:shd w:fill="CCEEFF" w:val="clear"/>
            <w:tcMar>
              <w:bottom w:w="28" w:type="dxa"/>
            </w:tcMar>
            <w:vAlign w:val="center"/>
          </w:tcPr>
          <w:p>
            <w:pPr>
              <w:pStyle w:val="TableContents"/>
              <w:bidi w:val="0"/>
              <w:spacing w:before="0" w:after="283"/>
              <w:jc w:val="right"/>
              <w:rPr/>
            </w:pPr>
            <w:r>
              <w:rPr/>
              <w:t>(8,859</w:t>
            </w:r>
          </w:p>
        </w:tc>
        <w:tc>
          <w:tcPr>
            <w:tcW w:w="110" w:type="dxa"/>
            <w:tcBorders/>
            <w:shd w:fill="CCEEFF" w:val="clear"/>
            <w:vAlign w:val="center"/>
          </w:tcPr>
          <w:p>
            <w:pPr>
              <w:pStyle w:val="TableContents"/>
              <w:bidi w:val="0"/>
              <w:spacing w:before="0" w:after="283"/>
              <w:jc w:val="left"/>
              <w:rPr/>
            </w:pPr>
            <w:r>
              <w:rPr/>
              <w:t>)</w:t>
            </w:r>
          </w:p>
        </w:tc>
      </w:tr>
      <w:tr>
        <w:trPr/>
        <w:tc>
          <w:tcPr>
            <w:tcW w:w="3665" w:type="dxa"/>
            <w:tcBorders/>
            <w:vAlign w:val="center"/>
          </w:tcPr>
          <w:p>
            <w:pPr>
              <w:pStyle w:val="TableContents"/>
              <w:bidi w:val="0"/>
              <w:spacing w:before="0" w:after="283"/>
              <w:jc w:val="left"/>
              <w:rPr/>
            </w:pPr>
            <w:r>
              <w:rPr/>
              <w:t>Carrying Value at June 30, 2024</w:t>
            </w:r>
          </w:p>
        </w:tc>
        <w:tc>
          <w:tcPr>
            <w:tcW w:w="60" w:type="dxa"/>
            <w:tcBorders/>
            <w:vAlign w:val="center"/>
          </w:tcPr>
          <w:p>
            <w:pPr>
              <w:pStyle w:val="TableContents"/>
              <w:bidi w:val="0"/>
              <w:spacing w:before="0" w:after="283"/>
              <w:jc w:val="left"/>
              <w:rPr/>
            </w:pPr>
            <w:r>
              <w:rPr/>
              <w:t> </w:t>
            </w:r>
          </w:p>
        </w:tc>
        <w:tc>
          <w:tcPr>
            <w:tcW w:w="230" w:type="dxa"/>
            <w:tcBorders>
              <w:bottom w:val="double" w:sz="10" w:space="0" w:color="000000"/>
            </w:tcBorders>
            <w:tcMar>
              <w:bottom w:w="28" w:type="dxa"/>
            </w:tcMar>
            <w:vAlign w:val="center"/>
          </w:tcPr>
          <w:p>
            <w:pPr>
              <w:pStyle w:val="TableContents"/>
              <w:bidi w:val="0"/>
              <w:spacing w:before="0" w:after="283"/>
              <w:jc w:val="left"/>
              <w:rPr/>
            </w:pPr>
            <w:r>
              <w:rPr/>
              <w:t>$</w:t>
            </w:r>
          </w:p>
        </w:tc>
        <w:tc>
          <w:tcPr>
            <w:tcW w:w="1319" w:type="dxa"/>
            <w:tcBorders>
              <w:bottom w:val="double" w:sz="10" w:space="0" w:color="000000"/>
            </w:tcBorders>
            <w:tcMar>
              <w:bottom w:w="28" w:type="dxa"/>
            </w:tcMar>
            <w:vAlign w:val="center"/>
          </w:tcPr>
          <w:p>
            <w:pPr>
              <w:pStyle w:val="TableContents"/>
              <w:bidi w:val="0"/>
              <w:spacing w:before="0" w:after="283"/>
              <w:jc w:val="right"/>
              <w:rPr/>
            </w:pPr>
            <w:r>
              <w:rPr/>
              <w:t>156,735</w:t>
            </w:r>
          </w:p>
        </w:tc>
        <w:tc>
          <w:tcPr>
            <w:tcW w:w="11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OTHER CURRENT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current assets consisted of the following at June 30, 2024 (unaudited) and December 31, 2023:</w:t>
      </w:r>
    </w:p>
    <w:p>
      <w:pPr>
        <w:pStyle w:val="TextBody"/>
        <w:bidi w:val="0"/>
        <w:spacing w:before="0" w:after="0"/>
        <w:ind w:left="0" w:right="0" w:hanging="0"/>
        <w:jc w:val="both"/>
        <w:rPr>
          <w:caps w:val="false"/>
          <w:smallCaps w:val="false"/>
        </w:rPr>
      </w:pPr>
      <w:r>
        <w:rPr>
          <w:caps w:val="false"/>
          <w:smallCaps w:val="false"/>
        </w:rPr>
        <w:t> </w:t>
      </w:r>
    </w:p>
    <w:tbl>
      <w:tblPr>
        <w:tblW w:w="5209" w:type="dxa"/>
        <w:jc w:val="left"/>
        <w:tblInd w:w="0" w:type="dxa"/>
        <w:tblLayout w:type="fixed"/>
        <w:tblCellMar>
          <w:top w:w="0" w:type="dxa"/>
          <w:left w:w="0" w:type="dxa"/>
          <w:bottom w:w="0" w:type="dxa"/>
          <w:right w:w="0" w:type="dxa"/>
        </w:tblCellMar>
      </w:tblPr>
      <w:tblGrid>
        <w:gridCol w:w="2600"/>
        <w:gridCol w:w="60"/>
        <w:gridCol w:w="140"/>
        <w:gridCol w:w="800"/>
        <w:gridCol w:w="60"/>
        <w:gridCol w:w="60"/>
        <w:gridCol w:w="209"/>
        <w:gridCol w:w="1205"/>
        <w:gridCol w:w="75"/>
      </w:tblGrid>
      <w:tr>
        <w:trPr/>
        <w:tc>
          <w:tcPr>
            <w:tcW w:w="26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283"/>
              <w:jc w:val="left"/>
              <w:rPr/>
            </w:pPr>
            <w:r>
              <w:rPr/>
              <w:t>Prepaid insurance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310,205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184,492</w:t>
            </w:r>
          </w:p>
        </w:tc>
        <w:tc>
          <w:tcPr>
            <w:tcW w:w="75" w:type="dxa"/>
            <w:tcBorders/>
            <w:shd w:fill="CCEEFF" w:val="clear"/>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pPr>
            <w:r>
              <w:rPr/>
              <w:t>Prepaid third party services</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tcMar>
              <w:bottom w:w="28" w:type="dxa"/>
            </w:tcMar>
            <w:vAlign w:val="center"/>
          </w:tcPr>
          <w:p>
            <w:pPr>
              <w:pStyle w:val="TableContents"/>
              <w:bidi w:val="0"/>
              <w:spacing w:before="0" w:after="283"/>
              <w:jc w:val="right"/>
              <w:rPr/>
            </w:pPr>
            <w:r>
              <w:rPr/>
              <w:t>461,550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291,512</w:t>
            </w:r>
          </w:p>
        </w:tc>
        <w:tc>
          <w:tcPr>
            <w:tcW w:w="75"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771,755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pPr>
            <w:r>
              <w:rPr/>
              <w:t>476,004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 INTANGIBLE ASSETS, NET (OTHER THAN 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intangible assets primarily consist of acquired and developed software that is being amortized over their estimated useful lives as indicated below. The following is a summary of activity related to intangible assets for the six months ended June 30, 2024 (unaudited):</w:t>
      </w:r>
    </w:p>
    <w:p>
      <w:pPr>
        <w:pStyle w:val="TextBody"/>
        <w:bidi w:val="0"/>
        <w:spacing w:before="0" w:after="0"/>
        <w:ind w:left="0" w:right="0" w:hanging="0"/>
        <w:jc w:val="both"/>
        <w:rPr>
          <w:caps w:val="false"/>
          <w:smallCaps w:val="false"/>
        </w:rPr>
      </w:pPr>
      <w:r>
        <w:rPr>
          <w:caps w:val="false"/>
          <w:smallCaps w:val="false"/>
        </w:rPr>
        <w:t> </w:t>
      </w:r>
    </w:p>
    <w:tbl>
      <w:tblPr>
        <w:tblW w:w="7454" w:type="dxa"/>
        <w:jc w:val="left"/>
        <w:tblInd w:w="0" w:type="dxa"/>
        <w:tblLayout w:type="fixed"/>
        <w:tblCellMar>
          <w:top w:w="0" w:type="dxa"/>
          <w:left w:w="0" w:type="dxa"/>
          <w:bottom w:w="0" w:type="dxa"/>
          <w:right w:w="0" w:type="dxa"/>
        </w:tblCellMar>
      </w:tblPr>
      <w:tblGrid>
        <w:gridCol w:w="3665"/>
        <w:gridCol w:w="60"/>
        <w:gridCol w:w="211"/>
        <w:gridCol w:w="1218"/>
        <w:gridCol w:w="95"/>
        <w:gridCol w:w="60"/>
        <w:gridCol w:w="140"/>
        <w:gridCol w:w="800"/>
        <w:gridCol w:w="95"/>
        <w:gridCol w:w="60"/>
        <w:gridCol w:w="140"/>
        <w:gridCol w:w="800"/>
        <w:gridCol w:w="110"/>
      </w:tblGrid>
      <w:tr>
        <w:trPr/>
        <w:tc>
          <w:tcPr>
            <w:tcW w:w="36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29" w:type="dxa"/>
            <w:gridSpan w:val="2"/>
            <w:tcBorders/>
            <w:vAlign w:val="center"/>
          </w:tcPr>
          <w:p>
            <w:pPr>
              <w:pStyle w:val="TableContents"/>
              <w:bidi w:val="0"/>
              <w:spacing w:before="0" w:after="283"/>
              <w:jc w:val="center"/>
              <w:rPr>
                <w:b/>
              </w:rPr>
            </w:pPr>
            <w:r>
              <w:rPr>
                <w:b/>
              </w:rPr>
              <w:t>Acquired and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29" w:type="dxa"/>
            <w:gridSpan w:val="2"/>
            <w:tcBorders/>
            <w:vAlign w:val="center"/>
          </w:tcPr>
          <w:p>
            <w:pPr>
              <w:pStyle w:val="TableContents"/>
              <w:bidi w:val="0"/>
              <w:spacing w:before="0" w:after="283"/>
              <w:jc w:val="center"/>
              <w:rPr>
                <w:b/>
              </w:rPr>
            </w:pPr>
            <w:r>
              <w:rPr>
                <w:b/>
              </w:rPr>
              <w:t>Developed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Software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Patents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9"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283"/>
              <w:jc w:val="left"/>
              <w:rPr/>
            </w:pPr>
            <w:r>
              <w:rPr/>
              <w:t>Useful Lives</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21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 Years</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 Years</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1218"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283"/>
              <w:jc w:val="left"/>
              <w:rPr/>
            </w:pPr>
            <w:r>
              <w:rPr/>
              <w:t>Carrying Value at December 31, 2023</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w:t>
            </w:r>
          </w:p>
        </w:tc>
        <w:tc>
          <w:tcPr>
            <w:tcW w:w="1218" w:type="dxa"/>
            <w:tcBorders/>
            <w:shd w:fill="CCEEFF" w:val="clear"/>
            <w:vAlign w:val="center"/>
          </w:tcPr>
          <w:p>
            <w:pPr>
              <w:pStyle w:val="TableContents"/>
              <w:bidi w:val="0"/>
              <w:spacing w:before="0" w:after="283"/>
              <w:jc w:val="right"/>
              <w:rPr/>
            </w:pPr>
            <w:r>
              <w:rPr/>
              <w:t>212,798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114,203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327,001</w:t>
            </w:r>
          </w:p>
        </w:tc>
        <w:tc>
          <w:tcPr>
            <w:tcW w:w="110" w:type="dxa"/>
            <w:tcBorders/>
            <w:shd w:fill="CCEEFF" w:val="clear"/>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pPr>
            <w:r>
              <w:rPr/>
              <w:t>Additions</w:t>
            </w:r>
          </w:p>
        </w:tc>
        <w:tc>
          <w:tcPr>
            <w:tcW w:w="6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1218"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15,582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15,582</w:t>
            </w:r>
          </w:p>
        </w:tc>
        <w:tc>
          <w:tcPr>
            <w:tcW w:w="110" w:type="dxa"/>
            <w:tcBorders/>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283"/>
              <w:jc w:val="left"/>
              <w:rPr/>
            </w:pPr>
            <w:r>
              <w:rPr/>
              <w:t>Amortization</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8" w:type="dxa"/>
            <w:tcBorders>
              <w:bottom w:val="single" w:sz="12" w:space="0" w:color="000000"/>
            </w:tcBorders>
            <w:shd w:fill="CCEEFF" w:val="clear"/>
            <w:tcMar>
              <w:bottom w:w="28" w:type="dxa"/>
            </w:tcMar>
            <w:vAlign w:val="center"/>
          </w:tcPr>
          <w:p>
            <w:pPr>
              <w:pStyle w:val="TableContents"/>
              <w:bidi w:val="0"/>
              <w:spacing w:before="0" w:after="283"/>
              <w:jc w:val="right"/>
              <w:rPr/>
            </w:pPr>
            <w:r>
              <w:rPr/>
              <w:t>(78,585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(8,827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(87,412</w:t>
            </w:r>
          </w:p>
        </w:tc>
        <w:tc>
          <w:tcPr>
            <w:tcW w:w="110" w:type="dxa"/>
            <w:tcBorders/>
            <w:shd w:fill="CCEEFF" w:val="clear"/>
            <w:vAlign w:val="center"/>
          </w:tcPr>
          <w:p>
            <w:pPr>
              <w:pStyle w:val="TableContents"/>
              <w:bidi w:val="0"/>
              <w:spacing w:before="0" w:after="283"/>
              <w:jc w:val="left"/>
              <w:rPr/>
            </w:pPr>
            <w:r>
              <w:rPr/>
              <w:t>)</w:t>
            </w:r>
          </w:p>
        </w:tc>
      </w:tr>
      <w:tr>
        <w:trPr/>
        <w:tc>
          <w:tcPr>
            <w:tcW w:w="3665" w:type="dxa"/>
            <w:tcBorders/>
            <w:vAlign w:val="center"/>
          </w:tcPr>
          <w:p>
            <w:pPr>
              <w:pStyle w:val="TableContents"/>
              <w:bidi w:val="0"/>
              <w:spacing w:before="0" w:after="283"/>
              <w:jc w:val="left"/>
              <w:rPr/>
            </w:pPr>
            <w:r>
              <w:rPr/>
              <w:t>Carrying Value at June 30, 2024</w:t>
            </w:r>
          </w:p>
        </w:tc>
        <w:tc>
          <w:tcPr>
            <w:tcW w:w="60" w:type="dxa"/>
            <w:tcBorders/>
            <w:vAlign w:val="center"/>
          </w:tcPr>
          <w:p>
            <w:pPr>
              <w:pStyle w:val="TableContents"/>
              <w:bidi w:val="0"/>
              <w:spacing w:before="0" w:after="283"/>
              <w:jc w:val="left"/>
              <w:rPr/>
            </w:pPr>
            <w:r>
              <w:rPr/>
              <w:t> </w:t>
            </w:r>
          </w:p>
        </w:tc>
        <w:tc>
          <w:tcPr>
            <w:tcW w:w="211" w:type="dxa"/>
            <w:tcBorders>
              <w:bottom w:val="double" w:sz="10" w:space="0" w:color="000000"/>
            </w:tcBorders>
            <w:tcMar>
              <w:bottom w:w="28" w:type="dxa"/>
            </w:tcMar>
            <w:vAlign w:val="center"/>
          </w:tcPr>
          <w:p>
            <w:pPr>
              <w:pStyle w:val="TableContents"/>
              <w:bidi w:val="0"/>
              <w:spacing w:before="0" w:after="283"/>
              <w:jc w:val="left"/>
              <w:rPr/>
            </w:pPr>
            <w:r>
              <w:rPr/>
              <w:t>$</w:t>
            </w:r>
          </w:p>
        </w:tc>
        <w:tc>
          <w:tcPr>
            <w:tcW w:w="1218" w:type="dxa"/>
            <w:tcBorders>
              <w:bottom w:val="double" w:sz="10" w:space="0" w:color="000000"/>
            </w:tcBorders>
            <w:tcMar>
              <w:bottom w:w="28" w:type="dxa"/>
            </w:tcMar>
            <w:vAlign w:val="center"/>
          </w:tcPr>
          <w:p>
            <w:pPr>
              <w:pStyle w:val="TableContents"/>
              <w:bidi w:val="0"/>
              <w:spacing w:before="0" w:after="283"/>
              <w:jc w:val="right"/>
              <w:rPr/>
            </w:pPr>
            <w:r>
              <w:rPr/>
              <w:t>134,213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tcMar>
              <w:bottom w:w="28" w:type="dxa"/>
            </w:tcMar>
            <w:vAlign w:val="center"/>
          </w:tcPr>
          <w:p>
            <w:pPr>
              <w:pStyle w:val="TableContents"/>
              <w:bidi w:val="0"/>
              <w:spacing w:before="0" w:after="283"/>
              <w:jc w:val="right"/>
              <w:rPr/>
            </w:pPr>
            <w:r>
              <w:rPr/>
              <w:t>120,958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tcMar>
              <w:bottom w:w="28" w:type="dxa"/>
            </w:tcMar>
            <w:vAlign w:val="center"/>
          </w:tcPr>
          <w:p>
            <w:pPr>
              <w:pStyle w:val="TableContents"/>
              <w:bidi w:val="0"/>
              <w:spacing w:before="0" w:after="283"/>
              <w:jc w:val="right"/>
              <w:rPr/>
            </w:pPr>
            <w:r>
              <w:rPr/>
              <w:t>255,171</w:t>
            </w:r>
          </w:p>
        </w:tc>
        <w:tc>
          <w:tcPr>
            <w:tcW w:w="11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intangible assets as of June 30, 2024 (unaudited):</w:t>
      </w:r>
    </w:p>
    <w:p>
      <w:pPr>
        <w:pStyle w:val="TextBody"/>
        <w:bidi w:val="0"/>
        <w:spacing w:before="0" w:after="0"/>
        <w:ind w:left="0" w:right="0" w:hanging="0"/>
        <w:jc w:val="left"/>
        <w:rPr>
          <w:caps w:val="false"/>
          <w:smallCaps w:val="false"/>
        </w:rPr>
      </w:pPr>
      <w:r>
        <w:rPr>
          <w:caps w:val="false"/>
          <w:smallCaps w:val="false"/>
        </w:rPr>
        <w:t> </w:t>
      </w:r>
    </w:p>
    <w:tbl>
      <w:tblPr>
        <w:tblW w:w="7169" w:type="dxa"/>
        <w:jc w:val="left"/>
        <w:tblInd w:w="0" w:type="dxa"/>
        <w:tblLayout w:type="fixed"/>
        <w:tblCellMar>
          <w:top w:w="0" w:type="dxa"/>
          <w:left w:w="0" w:type="dxa"/>
          <w:bottom w:w="0" w:type="dxa"/>
          <w:right w:w="0" w:type="dxa"/>
        </w:tblCellMar>
      </w:tblPr>
      <w:tblGrid>
        <w:gridCol w:w="3125"/>
        <w:gridCol w:w="60"/>
        <w:gridCol w:w="167"/>
        <w:gridCol w:w="1262"/>
        <w:gridCol w:w="95"/>
        <w:gridCol w:w="60"/>
        <w:gridCol w:w="140"/>
        <w:gridCol w:w="800"/>
        <w:gridCol w:w="95"/>
        <w:gridCol w:w="60"/>
        <w:gridCol w:w="140"/>
        <w:gridCol w:w="1055"/>
        <w:gridCol w:w="110"/>
      </w:tblGrid>
      <w:tr>
        <w:trPr/>
        <w:tc>
          <w:tcPr>
            <w:tcW w:w="31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29" w:type="dxa"/>
            <w:gridSpan w:val="2"/>
            <w:tcBorders/>
            <w:vAlign w:val="center"/>
          </w:tcPr>
          <w:p>
            <w:pPr>
              <w:pStyle w:val="TableContents"/>
              <w:bidi w:val="0"/>
              <w:spacing w:before="0" w:after="283"/>
              <w:jc w:val="center"/>
              <w:rPr>
                <w:b/>
              </w:rPr>
            </w:pPr>
            <w:r>
              <w:rPr>
                <w:b/>
              </w:rPr>
              <w:t>Acquired and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29" w:type="dxa"/>
            <w:gridSpan w:val="2"/>
            <w:tcBorders/>
            <w:vAlign w:val="center"/>
          </w:tcPr>
          <w:p>
            <w:pPr>
              <w:pStyle w:val="TableContents"/>
              <w:bidi w:val="0"/>
              <w:spacing w:before="0" w:after="283"/>
              <w:jc w:val="center"/>
              <w:rPr>
                <w:b/>
              </w:rPr>
            </w:pPr>
            <w:r>
              <w:rPr>
                <w:b/>
              </w:rPr>
              <w:t>Developed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Software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Patents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left"/>
              <w:rPr/>
            </w:pPr>
            <w:r>
              <w:rPr/>
              <w:t>Cost</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w:t>
            </w:r>
          </w:p>
        </w:tc>
        <w:tc>
          <w:tcPr>
            <w:tcW w:w="1262" w:type="dxa"/>
            <w:tcBorders/>
            <w:shd w:fill="CCEEFF" w:val="clear"/>
            <w:vAlign w:val="center"/>
          </w:tcPr>
          <w:p>
            <w:pPr>
              <w:pStyle w:val="TableContents"/>
              <w:bidi w:val="0"/>
              <w:spacing w:before="0" w:after="283"/>
              <w:jc w:val="right"/>
              <w:rPr/>
            </w:pPr>
            <w:r>
              <w:rPr/>
              <w:t>1,734,662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180,196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1,914,858</w:t>
            </w:r>
          </w:p>
        </w:tc>
        <w:tc>
          <w:tcPr>
            <w:tcW w:w="110" w:type="dxa"/>
            <w:tcBorders/>
            <w:shd w:fill="CCEEFF" w:val="clear"/>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pPr>
            <w:r>
              <w:rPr/>
              <w:t>Accumulated amortization</w:t>
            </w:r>
          </w:p>
        </w:tc>
        <w:tc>
          <w:tcPr>
            <w:tcW w:w="60" w:type="dxa"/>
            <w:tcBorders/>
            <w:vAlign w:val="center"/>
          </w:tcPr>
          <w:p>
            <w:pPr>
              <w:pStyle w:val="TableContents"/>
              <w:bidi w:val="0"/>
              <w:spacing w:before="0" w:after="283"/>
              <w:jc w:val="left"/>
              <w:rPr/>
            </w:pPr>
            <w:r>
              <w:rPr/>
              <w:t> </w:t>
            </w:r>
          </w:p>
        </w:tc>
        <w:tc>
          <w:tcPr>
            <w:tcW w:w="167" w:type="dxa"/>
            <w:tcBorders>
              <w:bottom w:val="single" w:sz="12" w:space="0" w:color="000000"/>
            </w:tcBorders>
            <w:tcMar>
              <w:bottom w:w="28" w:type="dxa"/>
            </w:tcMar>
            <w:vAlign w:val="center"/>
          </w:tcPr>
          <w:p>
            <w:pPr>
              <w:pStyle w:val="TableContents"/>
              <w:bidi w:val="0"/>
              <w:spacing w:before="0" w:after="283"/>
              <w:jc w:val="left"/>
              <w:rPr/>
            </w:pPr>
            <w:r>
              <w:rPr/>
              <w:t> </w:t>
            </w:r>
          </w:p>
        </w:tc>
        <w:tc>
          <w:tcPr>
            <w:tcW w:w="1262" w:type="dxa"/>
            <w:tcBorders>
              <w:bottom w:val="single" w:sz="12" w:space="0" w:color="000000"/>
            </w:tcBorders>
            <w:tcMar>
              <w:bottom w:w="28" w:type="dxa"/>
            </w:tcMar>
            <w:vAlign w:val="center"/>
          </w:tcPr>
          <w:p>
            <w:pPr>
              <w:pStyle w:val="TableContents"/>
              <w:bidi w:val="0"/>
              <w:spacing w:before="0" w:after="283"/>
              <w:jc w:val="right"/>
              <w:rPr/>
            </w:pPr>
            <w:r>
              <w:rPr/>
              <w:t>(1,600,449</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tcMar>
              <w:bottom w:w="28" w:type="dxa"/>
            </w:tcMar>
            <w:vAlign w:val="center"/>
          </w:tcPr>
          <w:p>
            <w:pPr>
              <w:pStyle w:val="TableContents"/>
              <w:bidi w:val="0"/>
              <w:spacing w:before="0" w:after="283"/>
              <w:jc w:val="right"/>
              <w:rPr/>
            </w:pPr>
            <w:r>
              <w:rPr/>
              <w:t>(59,238</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tcMar>
              <w:bottom w:w="28" w:type="dxa"/>
            </w:tcMar>
            <w:vAlign w:val="center"/>
          </w:tcPr>
          <w:p>
            <w:pPr>
              <w:pStyle w:val="TableContents"/>
              <w:bidi w:val="0"/>
              <w:spacing w:before="0" w:after="283"/>
              <w:jc w:val="right"/>
              <w:rPr/>
            </w:pPr>
            <w:r>
              <w:rPr/>
              <w:t>(1,659,687</w:t>
            </w:r>
          </w:p>
        </w:tc>
        <w:tc>
          <w:tcPr>
            <w:tcW w:w="110" w:type="dxa"/>
            <w:tcBorders/>
            <w:vAlign w:val="center"/>
          </w:tcPr>
          <w:p>
            <w:pPr>
              <w:pStyle w:val="TableContents"/>
              <w:bidi w:val="0"/>
              <w:spacing w:before="0" w:after="283"/>
              <w:jc w:val="left"/>
              <w:rPr/>
            </w:pPr>
            <w:r>
              <w:rPr/>
              <w:t>)</w:t>
            </w:r>
          </w:p>
        </w:tc>
      </w:tr>
      <w:tr>
        <w:trPr/>
        <w:tc>
          <w:tcPr>
            <w:tcW w:w="3125" w:type="dxa"/>
            <w:tcBorders/>
            <w:shd w:fill="CCEEFF" w:val="clear"/>
            <w:vAlign w:val="center"/>
          </w:tcPr>
          <w:p>
            <w:pPr>
              <w:pStyle w:val="TableContents"/>
              <w:bidi w:val="0"/>
              <w:spacing w:before="0" w:after="283"/>
              <w:jc w:val="left"/>
              <w:rPr/>
            </w:pPr>
            <w:r>
              <w:rPr/>
              <w:t>Carrying Value at June 30, 2024</w:t>
            </w:r>
          </w:p>
        </w:tc>
        <w:tc>
          <w:tcPr>
            <w:tcW w:w="60" w:type="dxa"/>
            <w:tcBorders/>
            <w:shd w:fill="CCEEFF" w:val="clear"/>
            <w:vAlign w:val="center"/>
          </w:tcPr>
          <w:p>
            <w:pPr>
              <w:pStyle w:val="TableContents"/>
              <w:bidi w:val="0"/>
              <w:spacing w:before="0" w:after="283"/>
              <w:jc w:val="left"/>
              <w:rPr/>
            </w:pPr>
            <w:r>
              <w:rPr/>
              <w:t> </w:t>
            </w:r>
          </w:p>
        </w:tc>
        <w:tc>
          <w:tcPr>
            <w:tcW w:w="16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62" w:type="dxa"/>
            <w:tcBorders>
              <w:bottom w:val="double" w:sz="10" w:space="0" w:color="000000"/>
            </w:tcBorders>
            <w:shd w:fill="CCEEFF" w:val="clear"/>
            <w:tcMar>
              <w:bottom w:w="28" w:type="dxa"/>
            </w:tcMar>
            <w:vAlign w:val="center"/>
          </w:tcPr>
          <w:p>
            <w:pPr>
              <w:pStyle w:val="TableContents"/>
              <w:bidi w:val="0"/>
              <w:spacing w:before="0" w:after="283"/>
              <w:jc w:val="right"/>
              <w:rPr/>
            </w:pPr>
            <w:r>
              <w:rPr/>
              <w:t>134,213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120,958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255,171</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expense totaled approximately $87,000 and $152,000 for the six months ended June 30, 2024, and 2023,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expected amortization of intangible assets is as follows:</w:t>
      </w:r>
    </w:p>
    <w:p>
      <w:pPr>
        <w:pStyle w:val="TextBody"/>
        <w:bidi w:val="0"/>
        <w:spacing w:before="0" w:after="0"/>
        <w:ind w:left="0" w:right="0" w:hanging="0"/>
        <w:jc w:val="left"/>
        <w:rPr>
          <w:caps w:val="false"/>
          <w:smallCaps w:val="false"/>
        </w:rPr>
      </w:pPr>
      <w:r>
        <w:rPr>
          <w:caps w:val="false"/>
          <w:smallCaps w:val="false"/>
        </w:rPr>
        <w:t> </w:t>
      </w:r>
    </w:p>
    <w:tbl>
      <w:tblPr>
        <w:tblW w:w="3960" w:type="dxa"/>
        <w:jc w:val="left"/>
        <w:tblInd w:w="0" w:type="dxa"/>
        <w:tblLayout w:type="fixed"/>
        <w:tblCellMar>
          <w:top w:w="0" w:type="dxa"/>
          <w:left w:w="0" w:type="dxa"/>
          <w:bottom w:w="0" w:type="dxa"/>
          <w:right w:w="0" w:type="dxa"/>
        </w:tblCellMar>
      </w:tblPr>
      <w:tblGrid>
        <w:gridCol w:w="2885"/>
        <w:gridCol w:w="60"/>
        <w:gridCol w:w="140"/>
        <w:gridCol w:w="800"/>
        <w:gridCol w:w="75"/>
      </w:tblGrid>
      <w:tr>
        <w:trPr/>
        <w:tc>
          <w:tcPr>
            <w:tcW w:w="2885" w:type="dxa"/>
            <w:tcBorders/>
            <w:shd w:fill="CCEEFF" w:val="clear"/>
            <w:vAlign w:val="center"/>
          </w:tcPr>
          <w:p>
            <w:pPr>
              <w:pStyle w:val="TableContents"/>
              <w:bidi w:val="0"/>
              <w:spacing w:before="0" w:after="283"/>
              <w:jc w:val="left"/>
              <w:rPr/>
            </w:pPr>
            <w:r>
              <w:rPr/>
              <w:t>2024 (Remainder of the Year)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87,595</w:t>
            </w:r>
          </w:p>
        </w:tc>
        <w:tc>
          <w:tcPr>
            <w:tcW w:w="75" w:type="dxa"/>
            <w:tcBorders/>
            <w:shd w:fill="CCEEFF" w:val="clear"/>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2025</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70,889</w:t>
            </w:r>
          </w:p>
        </w:tc>
        <w:tc>
          <w:tcPr>
            <w:tcW w:w="75" w:type="dxa"/>
            <w:tcBorders/>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pPr>
            <w:r>
              <w:rPr/>
              <w:t>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20,786</w:t>
            </w:r>
          </w:p>
        </w:tc>
        <w:tc>
          <w:tcPr>
            <w:tcW w:w="75" w:type="dxa"/>
            <w:tcBorders/>
            <w:shd w:fill="CCEEFF" w:val="clear"/>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2027</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18,019</w:t>
            </w:r>
          </w:p>
        </w:tc>
        <w:tc>
          <w:tcPr>
            <w:tcW w:w="75" w:type="dxa"/>
            <w:tcBorders/>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pPr>
            <w:r>
              <w:rPr/>
              <w:t>2028</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18,019</w:t>
            </w:r>
          </w:p>
        </w:tc>
        <w:tc>
          <w:tcPr>
            <w:tcW w:w="75" w:type="dxa"/>
            <w:tcBorders/>
            <w:shd w:fill="CCEEFF" w:val="clear"/>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Thereafter</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tcMar>
              <w:bottom w:w="28" w:type="dxa"/>
            </w:tcMar>
            <w:vAlign w:val="center"/>
          </w:tcPr>
          <w:p>
            <w:pPr>
              <w:pStyle w:val="TableContents"/>
              <w:bidi w:val="0"/>
              <w:spacing w:before="0" w:after="283"/>
              <w:jc w:val="right"/>
              <w:rPr/>
            </w:pPr>
            <w:r>
              <w:rPr/>
              <w:t>39,863</w:t>
            </w:r>
          </w:p>
        </w:tc>
        <w:tc>
          <w:tcPr>
            <w:tcW w:w="75" w:type="dxa"/>
            <w:tcBorders/>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255,171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impairment indicators noted with respect to Company’s long-lived assets, including intangible assets, as of June 30,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 ACCOUNTS PAYABLE AND ACCRUED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 and accrued expenses consisted of the following as of June 30, 2024 (unaudited) and December 31, 2023:</w:t>
      </w:r>
    </w:p>
    <w:p>
      <w:pPr>
        <w:pStyle w:val="TextBody"/>
        <w:bidi w:val="0"/>
        <w:spacing w:before="0" w:after="0"/>
        <w:ind w:left="0" w:right="0" w:hanging="0"/>
        <w:jc w:val="both"/>
        <w:rPr>
          <w:caps w:val="false"/>
          <w:smallCaps w:val="false"/>
        </w:rPr>
      </w:pPr>
      <w:r>
        <w:rPr>
          <w:caps w:val="false"/>
          <w:smallCaps w:val="false"/>
        </w:rPr>
        <w:t> </w:t>
      </w:r>
    </w:p>
    <w:tbl>
      <w:tblPr>
        <w:tblW w:w="6364" w:type="dxa"/>
        <w:jc w:val="left"/>
        <w:tblInd w:w="0" w:type="dxa"/>
        <w:tblLayout w:type="fixed"/>
        <w:tblCellMar>
          <w:top w:w="0" w:type="dxa"/>
          <w:left w:w="0" w:type="dxa"/>
          <w:bottom w:w="0" w:type="dxa"/>
          <w:right w:w="0" w:type="dxa"/>
        </w:tblCellMar>
      </w:tblPr>
      <w:tblGrid>
        <w:gridCol w:w="3755"/>
        <w:gridCol w:w="60"/>
        <w:gridCol w:w="140"/>
        <w:gridCol w:w="800"/>
        <w:gridCol w:w="60"/>
        <w:gridCol w:w="60"/>
        <w:gridCol w:w="176"/>
        <w:gridCol w:w="1238"/>
        <w:gridCol w:w="75"/>
      </w:tblGrid>
      <w:tr>
        <w:trPr/>
        <w:tc>
          <w:tcPr>
            <w:tcW w:w="37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pPr>
            <w:r>
              <w:rPr/>
              <w:t>Trade payables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248,907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1238" w:type="dxa"/>
            <w:tcBorders/>
            <w:shd w:fill="CCEEFF" w:val="clear"/>
            <w:vAlign w:val="center"/>
          </w:tcPr>
          <w:p>
            <w:pPr>
              <w:pStyle w:val="TableContents"/>
              <w:bidi w:val="0"/>
              <w:spacing w:before="0" w:after="283"/>
              <w:jc w:val="right"/>
              <w:rPr/>
            </w:pPr>
            <w:r>
              <w:rPr/>
              <w:t>235,606</w:t>
            </w:r>
          </w:p>
        </w:tc>
        <w:tc>
          <w:tcPr>
            <w:tcW w:w="75" w:type="dxa"/>
            <w:tcBorders/>
            <w:shd w:fill="CCEEFF" w:val="clear"/>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left"/>
              <w:rPr/>
            </w:pPr>
            <w:r>
              <w:rPr/>
              <w:t>Accrued payroll and related obligations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97,168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707,317</w:t>
            </w:r>
          </w:p>
        </w:tc>
        <w:tc>
          <w:tcPr>
            <w:tcW w:w="75" w:type="dxa"/>
            <w:tcBorders/>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pPr>
            <w:r>
              <w:rPr/>
              <w:t>Insurance Premium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245,542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104,226</w:t>
            </w:r>
          </w:p>
        </w:tc>
        <w:tc>
          <w:tcPr>
            <w:tcW w:w="75" w:type="dxa"/>
            <w:tcBorders/>
            <w:shd w:fill="CCEEFF" w:val="clear"/>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left"/>
              <w:rPr/>
            </w:pPr>
            <w:r>
              <w:rPr/>
              <w:t>Other accrued expenses</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tcMar>
              <w:bottom w:w="28" w:type="dxa"/>
            </w:tcMar>
            <w:vAlign w:val="center"/>
          </w:tcPr>
          <w:p>
            <w:pPr>
              <w:pStyle w:val="TableContents"/>
              <w:bidi w:val="0"/>
              <w:spacing w:before="0" w:after="283"/>
              <w:jc w:val="right"/>
              <w:rPr/>
            </w:pPr>
            <w:r>
              <w:rPr/>
              <w:t>406,423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8" w:type="dxa"/>
            <w:tcBorders>
              <w:bottom w:val="single" w:sz="12" w:space="0" w:color="000000"/>
            </w:tcBorders>
            <w:tcMar>
              <w:bottom w:w="28" w:type="dxa"/>
            </w:tcMar>
            <w:vAlign w:val="center"/>
          </w:tcPr>
          <w:p>
            <w:pPr>
              <w:pStyle w:val="TableContents"/>
              <w:bidi w:val="0"/>
              <w:spacing w:before="0" w:after="283"/>
              <w:jc w:val="right"/>
              <w:rPr/>
            </w:pPr>
            <w:r>
              <w:rPr/>
              <w:t>361,816</w:t>
            </w:r>
          </w:p>
        </w:tc>
        <w:tc>
          <w:tcPr>
            <w:tcW w:w="75" w:type="dxa"/>
            <w:tcBorders/>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998,040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38" w:type="dxa"/>
            <w:tcBorders>
              <w:bottom w:val="double" w:sz="10" w:space="0" w:color="000000"/>
            </w:tcBorders>
            <w:shd w:fill="CCEEFF" w:val="clear"/>
            <w:tcMar>
              <w:bottom w:w="28" w:type="dxa"/>
            </w:tcMar>
            <w:vAlign w:val="center"/>
          </w:tcPr>
          <w:p>
            <w:pPr>
              <w:pStyle w:val="TableContents"/>
              <w:bidi w:val="0"/>
              <w:spacing w:before="0" w:after="283"/>
              <w:jc w:val="right"/>
              <w:rPr/>
            </w:pPr>
            <w:r>
              <w:rPr/>
              <w:t>1,408,965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 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15, 2024, Mr. Joe Trelin tendered his resignation as Chairman and a Director of the Company, effective immediately. On February 20, 2024, the board of directors of the Company (the “Board”) accepted his resignation and agreed to vest the unvested portion of an option granted to Mr. Trelin on June 28, 2023, amounting to 6,511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25, 2024, Mr. Kunal Mehta was appointed as a Director of the Company, upon the standard terms for non-employee Directors. On May 20, 2024, Mr. Mehta was granted an option to purchase 13,282 shares of common stock at an exercise price of $7.78 per share. 12,500 of the shares vest annually in equal amounts over a three-year period commencing in 2025 and 782 shares vested monthly in equal amounts over a three-month period commencing March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Commercial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6, 2023, the Company entered into a services agreement with The Pipeline Group, Inc. (“TPG”). Ken Jisser, a director of the Company, is the founder and CEO of TPG, a technology-enabled services company that aims to deliver business results for companies looking to build a predictable and profitable pipeline. As of June 30, 2024, the Company held a balance of approximately $117,000 in prepaid expenses related to this service agreement. In June 2024, the agreement with TPG was renewed for an additional year at a reduced fee rate of $70,000 per month. Total expense incurred under this contract during the three and six months ended June 30, 2024 was approximately $285,000 and $542,000, respectively. Total expense incurred under this contract during the three and six months ended June 30, 2023 was approximately $67,000 and $99,000,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Employment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June 2023, the Company has employed Dale Daguro, the brother of our CEO, Rhon Daguro as a VP Sales. Dale Daguro’s employment is at will and may be terminated at any time, with or without cause. On July 12, 2023, Dale was granted an option to purchase 25,000 shares of common stock at an exercise price of $7.36 and on December 21, 2023 he was granted a further option to purchase 4,000 shares of common stock at an exercise price of $9.25 per share. Dale’s compensation is commensurate with other executives employed by the Company at a similar level of seniority and experience. During the six months ended June 30, 2024, Dale Daguro earned approximately $148,000 in base salary and sales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Issuance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27, 2024, Michael Thompson, a Director of the Company purchased 12,254 shares of the Company’s common stock at an aggregate price of $100,000, as part of the Company’s Registered Direct offering (See Note 6 – Stockholders’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6</w:t>
      </w:r>
      <w:r>
        <w:rPr>
          <w:rFonts w:ascii="Times New Roman;Times;Serif" w:hAnsi="Times New Roman;Times;Serif"/>
          <w:b w:val="false"/>
          <w:i w:val="false"/>
          <w:caps w:val="false"/>
          <w:smallCaps w:val="false"/>
          <w:sz w:val="20"/>
        </w:rPr>
        <w:t xml:space="preserve"> – </w:t>
      </w:r>
      <w:r>
        <w:rPr>
          <w:rFonts w:ascii="Times New Roman;Times;Serif" w:hAnsi="Times New Roman;Times;Serif"/>
          <w:b/>
          <w:i w:val="false"/>
          <w:caps w:val="false"/>
          <w:smallCaps w:val="false"/>
          <w:sz w:val="20"/>
        </w:rPr>
        <w:t>STOCKHOLDERS’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27, 2024, pursuant to Securities Purchase Agreements in a Registered Direct Offering, the Company issued 1,464,965 shares of common stock for cash gross proceeds of approximately $11.0 million (or approximately $10.0 million, net of offering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2024 the Company issued 5,666 shares of common stock, upon the cashless exercise of a stock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2023, shares of common stock were issued as a result of the following transactions:</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On May 26, 2023, pursuant to Securities Purchase Agreements, the Company issued 1,989,676 shares of common stock for cash gross proceeds of approximately $7.3 million (or approximately $6.4 million, net of offering costs).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On May 26, 2023, pursuant to a Securities Purchase Agreement, Mr. Garchik capitalized the outstanding principal balance of $900,000 under the Initial Promissory Note, into 245,634 shares of common stock.</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On May 26, 2023, pursuant to an exchange agreement with Holders of Convertible Notes payable, the Company issued 2,348,347 shares of common stock in exchange for Convertible Notes in the gross principal amount of approximately $8.9 million (approximately $7.9 million, net of debt issuance costs and discount). In addition, the Company recorded approximately $7.5 million of expense on conversion of convertible notes.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Company issued 111,516 shares of common stock for approximately $388,000 of interest accrued under the Convertible Notes and Credit Facility.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27, 2024, in connection with their placement agent services, the Company issued 102,547 common stock warrants to Madison Global Partners, LLC, with a term of 5 years and an exercise price of $7.50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2023, warrants were issued as a result of the following transactions: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On May 26, 2023, in connection with their placement agent services, the Company issued 156,712 common stock warrants to Madison Global Partners, LLC, with a term of 5 years and an exercise price of $3.664 per share.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On May 12, 2023, in connection with certain recruitment services, the Company issued 187,500 common stock warrants to Madison III, LLC with a term of 5 years and an exercise price of $3.164 per share. </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Company’s warrant activity for the six months ended June 30, 2024 (unaudited):</w:t>
      </w:r>
    </w:p>
    <w:p>
      <w:pPr>
        <w:pStyle w:val="TextBody"/>
        <w:bidi w:val="0"/>
        <w:spacing w:before="0" w:after="0"/>
        <w:ind w:left="0" w:right="0" w:hanging="0"/>
        <w:jc w:val="both"/>
        <w:rPr>
          <w:caps w:val="false"/>
          <w:smallCaps w:val="false"/>
        </w:rPr>
      </w:pPr>
      <w:r>
        <w:rPr>
          <w:caps w:val="false"/>
          <w:smallCaps w:val="false"/>
        </w:rPr>
        <w:t> </w:t>
      </w:r>
    </w:p>
    <w:tbl>
      <w:tblPr>
        <w:tblW w:w="6849" w:type="dxa"/>
        <w:jc w:val="left"/>
        <w:tblInd w:w="0" w:type="dxa"/>
        <w:tblLayout w:type="fixed"/>
        <w:tblCellMar>
          <w:top w:w="0" w:type="dxa"/>
          <w:left w:w="0" w:type="dxa"/>
          <w:bottom w:w="0" w:type="dxa"/>
          <w:right w:w="0" w:type="dxa"/>
        </w:tblCellMar>
      </w:tblPr>
      <w:tblGrid>
        <w:gridCol w:w="3185"/>
        <w:gridCol w:w="60"/>
        <w:gridCol w:w="78"/>
        <w:gridCol w:w="1051"/>
        <w:gridCol w:w="95"/>
        <w:gridCol w:w="60"/>
        <w:gridCol w:w="199"/>
        <w:gridCol w:w="796"/>
        <w:gridCol w:w="60"/>
        <w:gridCol w:w="60"/>
        <w:gridCol w:w="127"/>
        <w:gridCol w:w="1003"/>
        <w:gridCol w:w="75"/>
      </w:tblGrid>
      <w:tr>
        <w:trPr/>
        <w:tc>
          <w:tcPr>
            <w:tcW w:w="3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b/>
              </w:rPr>
            </w:pPr>
            <w:r>
              <w:rPr>
                <w:b/>
              </w:rPr>
              <w:t>Weighted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Weighted</w:t>
            </w:r>
          </w:p>
        </w:tc>
        <w:tc>
          <w:tcPr>
            <w:tcW w:w="75" w:type="dxa"/>
            <w:tcBorders/>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b/>
              </w:rPr>
            </w:pPr>
            <w:r>
              <w:rPr>
                <w:b/>
              </w:rPr>
              <w:t>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Average</w:t>
            </w:r>
          </w:p>
        </w:tc>
        <w:tc>
          <w:tcPr>
            <w:tcW w:w="75" w:type="dxa"/>
            <w:tcBorders/>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center"/>
              <w:rPr>
                <w:b/>
              </w:rPr>
            </w:pPr>
            <w:r>
              <w:rPr>
                <w:b/>
              </w:rPr>
              <w:t>Number of</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b/>
              </w:rPr>
            </w:pPr>
            <w:r>
              <w:rPr>
                <w:b/>
              </w:rPr>
              <w:t>Exercise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Remaining</w:t>
            </w:r>
          </w:p>
        </w:tc>
        <w:tc>
          <w:tcPr>
            <w:tcW w:w="75" w:type="dxa"/>
            <w:tcBorders/>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Life</w:t>
            </w:r>
          </w:p>
        </w:tc>
        <w:tc>
          <w:tcPr>
            <w:tcW w:w="75" w:type="dxa"/>
            <w:tcBorders/>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left"/>
              <w:rPr/>
            </w:pPr>
            <w:r>
              <w:rPr/>
              <w:t>Outstanding, December 31, 2023</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1" w:type="dxa"/>
            <w:tcBorders/>
            <w:shd w:fill="CCEEFF" w:val="clear"/>
            <w:vAlign w:val="center"/>
          </w:tcPr>
          <w:p>
            <w:pPr>
              <w:pStyle w:val="TableContents"/>
              <w:bidi w:val="0"/>
              <w:spacing w:before="0" w:after="283"/>
              <w:jc w:val="right"/>
              <w:rPr/>
            </w:pPr>
            <w:r>
              <w:rPr/>
              <w:t>598,267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796" w:type="dxa"/>
            <w:tcBorders/>
            <w:shd w:fill="CCEEFF" w:val="clear"/>
            <w:vAlign w:val="center"/>
          </w:tcPr>
          <w:p>
            <w:pPr>
              <w:pStyle w:val="TableContents"/>
              <w:bidi w:val="0"/>
              <w:spacing w:before="0" w:after="283"/>
              <w:jc w:val="right"/>
              <w:rPr/>
            </w:pPr>
            <w:r>
              <w:rPr/>
              <w:t>11.89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right"/>
              <w:rPr>
                <w:sz w:val="20"/>
              </w:rPr>
            </w:pPr>
            <w:r>
              <w:rPr>
                <w:sz w:val="20"/>
              </w:rPr>
              <w:t>3.9 Years</w:t>
            </w:r>
          </w:p>
        </w:tc>
        <w:tc>
          <w:tcPr>
            <w:tcW w:w="75" w:type="dxa"/>
            <w:tcBorders/>
            <w:shd w:fill="CCEEFF" w:val="clear"/>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283"/>
              <w:jc w:val="left"/>
              <w:rPr/>
            </w:pPr>
            <w:r>
              <w:rPr/>
              <w:t>Granted</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right"/>
              <w:rPr/>
            </w:pPr>
            <w:r>
              <w:rPr/>
              <w:t>102,547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w:t>
            </w:r>
          </w:p>
        </w:tc>
        <w:tc>
          <w:tcPr>
            <w:tcW w:w="796" w:type="dxa"/>
            <w:tcBorders/>
            <w:vAlign w:val="center"/>
          </w:tcPr>
          <w:p>
            <w:pPr>
              <w:pStyle w:val="TableContents"/>
              <w:bidi w:val="0"/>
              <w:spacing w:before="0" w:after="283"/>
              <w:jc w:val="right"/>
              <w:rPr/>
            </w:pPr>
            <w:r>
              <w:rPr/>
              <w:t>7.50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1003" w:type="dxa"/>
            <w:tcBorders/>
            <w:vAlign w:val="center"/>
          </w:tcPr>
          <w:p>
            <w:pPr>
              <w:pStyle w:val="TableContents"/>
              <w:bidi w:val="0"/>
              <w:spacing w:before="0" w:after="283"/>
              <w:jc w:val="right"/>
              <w:rPr>
                <w:sz w:val="20"/>
              </w:rPr>
            </w:pPr>
            <w:r>
              <w:rPr>
                <w:sz w:val="20"/>
              </w:rPr>
              <w:t>5.0 Years</w:t>
            </w:r>
          </w:p>
        </w:tc>
        <w:tc>
          <w:tcPr>
            <w:tcW w:w="75" w:type="dxa"/>
            <w:tcBorders/>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left"/>
              <w:rPr/>
            </w:pPr>
            <w:r>
              <w:rPr/>
              <w:t>Exercised/Cancelled</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1" w:type="dxa"/>
            <w:tcBorders>
              <w:bottom w:val="single" w:sz="12" w:space="0" w:color="000000"/>
            </w:tcBorders>
            <w:shd w:fill="CCEEFF" w:val="clear"/>
            <w:tcMar>
              <w:bottom w:w="28" w:type="dxa"/>
            </w:tcMar>
            <w:vAlign w:val="center"/>
          </w:tcPr>
          <w:p>
            <w:pPr>
              <w:pStyle w:val="TableContents"/>
              <w:bidi w:val="0"/>
              <w:spacing w:before="0" w:after="283"/>
              <w:jc w:val="right"/>
              <w:rPr/>
            </w:pPr>
            <w:r>
              <w:rPr/>
              <w:t>(3,368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96" w:type="dxa"/>
            <w:tcBorders>
              <w:bottom w:val="single" w:sz="12" w:space="0" w:color="000000"/>
            </w:tcBorders>
            <w:shd w:fill="CCEEFF" w:val="clear"/>
            <w:tcMar>
              <w:bottom w:w="28" w:type="dxa"/>
            </w:tcMar>
            <w:vAlign w:val="center"/>
          </w:tcPr>
          <w:p>
            <w:pPr>
              <w:pStyle w:val="TableContents"/>
              <w:bidi w:val="0"/>
              <w:spacing w:before="0" w:after="283"/>
              <w:jc w:val="right"/>
              <w:rPr/>
            </w:pPr>
            <w:r>
              <w:rPr/>
              <w:t>21.12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283"/>
              <w:jc w:val="left"/>
              <w:rPr/>
            </w:pPr>
            <w:r>
              <w:rPr/>
              <w:t>Outstanding, June 30, 2024</w:t>
            </w:r>
          </w:p>
        </w:tc>
        <w:tc>
          <w:tcPr>
            <w:tcW w:w="60" w:type="dxa"/>
            <w:tcBorders/>
            <w:vAlign w:val="center"/>
          </w:tcPr>
          <w:p>
            <w:pPr>
              <w:pStyle w:val="TableContents"/>
              <w:bidi w:val="0"/>
              <w:spacing w:before="0" w:after="283"/>
              <w:jc w:val="left"/>
              <w:rPr/>
            </w:pPr>
            <w:r>
              <w:rPr/>
              <w:t> </w:t>
            </w:r>
          </w:p>
        </w:tc>
        <w:tc>
          <w:tcPr>
            <w:tcW w:w="78" w:type="dxa"/>
            <w:tcBorders>
              <w:bottom w:val="double" w:sz="10" w:space="0" w:color="000000"/>
            </w:tcBorders>
            <w:tcMar>
              <w:bottom w:w="28" w:type="dxa"/>
            </w:tcMar>
            <w:vAlign w:val="center"/>
          </w:tcPr>
          <w:p>
            <w:pPr>
              <w:pStyle w:val="TableContents"/>
              <w:bidi w:val="0"/>
              <w:spacing w:before="0" w:after="283"/>
              <w:jc w:val="left"/>
              <w:rPr/>
            </w:pPr>
            <w:r>
              <w:rPr/>
              <w:t> </w:t>
            </w:r>
          </w:p>
        </w:tc>
        <w:tc>
          <w:tcPr>
            <w:tcW w:w="1051" w:type="dxa"/>
            <w:tcBorders>
              <w:bottom w:val="double" w:sz="10" w:space="0" w:color="000000"/>
            </w:tcBorders>
            <w:tcMar>
              <w:bottom w:w="28" w:type="dxa"/>
            </w:tcMar>
            <w:vAlign w:val="center"/>
          </w:tcPr>
          <w:p>
            <w:pPr>
              <w:pStyle w:val="TableContents"/>
              <w:bidi w:val="0"/>
              <w:spacing w:before="0" w:after="283"/>
              <w:jc w:val="right"/>
              <w:rPr/>
            </w:pPr>
            <w:r>
              <w:rPr/>
              <w:t>697,446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 w:type="dxa"/>
            <w:tcBorders>
              <w:bottom w:val="double" w:sz="10" w:space="0" w:color="000000"/>
            </w:tcBorders>
            <w:tcMar>
              <w:bottom w:w="28" w:type="dxa"/>
            </w:tcMar>
            <w:vAlign w:val="center"/>
          </w:tcPr>
          <w:p>
            <w:pPr>
              <w:pStyle w:val="TableContents"/>
              <w:bidi w:val="0"/>
              <w:spacing w:before="0" w:after="283"/>
              <w:jc w:val="left"/>
              <w:rPr/>
            </w:pPr>
            <w:r>
              <w:rPr/>
              <w:t>$</w:t>
            </w:r>
          </w:p>
        </w:tc>
        <w:tc>
          <w:tcPr>
            <w:tcW w:w="796" w:type="dxa"/>
            <w:tcBorders>
              <w:bottom w:val="double" w:sz="10" w:space="0" w:color="000000"/>
            </w:tcBorders>
            <w:tcMar>
              <w:bottom w:w="28" w:type="dxa"/>
            </w:tcMar>
            <w:vAlign w:val="center"/>
          </w:tcPr>
          <w:p>
            <w:pPr>
              <w:pStyle w:val="TableContents"/>
              <w:bidi w:val="0"/>
              <w:spacing w:before="0" w:after="283"/>
              <w:jc w:val="right"/>
              <w:rPr/>
            </w:pPr>
            <w:r>
              <w:rPr/>
              <w:t>11.20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1003" w:type="dxa"/>
            <w:tcBorders/>
            <w:vAlign w:val="center"/>
          </w:tcPr>
          <w:p>
            <w:pPr>
              <w:pStyle w:val="TableContents"/>
              <w:bidi w:val="0"/>
              <w:spacing w:before="0" w:after="283"/>
              <w:jc w:val="right"/>
              <w:rPr>
                <w:sz w:val="20"/>
              </w:rPr>
            </w:pPr>
            <w:r>
              <w:rPr>
                <w:sz w:val="20"/>
              </w:rPr>
              <w:t>3.7 Years</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2024, the Company granted Mr. Kunal Mehta 13,282 options to purchase common stock at an exercise price of $7.78 per share. During the six months ended June 30, 2024, the Company also granted a total of 100,000 options to certain new employees at exercise prices ranging from $9.05 to $9.61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2024 the Company agreed to accelerate the vesting of 6,511 options for Mr. Joe Trelin under the terms of his resignation with an exercise price of $5.48 per share. These accelerated options would not otherwise have vested prior to termination of service according to their Service conditions. Therefore, the Company recalculated the fair value of these options as of his resignation date of February 20, 2024 using the Black Scholes method.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determined the grant date fair value of options granted for the six months ended June 30, 2024, using the Black Scholes Method, as applicable, with the following assumptions:</w:t>
      </w:r>
    </w:p>
    <w:p>
      <w:pPr>
        <w:pStyle w:val="TextBody"/>
        <w:bidi w:val="0"/>
        <w:spacing w:before="0" w:after="0"/>
        <w:ind w:left="0" w:right="0" w:hanging="0"/>
        <w:jc w:val="both"/>
        <w:rPr>
          <w:caps w:val="false"/>
          <w:smallCaps w:val="false"/>
        </w:rPr>
      </w:pPr>
      <w:r>
        <w:rPr>
          <w:caps w:val="false"/>
          <w:smallCaps w:val="false"/>
        </w:rPr>
        <w:t> </w:t>
      </w:r>
    </w:p>
    <w:tbl>
      <w:tblPr>
        <w:tblW w:w="2905" w:type="dxa"/>
        <w:jc w:val="left"/>
        <w:tblInd w:w="0" w:type="dxa"/>
        <w:tblLayout w:type="fixed"/>
        <w:tblCellMar>
          <w:top w:w="0" w:type="dxa"/>
          <w:left w:w="0" w:type="dxa"/>
          <w:bottom w:w="0" w:type="dxa"/>
          <w:right w:w="0" w:type="dxa"/>
        </w:tblCellMar>
      </w:tblPr>
      <w:tblGrid>
        <w:gridCol w:w="1610"/>
        <w:gridCol w:w="60"/>
        <w:gridCol w:w="1235"/>
      </w:tblGrid>
      <w:tr>
        <w:trPr/>
        <w:tc>
          <w:tcPr>
            <w:tcW w:w="1610" w:type="dxa"/>
            <w:tcBorders/>
            <w:shd w:fill="CCEEFF" w:val="clear"/>
            <w:vAlign w:val="center"/>
          </w:tcPr>
          <w:p>
            <w:pPr>
              <w:pStyle w:val="TableContents"/>
              <w:bidi w:val="0"/>
              <w:spacing w:before="0" w:after="283"/>
              <w:jc w:val="left"/>
              <w:rPr>
                <w:sz w:val="20"/>
              </w:rPr>
            </w:pPr>
            <w:r>
              <w:rPr>
                <w:sz w:val="20"/>
              </w:rPr>
              <w:t>Expected volatility</w:t>
            </w:r>
          </w:p>
        </w:tc>
        <w:tc>
          <w:tcPr>
            <w:tcW w:w="60"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center"/>
              <w:rPr>
                <w:sz w:val="20"/>
              </w:rPr>
            </w:pPr>
            <w:r>
              <w:rPr>
                <w:sz w:val="20"/>
              </w:rPr>
              <w:t>122 – 123%</w:t>
            </w:r>
          </w:p>
        </w:tc>
      </w:tr>
      <w:tr>
        <w:trPr/>
        <w:tc>
          <w:tcPr>
            <w:tcW w:w="1610" w:type="dxa"/>
            <w:tcBorders/>
            <w:vAlign w:val="center"/>
          </w:tcPr>
          <w:p>
            <w:pPr>
              <w:pStyle w:val="TableContents"/>
              <w:bidi w:val="0"/>
              <w:spacing w:before="0" w:after="283"/>
              <w:jc w:val="left"/>
              <w:rPr>
                <w:sz w:val="20"/>
              </w:rPr>
            </w:pPr>
            <w:r>
              <w:rPr>
                <w:sz w:val="20"/>
              </w:rPr>
              <w:t>Expected term</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center"/>
              <w:rPr>
                <w:sz w:val="20"/>
              </w:rPr>
            </w:pPr>
            <w:r>
              <w:rPr>
                <w:sz w:val="20"/>
              </w:rPr>
              <w:t>5 years</w:t>
            </w:r>
          </w:p>
        </w:tc>
      </w:tr>
      <w:tr>
        <w:trPr/>
        <w:tc>
          <w:tcPr>
            <w:tcW w:w="1610" w:type="dxa"/>
            <w:tcBorders/>
            <w:shd w:fill="CCEEFF" w:val="clear"/>
            <w:vAlign w:val="center"/>
          </w:tcPr>
          <w:p>
            <w:pPr>
              <w:pStyle w:val="TableContents"/>
              <w:bidi w:val="0"/>
              <w:spacing w:before="0" w:after="283"/>
              <w:jc w:val="left"/>
              <w:rPr>
                <w:sz w:val="20"/>
              </w:rPr>
            </w:pPr>
            <w:r>
              <w:rPr>
                <w:sz w:val="20"/>
              </w:rPr>
              <w:t>Risk free rate</w:t>
            </w:r>
          </w:p>
        </w:tc>
        <w:tc>
          <w:tcPr>
            <w:tcW w:w="60"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center"/>
              <w:rPr>
                <w:sz w:val="20"/>
              </w:rPr>
            </w:pPr>
            <w:r>
              <w:rPr>
                <w:sz w:val="20"/>
              </w:rPr>
              <w:t>3.80% - 4.46%</w:t>
            </w:r>
          </w:p>
        </w:tc>
      </w:tr>
      <w:tr>
        <w:trPr/>
        <w:tc>
          <w:tcPr>
            <w:tcW w:w="1610" w:type="dxa"/>
            <w:tcBorders/>
            <w:vAlign w:val="center"/>
          </w:tcPr>
          <w:p>
            <w:pPr>
              <w:pStyle w:val="TableContents"/>
              <w:bidi w:val="0"/>
              <w:spacing w:before="0" w:after="283"/>
              <w:jc w:val="left"/>
              <w:rPr>
                <w:sz w:val="20"/>
              </w:rPr>
            </w:pPr>
            <w:r>
              <w:rPr>
                <w:sz w:val="20"/>
              </w:rPr>
              <w:t>Dividend rate</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center"/>
              <w:rPr>
                <w:sz w:val="20"/>
              </w:rPr>
            </w:pPr>
            <w:r>
              <w:rPr>
                <w:sz w:val="20"/>
              </w:rPr>
              <w:t>0.00%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Activity related to stock options for the six months ended June 30, 2024 (unaudited), is summarized as follows:</w:t>
      </w:r>
    </w:p>
    <w:p>
      <w:pPr>
        <w:pStyle w:val="TextBody"/>
        <w:bidi w:val="0"/>
        <w:spacing w:before="0" w:after="0"/>
        <w:ind w:left="0" w:right="0" w:hanging="0"/>
        <w:jc w:val="both"/>
        <w:rPr>
          <w:caps w:val="false"/>
          <w:smallCaps w:val="false"/>
        </w:rPr>
      </w:pPr>
      <w:r>
        <w:rPr>
          <w:caps w:val="false"/>
          <w:smallCaps w:val="false"/>
        </w:rPr>
        <w:t> </w:t>
      </w:r>
    </w:p>
    <w:tbl>
      <w:tblPr>
        <w:tblW w:w="8285" w:type="dxa"/>
        <w:jc w:val="left"/>
        <w:tblInd w:w="0" w:type="dxa"/>
        <w:tblLayout w:type="fixed"/>
        <w:tblCellMar>
          <w:top w:w="0" w:type="dxa"/>
          <w:left w:w="0" w:type="dxa"/>
          <w:bottom w:w="0" w:type="dxa"/>
          <w:right w:w="0" w:type="dxa"/>
        </w:tblCellMar>
      </w:tblPr>
      <w:tblGrid>
        <w:gridCol w:w="3350"/>
        <w:gridCol w:w="60"/>
        <w:gridCol w:w="60"/>
        <w:gridCol w:w="980"/>
        <w:gridCol w:w="95"/>
        <w:gridCol w:w="60"/>
        <w:gridCol w:w="199"/>
        <w:gridCol w:w="796"/>
        <w:gridCol w:w="60"/>
        <w:gridCol w:w="60"/>
        <w:gridCol w:w="150"/>
        <w:gridCol w:w="1100"/>
        <w:gridCol w:w="60"/>
        <w:gridCol w:w="60"/>
        <w:gridCol w:w="140"/>
        <w:gridCol w:w="980"/>
        <w:gridCol w:w="75"/>
      </w:tblGrid>
      <w:tr>
        <w:trPr/>
        <w:tc>
          <w:tcPr>
            <w:tcW w:w="33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pPr>
            <w:r>
              <w:rPr>
                <w:b/>
              </w:rPr>
              <w:t xml:space="preserve">Number </w:t>
              <w:br/>
              <w:t>of</w:t>
              <w:br/>
              <w:t>Shares</w:t>
            </w:r>
            <w:r>
              <w:rPr/>
              <w:t xml:space="preserve">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Exercise</w:t>
              <w:br/>
              <w:t>Price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Contractual</w:t>
              <w:br/>
              <w:t>Term (Yrs.)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pPr>
            <w:r>
              <w:rPr>
                <w:b/>
              </w:rPr>
              <w:t>Aggregate</w:t>
              <w:br/>
              <w:t>Intrinsic</w:t>
              <w:br/>
              <w:t>Value</w:t>
            </w:r>
            <w:r>
              <w:rPr/>
              <w:t xml:space="preserve"> </w:t>
            </w:r>
          </w:p>
        </w:tc>
        <w:tc>
          <w:tcPr>
            <w:tcW w:w="75" w:type="dxa"/>
            <w:tcBorders/>
            <w:vAlign w:val="center"/>
          </w:tcPr>
          <w:p>
            <w:pPr>
              <w:pStyle w:val="TableContents"/>
              <w:bidi w:val="0"/>
              <w:spacing w:before="0" w:after="283"/>
              <w:jc w:val="center"/>
              <w:rPr/>
            </w:pPr>
            <w:r>
              <w:rPr/>
              <w:t> </w:t>
            </w:r>
          </w:p>
        </w:tc>
      </w:tr>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Outstanding at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1,796,743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796" w:type="dxa"/>
            <w:tcBorders/>
            <w:shd w:fill="CCEEFF" w:val="clear"/>
            <w:vAlign w:val="center"/>
          </w:tcPr>
          <w:p>
            <w:pPr>
              <w:pStyle w:val="TableContents"/>
              <w:bidi w:val="0"/>
              <w:spacing w:before="0" w:after="283"/>
              <w:jc w:val="right"/>
              <w:rPr/>
            </w:pPr>
            <w:r>
              <w:rPr/>
              <w:t>25.20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3,630,733</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left"/>
              <w:rPr/>
            </w:pPr>
            <w:r>
              <w:rPr/>
              <w:t>Granted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113,282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w:t>
            </w:r>
          </w:p>
        </w:tc>
        <w:tc>
          <w:tcPr>
            <w:tcW w:w="796" w:type="dxa"/>
            <w:tcBorders/>
            <w:vAlign w:val="center"/>
          </w:tcPr>
          <w:p>
            <w:pPr>
              <w:pStyle w:val="TableContents"/>
              <w:bidi w:val="0"/>
              <w:spacing w:before="0" w:after="283"/>
              <w:jc w:val="right"/>
              <w:rPr/>
            </w:pPr>
            <w:r>
              <w:rPr/>
              <w:t>9.19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15,540</w:t>
            </w:r>
          </w:p>
        </w:tc>
        <w:tc>
          <w:tcPr>
            <w:tcW w:w="75"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(15,625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796" w:type="dxa"/>
            <w:tcBorders/>
            <w:shd w:fill="CCEEFF" w:val="clear"/>
            <w:vAlign w:val="center"/>
          </w:tcPr>
          <w:p>
            <w:pPr>
              <w:pStyle w:val="TableContents"/>
              <w:bidi w:val="0"/>
              <w:spacing w:before="0" w:after="283"/>
              <w:jc w:val="right"/>
              <w:rPr/>
            </w:pPr>
            <w:r>
              <w:rPr/>
              <w:t>5.48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0"/>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left"/>
              <w:rPr/>
            </w:pPr>
            <w:r>
              <w:rPr/>
              <w:t>Forfeited/cancelled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(41,581</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99" w:type="dxa"/>
            <w:tcBorders>
              <w:bottom w:val="single" w:sz="12" w:space="0" w:color="000000"/>
            </w:tcBorders>
            <w:tcMar>
              <w:bottom w:w="28" w:type="dxa"/>
            </w:tcMar>
            <w:vAlign w:val="center"/>
          </w:tcPr>
          <w:p>
            <w:pPr>
              <w:pStyle w:val="TableContents"/>
              <w:bidi w:val="0"/>
              <w:spacing w:before="0" w:after="283"/>
              <w:jc w:val="left"/>
              <w:rPr/>
            </w:pPr>
            <w:r>
              <w:rPr/>
              <w:t>$</w:t>
            </w:r>
          </w:p>
        </w:tc>
        <w:tc>
          <w:tcPr>
            <w:tcW w:w="796" w:type="dxa"/>
            <w:tcBorders>
              <w:bottom w:val="single" w:sz="12" w:space="0" w:color="000000"/>
            </w:tcBorders>
            <w:tcMar>
              <w:bottom w:w="28" w:type="dxa"/>
            </w:tcMar>
            <w:vAlign w:val="center"/>
          </w:tcPr>
          <w:p>
            <w:pPr>
              <w:pStyle w:val="TableContents"/>
              <w:bidi w:val="0"/>
              <w:spacing w:before="0" w:after="283"/>
              <w:jc w:val="right"/>
              <w:rPr/>
            </w:pPr>
            <w:r>
              <w:rPr/>
              <w:t>24.88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w:t>
            </w:r>
          </w:p>
        </w:tc>
        <w:tc>
          <w:tcPr>
            <w:tcW w:w="980" w:type="dxa"/>
            <w:tcBorders>
              <w:bottom w:val="single" w:sz="12" w:space="0" w:color="000000"/>
            </w:tcBorders>
            <w:tcMar>
              <w:bottom w:w="28" w:type="dxa"/>
            </w:tcMar>
            <w:vAlign w:val="center"/>
          </w:tcPr>
          <w:p>
            <w:pPr>
              <w:pStyle w:val="TableContents"/>
              <w:bidi w:val="0"/>
              <w:spacing w:before="0" w:after="0"/>
              <w:jc w:val="right"/>
              <w:rPr/>
            </w:pPr>
            <w:r>
              <w:rPr/>
              <w:t>-</w:t>
            </w:r>
          </w:p>
        </w:tc>
        <w:tc>
          <w:tcPr>
            <w:tcW w:w="75"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Outstanding as of June 30,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1,852,819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96" w:type="dxa"/>
            <w:tcBorders>
              <w:bottom w:val="double" w:sz="10" w:space="0" w:color="000000"/>
            </w:tcBorders>
            <w:shd w:fill="CCEEFF" w:val="clear"/>
            <w:tcMar>
              <w:bottom w:w="28" w:type="dxa"/>
            </w:tcMar>
            <w:vAlign w:val="center"/>
          </w:tcPr>
          <w:p>
            <w:pPr>
              <w:pStyle w:val="TableContents"/>
              <w:bidi w:val="0"/>
              <w:spacing w:before="0" w:after="283"/>
              <w:jc w:val="right"/>
              <w:rPr/>
            </w:pPr>
            <w:r>
              <w:rPr/>
              <w:t>24.43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4,583,031</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left"/>
              <w:rPr/>
            </w:pPr>
            <w:r>
              <w:rPr/>
              <w:t>Exercisable as of June 30, 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bottom w:val="double" w:sz="10" w:space="0" w:color="000000"/>
            </w:tcBorders>
            <w:tcMar>
              <w:bottom w:w="28" w:type="dxa"/>
            </w:tcMar>
            <w:vAlign w:val="center"/>
          </w:tcPr>
          <w:p>
            <w:pPr>
              <w:pStyle w:val="TableContents"/>
              <w:bidi w:val="0"/>
              <w:spacing w:before="0" w:after="283"/>
              <w:jc w:val="right"/>
              <w:rPr/>
            </w:pPr>
            <w:r>
              <w:rPr/>
              <w:t>1,227,820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 w:type="dxa"/>
            <w:tcBorders>
              <w:bottom w:val="double" w:sz="10" w:space="0" w:color="000000"/>
            </w:tcBorders>
            <w:tcMar>
              <w:bottom w:w="28" w:type="dxa"/>
            </w:tcMar>
            <w:vAlign w:val="center"/>
          </w:tcPr>
          <w:p>
            <w:pPr>
              <w:pStyle w:val="TableContents"/>
              <w:bidi w:val="0"/>
              <w:spacing w:before="0" w:after="283"/>
              <w:jc w:val="left"/>
              <w:rPr/>
            </w:pPr>
            <w:r>
              <w:rPr/>
              <w:t>$</w:t>
            </w:r>
          </w:p>
        </w:tc>
        <w:tc>
          <w:tcPr>
            <w:tcW w:w="796" w:type="dxa"/>
            <w:tcBorders>
              <w:bottom w:val="double" w:sz="10" w:space="0" w:color="000000"/>
            </w:tcBorders>
            <w:tcMar>
              <w:bottom w:w="28" w:type="dxa"/>
            </w:tcMar>
            <w:vAlign w:val="center"/>
          </w:tcPr>
          <w:p>
            <w:pPr>
              <w:pStyle w:val="TableContents"/>
              <w:bidi w:val="0"/>
              <w:spacing w:before="0" w:after="283"/>
              <w:jc w:val="right"/>
              <w:rPr/>
            </w:pPr>
            <w:r>
              <w:rPr/>
              <w:t>29.32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tcMar>
              <w:bottom w:w="28" w:type="dxa"/>
            </w:tcMar>
            <w:vAlign w:val="center"/>
          </w:tcPr>
          <w:p>
            <w:pPr>
              <w:pStyle w:val="TableContents"/>
              <w:bidi w:val="0"/>
              <w:spacing w:before="0" w:after="283"/>
              <w:jc w:val="right"/>
              <w:rPr/>
            </w:pPr>
            <w:r>
              <w:rPr/>
              <w:t>2,422,237</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stock option information as of June 30, 2024 (unaudited):  </w:t>
      </w:r>
    </w:p>
    <w:p>
      <w:pPr>
        <w:pStyle w:val="TextBody"/>
        <w:bidi w:val="0"/>
        <w:spacing w:before="0" w:after="0"/>
        <w:ind w:left="0" w:right="0" w:hanging="0"/>
        <w:jc w:val="both"/>
        <w:rPr>
          <w:caps w:val="false"/>
          <w:smallCaps w:val="false"/>
        </w:rPr>
      </w:pPr>
      <w:r>
        <w:rPr>
          <w:caps w:val="false"/>
          <w:smallCaps w:val="false"/>
        </w:rPr>
        <w:t> </w:t>
      </w:r>
    </w:p>
    <w:tbl>
      <w:tblPr>
        <w:tblW w:w="5810" w:type="dxa"/>
        <w:jc w:val="left"/>
        <w:tblInd w:w="0" w:type="dxa"/>
        <w:tblLayout w:type="fixed"/>
        <w:tblCellMar>
          <w:top w:w="0" w:type="dxa"/>
          <w:left w:w="0" w:type="dxa"/>
          <w:bottom w:w="0" w:type="dxa"/>
          <w:right w:w="0" w:type="dxa"/>
        </w:tblCellMar>
      </w:tblPr>
      <w:tblGrid>
        <w:gridCol w:w="1715"/>
        <w:gridCol w:w="60"/>
        <w:gridCol w:w="73"/>
        <w:gridCol w:w="1207"/>
        <w:gridCol w:w="60"/>
        <w:gridCol w:w="60"/>
        <w:gridCol w:w="197"/>
        <w:gridCol w:w="1053"/>
        <w:gridCol w:w="60"/>
        <w:gridCol w:w="60"/>
        <w:gridCol w:w="68"/>
        <w:gridCol w:w="1122"/>
        <w:gridCol w:w="75"/>
      </w:tblGrid>
      <w:tr>
        <w:trPr/>
        <w:tc>
          <w:tcPr>
            <w:tcW w:w="17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center"/>
              <w:rPr>
                <w:b/>
              </w:rPr>
            </w:pPr>
            <w:r>
              <w:rPr>
                <w:b/>
              </w:rPr>
              <w:t>Weighted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center"/>
              <w:rPr>
                <w:b/>
              </w:rPr>
            </w:pPr>
            <w:r>
              <w:rPr>
                <w:b/>
              </w:rPr>
              <w:t>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center"/>
              <w:rPr>
                <w:b/>
              </w:rPr>
            </w:pPr>
            <w:r>
              <w:rPr>
                <w:b/>
              </w:rPr>
              <w:t>Contractual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1715" w:type="dxa"/>
            <w:tcBorders>
              <w:bottom w:val="single" w:sz="12" w:space="0" w:color="000000"/>
            </w:tcBorders>
            <w:tcMar>
              <w:bottom w:w="28" w:type="dxa"/>
            </w:tcMar>
            <w:vAlign w:val="center"/>
          </w:tcPr>
          <w:p>
            <w:pPr>
              <w:pStyle w:val="TableContents"/>
              <w:bidi w:val="0"/>
              <w:spacing w:before="0" w:after="283"/>
              <w:jc w:val="left"/>
              <w:rPr>
                <w:b/>
              </w:rPr>
            </w:pPr>
            <w:r>
              <w:rPr>
                <w:b/>
              </w:rPr>
              <w:t>Exercise Price</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Outstanding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Term (Yrs.)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Exercisable</w:t>
            </w:r>
          </w:p>
        </w:tc>
        <w:tc>
          <w:tcPr>
            <w:tcW w:w="7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283"/>
              <w:jc w:val="left"/>
              <w:rPr/>
            </w:pPr>
            <w:r>
              <w:rPr/>
              <w:t>$2.64 – $5.00</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342,628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193,339</w:t>
            </w:r>
          </w:p>
        </w:tc>
        <w:tc>
          <w:tcPr>
            <w:tcW w:w="75" w:type="dxa"/>
            <w:tcBorders/>
            <w:shd w:fill="CCEEFF" w:val="clear"/>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pPr>
            <w:r>
              <w:rPr/>
              <w:t>$5.01 – $10.00</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207" w:type="dxa"/>
            <w:tcBorders/>
            <w:vAlign w:val="center"/>
          </w:tcPr>
          <w:p>
            <w:pPr>
              <w:pStyle w:val="TableContents"/>
              <w:bidi w:val="0"/>
              <w:spacing w:before="0" w:after="283"/>
              <w:jc w:val="right"/>
              <w:rPr/>
            </w:pPr>
            <w:r>
              <w:rPr/>
              <w:t>651,381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053" w:type="dxa"/>
            <w:tcBorders/>
            <w:vAlign w:val="center"/>
          </w:tcPr>
          <w:p>
            <w:pPr>
              <w:pStyle w:val="TableContents"/>
              <w:bidi w:val="0"/>
              <w:spacing w:before="0" w:after="283"/>
              <w:jc w:val="right"/>
              <w:rPr/>
            </w:pPr>
            <w:r>
              <w:rPr/>
              <w:t>9.1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269,719</w:t>
            </w:r>
          </w:p>
        </w:tc>
        <w:tc>
          <w:tcPr>
            <w:tcW w:w="75" w:type="dxa"/>
            <w:tcBorders/>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283"/>
              <w:jc w:val="left"/>
              <w:rPr/>
            </w:pPr>
            <w:r>
              <w:rPr/>
              <w:t>$10.01 – $15.00</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43,078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43,078</w:t>
            </w:r>
          </w:p>
        </w:tc>
        <w:tc>
          <w:tcPr>
            <w:tcW w:w="75" w:type="dxa"/>
            <w:tcBorders/>
            <w:shd w:fill="CCEEFF" w:val="clear"/>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pPr>
            <w:r>
              <w:rPr/>
              <w:t>$15.01 – $20.00</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207" w:type="dxa"/>
            <w:tcBorders/>
            <w:vAlign w:val="center"/>
          </w:tcPr>
          <w:p>
            <w:pPr>
              <w:pStyle w:val="TableContents"/>
              <w:bidi w:val="0"/>
              <w:spacing w:before="0" w:after="283"/>
              <w:jc w:val="right"/>
              <w:rPr/>
            </w:pPr>
            <w:r>
              <w:rPr/>
              <w:t>252,084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053" w:type="dxa"/>
            <w:tcBorders/>
            <w:vAlign w:val="center"/>
          </w:tcPr>
          <w:p>
            <w:pPr>
              <w:pStyle w:val="TableContents"/>
              <w:bidi w:val="0"/>
              <w:spacing w:before="0" w:after="283"/>
              <w:jc w:val="right"/>
              <w:rPr/>
            </w:pPr>
            <w:r>
              <w:rPr/>
              <w:t>1.3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252,084</w:t>
            </w:r>
          </w:p>
        </w:tc>
        <w:tc>
          <w:tcPr>
            <w:tcW w:w="75" w:type="dxa"/>
            <w:tcBorders/>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283"/>
              <w:jc w:val="left"/>
              <w:rPr/>
            </w:pPr>
            <w:r>
              <w:rPr/>
              <w:t>$20.01 – $121.28</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7" w:type="dxa"/>
            <w:tcBorders>
              <w:bottom w:val="single" w:sz="12" w:space="0" w:color="000000"/>
            </w:tcBorders>
            <w:shd w:fill="CCEEFF" w:val="clear"/>
            <w:tcMar>
              <w:bottom w:w="28" w:type="dxa"/>
            </w:tcMar>
            <w:vAlign w:val="center"/>
          </w:tcPr>
          <w:p>
            <w:pPr>
              <w:pStyle w:val="TableContents"/>
              <w:bidi w:val="0"/>
              <w:spacing w:before="0" w:after="283"/>
              <w:jc w:val="right"/>
              <w:rPr/>
            </w:pPr>
            <w:r>
              <w:rPr/>
              <w:t>563,648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2" w:type="dxa"/>
            <w:tcBorders>
              <w:bottom w:val="single" w:sz="12" w:space="0" w:color="000000"/>
            </w:tcBorders>
            <w:shd w:fill="CCEEFF" w:val="clear"/>
            <w:tcMar>
              <w:bottom w:w="28" w:type="dxa"/>
            </w:tcMar>
            <w:vAlign w:val="center"/>
          </w:tcPr>
          <w:p>
            <w:pPr>
              <w:pStyle w:val="TableContents"/>
              <w:bidi w:val="0"/>
              <w:spacing w:before="0" w:after="283"/>
              <w:jc w:val="right"/>
              <w:rPr/>
            </w:pPr>
            <w:r>
              <w:rPr/>
              <w:t>469,600</w:t>
            </w:r>
          </w:p>
        </w:tc>
        <w:tc>
          <w:tcPr>
            <w:tcW w:w="75" w:type="dxa"/>
            <w:tcBorders/>
            <w:shd w:fill="CCEEFF" w:val="clear"/>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bottom w:val="double" w:sz="10" w:space="0" w:color="000000"/>
            </w:tcBorders>
            <w:tcMar>
              <w:bottom w:w="28" w:type="dxa"/>
            </w:tcMar>
            <w:vAlign w:val="center"/>
          </w:tcPr>
          <w:p>
            <w:pPr>
              <w:pStyle w:val="TableContents"/>
              <w:bidi w:val="0"/>
              <w:spacing w:before="0" w:after="283"/>
              <w:jc w:val="left"/>
              <w:rPr/>
            </w:pPr>
            <w:r>
              <w:rPr/>
              <w:t> </w:t>
            </w:r>
          </w:p>
        </w:tc>
        <w:tc>
          <w:tcPr>
            <w:tcW w:w="1207" w:type="dxa"/>
            <w:tcBorders>
              <w:bottom w:val="double" w:sz="10" w:space="0" w:color="000000"/>
            </w:tcBorders>
            <w:tcMar>
              <w:bottom w:w="28" w:type="dxa"/>
            </w:tcMar>
            <w:vAlign w:val="center"/>
          </w:tcPr>
          <w:p>
            <w:pPr>
              <w:pStyle w:val="TableContents"/>
              <w:bidi w:val="0"/>
              <w:spacing w:before="0" w:after="283"/>
              <w:jc w:val="right"/>
              <w:rPr/>
            </w:pPr>
            <w:r>
              <w:rPr/>
              <w:t>1,852,819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053" w:type="dxa"/>
            <w:tcBorders/>
            <w:vAlign w:val="center"/>
          </w:tcPr>
          <w:p>
            <w:pPr>
              <w:pStyle w:val="TableContents"/>
              <w:bidi w:val="0"/>
              <w:spacing w:before="0" w:after="283"/>
              <w:jc w:val="right"/>
              <w:rPr/>
            </w:pPr>
            <w:r>
              <w:rPr/>
              <w:t>6.2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bottom w:val="double" w:sz="10" w:space="0" w:color="000000"/>
            </w:tcBorders>
            <w:tcMar>
              <w:bottom w:w="28" w:type="dxa"/>
            </w:tcMar>
            <w:vAlign w:val="center"/>
          </w:tcPr>
          <w:p>
            <w:pPr>
              <w:pStyle w:val="TableContents"/>
              <w:bidi w:val="0"/>
              <w:spacing w:before="0" w:after="283"/>
              <w:jc w:val="left"/>
              <w:rPr/>
            </w:pPr>
            <w:r>
              <w:rPr/>
              <w:t> </w:t>
            </w:r>
          </w:p>
        </w:tc>
        <w:tc>
          <w:tcPr>
            <w:tcW w:w="1122" w:type="dxa"/>
            <w:tcBorders>
              <w:bottom w:val="double" w:sz="10" w:space="0" w:color="000000"/>
            </w:tcBorders>
            <w:tcMar>
              <w:bottom w:w="28" w:type="dxa"/>
            </w:tcMar>
            <w:vAlign w:val="center"/>
          </w:tcPr>
          <w:p>
            <w:pPr>
              <w:pStyle w:val="TableContents"/>
              <w:bidi w:val="0"/>
              <w:spacing w:before="0" w:after="283"/>
              <w:jc w:val="right"/>
              <w:rPr/>
            </w:pPr>
            <w:r>
              <w:rPr/>
              <w:t>1,227,820</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2024, the Company recognized approximately $1.5 million of stock option-based compensation expense. As of June 30, 2024, there was approximately $1.8 million of unrecognized compensation costs related to stock options outstanding that will be expensed through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24, 2024, the Board of Directors adopted the 2024 Equity Incentive Plan (the “2024 Plan”). On June 26, 2024, the stockholders approved and ratified the 2024 Plan and the allocation of 395,000 shares of Common Stock to the 2024 Plan, in addition to the remaining shares not allocated to awards under the 2021 Equity Incentive Plan and any shares, which become available as a result of the forfeiture, or cancellation of any previous awards. As of June 30, 2024, there were 444,115 shares allocated to and available for issuance of awards under the 2024 Plan but no such awards have yet been granted.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Legal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is a party to various legal or administrative proceedings arising in the ordinary course of our business. While any litigation contains an element of uncertainty, we have no reason to believe that the outcome of such proceedings will have a material adverse effect on the financial condition or results of operations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 remaining lease agreements as of July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 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2024, the Company evaluated the rollout timelines for several customers who have delayed go-live adoption dates due to their respective corporate processes and timelines. The Company has come to a verbal agreement with one customer (who comprises $1.3 million of the Company’s RPO) to modify the terms of their contract to defer the timing of their minimum payment obligations by approximately 12 months. The Company expects this modification agreement to be finalized during the quarter ending September 30, 2024, resulting in a reduction in the future periodic recognition of the revenue associated with this performance obligation through the end of the initial contract period, December 31, 2027. The proposed modification is not expected to affect the overall RPO associated with this customer’s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2024, the Board adopted a new policy on compensation for non-employee directors, which is summarized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non-employee director will receive:</w:t>
      </w:r>
    </w:p>
    <w:p>
      <w:pPr>
        <w:pStyle w:val="TextBody"/>
        <w:bidi w:val="0"/>
        <w:spacing w:before="0" w:after="0"/>
        <w:ind w:left="0" w:right="0" w:hanging="0"/>
        <w:jc w:val="left"/>
        <w:rPr>
          <w:caps w:val="false"/>
          <w:smallCaps w:val="false"/>
        </w:rPr>
      </w:pPr>
      <w:r>
        <w:rPr>
          <w:caps w:val="false"/>
          <w:smallCaps w:val="false"/>
        </w:rPr>
        <w:t> </w:t>
      </w:r>
    </w:p>
    <w:tbl>
      <w:tblPr>
        <w:tblW w:w="7248" w:type="dxa"/>
        <w:jc w:val="left"/>
        <w:tblInd w:w="0" w:type="dxa"/>
        <w:tblLayout w:type="fixed"/>
        <w:tblCellMar>
          <w:top w:w="0" w:type="dxa"/>
          <w:left w:w="0" w:type="dxa"/>
          <w:bottom w:w="0" w:type="dxa"/>
          <w:right w:w="0" w:type="dxa"/>
        </w:tblCellMar>
      </w:tblPr>
      <w:tblGrid>
        <w:gridCol w:w="38"/>
        <w:gridCol w:w="170"/>
        <w:gridCol w:w="70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0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annual compensation equal to $125,000, payable in cash and equity.</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Annual cash compensation of $8,000, or $10,000 if they are a committee chair, payable quarterly in arrear.</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Annual equity compensation of $117,000 by way of an option grant to purchase common stock. The number of shares which will be the subject of each grant shall be determined by reference to the Black Scholes value of the grant based on the closing price of the common stock, as reported by the NASDAQ Stock Market (or such other principal securities exchange or market system on which the common stock is then listed,) on the date of the Annual Meeting, at which the director is re-elected by the stockholders to serve on the Board. Each stock option shall be a non-qualified stock option with a term of 10 years and shall become fully vested on the first anniversary of the grant date, with equal monthly vesting over a 12 month period, provided that such non-employee director remains as a director of the Company during such 12 month period. Each such option shall have an exercise price equal to the closing price of the common stock, as reported by the NASDAQ Stock Market, on the grant date. The grant date may be deferred in accordance with the Company’s Policy on Granting Equity Awards, if the Annual Meeting is held during a closed trading window.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this new policy, each non-employee director will receive an option grant of 15,627 shares, on the third day after the announcement of the Company’s results for the period ended June 30, 2024, at an exercise price equal to the closing price of the common stock on the NASDAQ Stock Market on that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discussion and analysis of our financial condition and results of operations are based on our financial statements, which we have prepared in accordance with accounting principles generally accepted in the United States of America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revenues and expenses during the reporting periods. On an ongoing basis, we evaluate estimates and judgments, including those described in greater detail below.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“Management’s Discussion and Analysis of Financial Condition and Results of Operation,” except where the context otherwise requires, the term “we,” “us,” “our,” “authID” or “the Company,” refers to the business of authID Inc.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Overview</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authID ensures cyber-savvy enterprises “Know Who’s Behind the Device”</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for every customer or employee login and transaction. Through its easy-to-integrate, patented, biometric identity platform, authID quickly and accurately verifies a user’s identity, eliminating any assumption of ‘who’ is behind a device and preventing cybercriminals from taking over accounts. authID combines digital onboarding, biometric passwordless authentication and account recovery, with a fast, accurate, user-friendly experience – delivering identity verification in 700ms. Establishing a biometric root of trust for each user that is bound to their accounts, or provisioned devices, authID stops fraud at onboarding, eliminates password risks and costs, and provides the faster, frictionless, and more accurate user identity experience demanded by operators of today’s digital ecosystems.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Verified</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cloud-based platform was developed with internally developed software as well as acquired and licensed technology and provides the following core services:</w:t>
      </w:r>
    </w:p>
    <w:p>
      <w:pPr>
        <w:pStyle w:val="TextBody"/>
        <w:bidi w:val="0"/>
        <w:spacing w:before="0" w:after="0"/>
        <w:ind w:left="990" w:right="0" w:hanging="360"/>
        <w:jc w:val="both"/>
        <w:rPr>
          <w:caps w:val="false"/>
          <w:smallCaps w:val="false"/>
        </w:rPr>
      </w:pPr>
      <w:r>
        <w:rPr>
          <w:caps w:val="false"/>
          <w:smallCaps w:val="false"/>
        </w:rPr>
        <w:t> </w:t>
      </w:r>
    </w:p>
    <w:tbl>
      <w:tblPr>
        <w:tblW w:w="2800" w:type="dxa"/>
        <w:jc w:val="left"/>
        <w:tblInd w:w="0" w:type="dxa"/>
        <w:tblLayout w:type="fixed"/>
        <w:tblCellMar>
          <w:top w:w="0" w:type="dxa"/>
          <w:left w:w="0" w:type="dxa"/>
          <w:bottom w:w="0" w:type="dxa"/>
          <w:right w:w="0" w:type="dxa"/>
        </w:tblCellMar>
      </w:tblPr>
      <w:tblGrid>
        <w:gridCol w:w="75"/>
        <w:gridCol w:w="170"/>
        <w:gridCol w:w="25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555" w:type="dxa"/>
            <w:tcBorders/>
            <w:vAlign w:val="center"/>
          </w:tcPr>
          <w:p>
            <w:pPr>
              <w:pStyle w:val="TableContents"/>
              <w:bidi w:val="0"/>
              <w:spacing w:before="0" w:after="283"/>
              <w:jc w:val="both"/>
              <w:rPr>
                <w:sz w:val="20"/>
              </w:rPr>
            </w:pPr>
            <w:r>
              <w:rPr>
                <w:sz w:val="20"/>
              </w:rPr>
              <w:t>Biometric Identity Verification</w:t>
            </w:r>
          </w:p>
        </w:tc>
      </w:tr>
    </w:tbl>
    <w:p>
      <w:pPr>
        <w:pStyle w:val="TextBody"/>
        <w:bidi w:val="0"/>
        <w:spacing w:before="0" w:after="0"/>
        <w:ind w:left="0" w:right="0" w:hanging="0"/>
        <w:jc w:val="left"/>
        <w:rPr>
          <w:caps w:val="false"/>
          <w:smallCaps w:val="false"/>
        </w:rPr>
      </w:pPr>
      <w:r>
        <w:rPr>
          <w:caps w:val="false"/>
          <w:smallCaps w:val="false"/>
        </w:rPr>
        <w:t> </w:t>
      </w:r>
    </w:p>
    <w:tbl>
      <w:tblPr>
        <w:tblW w:w="3055" w:type="dxa"/>
        <w:jc w:val="left"/>
        <w:tblInd w:w="0" w:type="dxa"/>
        <w:tblLayout w:type="fixed"/>
        <w:tblCellMar>
          <w:top w:w="0" w:type="dxa"/>
          <w:left w:w="0" w:type="dxa"/>
          <w:bottom w:w="0" w:type="dxa"/>
          <w:right w:w="0" w:type="dxa"/>
        </w:tblCellMar>
      </w:tblPr>
      <w:tblGrid>
        <w:gridCol w:w="75"/>
        <w:gridCol w:w="170"/>
        <w:gridCol w:w="28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810" w:type="dxa"/>
            <w:tcBorders/>
            <w:vAlign w:val="center"/>
          </w:tcPr>
          <w:p>
            <w:pPr>
              <w:pStyle w:val="TableContents"/>
              <w:bidi w:val="0"/>
              <w:spacing w:before="0" w:after="283"/>
              <w:jc w:val="both"/>
              <w:rPr>
                <w:sz w:val="20"/>
              </w:rPr>
            </w:pPr>
            <w:r>
              <w:rPr>
                <w:sz w:val="20"/>
              </w:rPr>
              <w:t>Biometric Identity Authentication</w:t>
            </w:r>
          </w:p>
        </w:tc>
      </w:tr>
    </w:tbl>
    <w:p>
      <w:pPr>
        <w:pStyle w:val="TextBody"/>
        <w:bidi w:val="0"/>
        <w:spacing w:before="0" w:after="0"/>
        <w:ind w:left="0" w:right="0" w:hanging="0"/>
        <w:jc w:val="left"/>
        <w:rPr>
          <w:caps w:val="false"/>
          <w:smallCaps w:val="false"/>
        </w:rPr>
      </w:pPr>
      <w:r>
        <w:rPr>
          <w:caps w:val="false"/>
          <w:smallCaps w:val="false"/>
        </w:rPr>
        <w:t> </w:t>
      </w:r>
    </w:p>
    <w:tbl>
      <w:tblPr>
        <w:tblW w:w="2500" w:type="dxa"/>
        <w:jc w:val="left"/>
        <w:tblInd w:w="0" w:type="dxa"/>
        <w:tblLayout w:type="fixed"/>
        <w:tblCellMar>
          <w:top w:w="0" w:type="dxa"/>
          <w:left w:w="0" w:type="dxa"/>
          <w:bottom w:w="0" w:type="dxa"/>
          <w:right w:w="0" w:type="dxa"/>
        </w:tblCellMar>
      </w:tblPr>
      <w:tblGrid>
        <w:gridCol w:w="75"/>
        <w:gridCol w:w="170"/>
        <w:gridCol w:w="22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255" w:type="dxa"/>
            <w:tcBorders/>
            <w:vAlign w:val="center"/>
          </w:tcPr>
          <w:p>
            <w:pPr>
              <w:pStyle w:val="TableContents"/>
              <w:bidi w:val="0"/>
              <w:spacing w:before="0" w:after="283"/>
              <w:jc w:val="both"/>
              <w:rPr>
                <w:sz w:val="20"/>
              </w:rPr>
            </w:pPr>
            <w:r>
              <w:rPr>
                <w:sz w:val="20"/>
              </w:rPr>
              <w:t>Account / Access Recovery</w:t>
            </w:r>
          </w:p>
        </w:tc>
      </w:tr>
    </w:tbl>
    <w:p>
      <w:pPr>
        <w:pStyle w:val="TextBody"/>
        <w:bidi w:val="0"/>
        <w:spacing w:before="0" w:after="0"/>
        <w:ind w:left="0" w:right="0" w:hanging="0"/>
        <w:jc w:val="left"/>
        <w:rPr>
          <w:caps w:val="false"/>
          <w:smallCaps w:val="false"/>
        </w:rPr>
      </w:pPr>
      <w:r>
        <w:rPr>
          <w:caps w:val="false"/>
          <w:smallCaps w:val="false"/>
        </w:rPr>
        <w:t> </w:t>
      </w:r>
    </w:p>
    <w:tbl>
      <w:tblPr>
        <w:tblW w:w="2095" w:type="dxa"/>
        <w:jc w:val="left"/>
        <w:tblInd w:w="0" w:type="dxa"/>
        <w:tblLayout w:type="fixed"/>
        <w:tblCellMar>
          <w:top w:w="0" w:type="dxa"/>
          <w:left w:w="0" w:type="dxa"/>
          <w:bottom w:w="0" w:type="dxa"/>
          <w:right w:w="0" w:type="dxa"/>
        </w:tblCellMar>
      </w:tblPr>
      <w:tblGrid>
        <w:gridCol w:w="75"/>
        <w:gridCol w:w="170"/>
        <w:gridCol w:w="18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850" w:type="dxa"/>
            <w:tcBorders/>
            <w:vAlign w:val="center"/>
          </w:tcPr>
          <w:p>
            <w:pPr>
              <w:pStyle w:val="TableContents"/>
              <w:bidi w:val="0"/>
              <w:spacing w:before="0" w:after="283"/>
              <w:jc w:val="both"/>
              <w:rPr>
                <w:sz w:val="20"/>
              </w:rPr>
            </w:pPr>
            <w:r>
              <w:rPr>
                <w:sz w:val="20"/>
              </w:rPr>
              <w:t>FIDO Passkey binding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Biometric Identity Verification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Biometric identity verification establishes the trusted identity of a user based on a variety of ground truth sources, including government-issued identity documents such as national IDs, driver’s licenses and passports or electronic machine-readable travel documents (or eMRTDs). Our Verified</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platform detects presentation attack and spoofing threats, evaluates the authenticity of security features present on a government-issued identity document, and biometrically matches the reference picture of the document with a live user’s selfie (a photograph that the user has taken of themselves). Usually occurring at account opening or onboarding, identity verification ensures that the enterprise knows that the person interacting with the enterprise is who they say they are, in real time. authID’s Proof</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identity verification product eliminates the need for costly and less accurate face-to-face, in-person ID checks and instead provides a verified identity in seconds. In a digital, online world of increasing fraud and security threats, Proof speeds up onboarding and offers our customers confidence in the identities of consumers, employees or third-party vendors.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Biometric Identity Authentication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Biometric identity authentication provides any organization with a secure, convenient solution to validate that an individual is the verified account owner for various purposes including passwordless login and performing specific transactions, or functions. The authID Verified product allows users to confirm their identity with their facial biometric by simply taking a selfie on a mobile phone or device of their choosing (as opposed to dedicated hardware). The solution includes a patented audit trail created for each transaction, containing the digitally signed transaction details, with proof of identity authentication and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Account Access and Recovery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authID’s Verified biometric identity authentication solution allows users to recover, via a facial biometric, account access that is lost or blocked due to expired credentials, lockouts, lost or stolen devices, or compromised accounts. Because the account owner’s root of trust is established in the cloud, recovery is independent of any device or hardware. In this way, account recovery is instant, portable, and does not require the presence of or access to a previously provisioned device in order to secure access from a different device.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FIDO Passkey Binding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FIDO Passkey Binding enables enterprises and their users to bind biometrically verified user identities to FIDO2 passkeys, enabling strong authentication for device-based passwordless login and transaction authentication that is tied to a trusted identity. This solution establishes a digital chain of trust between biometrically verified individuals, their accounts, and their devices, thus eliminating passwords and protecting users and systems against fraud attacks.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Customer Benefits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solution allows our enterprise customers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i/>
                <w:sz w:val="20"/>
              </w:rPr>
              <w:t xml:space="preserve">Verify and Authenticate users. </w:t>
            </w:r>
            <w:r>
              <w:rPr>
                <w:sz w:val="20"/>
              </w:rPr>
              <w:t>Customers can use the authID platform not only to verify the identity of new users, but also to authenticate those users seamlessly on an ongoing basis to enable quick, secure logins and transaction authentications.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i/>
                <w:sz w:val="20"/>
              </w:rPr>
              <w:t>Benefit from high-speed processing</w:t>
            </w:r>
            <w:r>
              <w:rPr>
                <w:sz w:val="20"/>
              </w:rPr>
              <w:t>. Our solution returns a very low-latency response, key to enabling high-volume use cases (such as logins and high-value transactions) and providing a frictionless user experience.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i/>
                <w:sz w:val="20"/>
              </w:rPr>
            </w:pPr>
            <w:r>
              <w:rPr>
                <w:i/>
                <w:sz w:val="20"/>
              </w:rPr>
              <w:t>Precisely and accurately identify their consumers and employees, giving the enterprise complete confidence in who is accessing their digital assets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i/>
                <w:sz w:val="20"/>
              </w:rPr>
            </w:pPr>
            <w:r>
              <w:rPr>
                <w:i/>
                <w:sz w:val="20"/>
              </w:rPr>
              <w:t>Provide a seamless user experience in terms of speed and self-guided flow, so that even users who are not tech-savvy are easily able to complete the identity verification and authentication processes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i/>
                <w:sz w:val="20"/>
              </w:rPr>
              <w:t>Support a wide variety of devices</w:t>
            </w:r>
            <w:r>
              <w:rPr>
                <w:sz w:val="20"/>
              </w:rPr>
              <w:t>. Our cloud-based service is device agnostic and may be used to verify or authenticate users on any device with a camera, including shared devices, digital kiosks, etc.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i/>
                <w:sz w:val="20"/>
              </w:rPr>
              <w:t>Integrate quickly and easily.</w:t>
            </w:r>
            <w:r>
              <w:rPr>
                <w:sz w:val="20"/>
              </w:rPr>
              <w:t xml:space="preserve"> We offer pre-integrated OIDC connections as well as integrations with several leading Identity and Access Management solutions.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i/>
                <w:sz w:val="20"/>
              </w:rPr>
              <w:t>Offer broad identity document coverage.</w:t>
            </w:r>
            <w:r>
              <w:rPr>
                <w:sz w:val="20"/>
              </w:rPr>
              <w:t xml:space="preserve"> We can verify identities using a wide spectrum of government-issued documents from around the world.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Trends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financial results will be impacted by several market trends in the identity verification and authentication markets, as well as expanding digital transformation efforts across a wide range of market segments. These trends include: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growing concerns over identity theft, fraud and account takeover, resulting from the acceleration of digital transformation, for example online shopping and remote working and the growth in AI assisted fraud;</w:t>
            </w:r>
          </w:p>
        </w:tc>
      </w:tr>
    </w:tbl>
    <w:p>
      <w:pPr>
        <w:pStyle w:val="TextBody"/>
        <w:bidi w:val="0"/>
        <w:spacing w:before="0" w:after="0"/>
        <w:ind w:left="720" w:right="0" w:hanging="360"/>
        <w:jc w:val="both"/>
        <w:rPr>
          <w:caps w:val="false"/>
          <w:smallCaps w:val="false"/>
        </w:rPr>
      </w:pPr>
      <w:r>
        <w:rPr>
          <w:caps w:val="false"/>
          <w:smallCaps w:val="false"/>
        </w:rPr>
        <w:t> </w:t>
      </w:r>
    </w:p>
    <w:tbl>
      <w:tblPr>
        <w:tblW w:w="3505" w:type="dxa"/>
        <w:jc w:val="left"/>
        <w:tblInd w:w="0" w:type="dxa"/>
        <w:tblLayout w:type="fixed"/>
        <w:tblCellMar>
          <w:top w:w="0" w:type="dxa"/>
          <w:left w:w="0" w:type="dxa"/>
          <w:bottom w:w="0" w:type="dxa"/>
          <w:right w:w="0" w:type="dxa"/>
        </w:tblCellMar>
      </w:tblPr>
      <w:tblGrid>
        <w:gridCol w:w="75"/>
        <w:gridCol w:w="170"/>
        <w:gridCol w:w="32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260" w:type="dxa"/>
            <w:tcBorders/>
            <w:vAlign w:val="center"/>
          </w:tcPr>
          <w:p>
            <w:pPr>
              <w:pStyle w:val="TableContents"/>
              <w:bidi w:val="0"/>
              <w:spacing w:before="0" w:after="283"/>
              <w:jc w:val="both"/>
              <w:rPr>
                <w:sz w:val="20"/>
              </w:rPr>
            </w:pPr>
            <w:r>
              <w:rPr>
                <w:sz w:val="20"/>
              </w:rPr>
              <w:t>the growth in the sharing economy; and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 xml:space="preserve">the increase in electronic payments and alternative money transfer solutions provided by both bank and non-bank entities. The key drivers for these alternative payment methods are consumer demands for safe, convenient payment transactions, with less friction.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results are also impacted by the changes in levels of spending on identity verification, management and security methods, and thus, negative trends in the global economy and other factors which negatively impact such spending may negatively impact the growth in our revenue from those products. The global economy has been undergoing a period of political and economic uncertainty and stock markets are experiencing high levels of volatility, and it is difficult to predict how long this uncertainty and volatility will continue.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plan to grow our business by increasing the use of our services by our existing customers, by adding new customers through our direct salesforce, channel partners and by expanding into new markets and innovation. If we are successful in these efforts, we would expect our revenue to continue to grow.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incorporated in the State of Delaware on September 21, 2011, and changed our name from Ipsidy Inc. to authID Inc. on July 18, 2022. Our corporate headquarters is located at 1580 North Logan Street, Suite 660, Unit 51767, Denver, CO 80203 and our main phone number is (516) 274-8700. Our website address is www.authid.ai. The information contained on, or that can be accessed through, our website is not incorporated by reference into this Form 10-Q and you should not consider information on our website to be part of this 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unaudited condensed consolidated financial statements included in this Quarterly Report have been prepared in accordance with United States GAAP assuming the Company will continue on a going concern basis, which implies the Company will continue to meet its obligations and continue its operations for the next year following the issuance date of these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2024, the Company had an accumulated deficit of approximately $165.8 million. For the six months ended June 30, 2024, the Company earned revenue from continuing operations of approximately $0.4 million, used approximately $5.7 million to fund its operations, and incurred a net loss of approximately $6.3 million. The continuation of the Company as a going concern is dependent upon financial support from the Company’s stockholders and noteholders, the ability of the Company to obtain additional debt or equity financing to continue operations, the Company’s ability to generate sufficient cash flows from operations, successfully locating and negotiating with other business entities for potential acquisition and /or acquiring new clients to generate revenues and cash flows. In June 2024, the Company raised approximately $10.0 million after expenses from existing and new stockholders through the sale of Common Stock pursuant to a registered direct offering. Going forward, the Company plans to raise additional funds to support its operations and investments as it seeks to create a sustainable organization. Our growth-oriented business plan to offer products to our customers will require continued capital investment and there is no guarantee that such financing will be available, or available on acceptable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assurance that the Company will ever be profitable. These consolidated financial statements do not include any adjustments to reflect the possible future effects on the recoverability and classification of assets or the amounts and classifications of liabilities that may result should the Company be unable to continue as a going concern. As there can be no assurance that the Company will be able to achieve positive cash flows (become cash flow profitable) and raise sufficient capital to maintain operations, there is substantial doubt about the Company’s ability to continue as a going concern.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EBITDA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includes information about Adjusted EBITDA that is not prepared in accordance with GAAP. Adjusted EBITDA is not based on any standardized methodology prescribed by GAAP and is not necessarily comparable to similar measures presented by other companies. A reconciliation of this non-GAAP measure is included below. Adjusted EBITDA is a non-GAAP financial measure that represents GAAP net income (loss) adjusted to exclude (1) interest expense and debt discount and debt issuance costs amortization expense, (2) interest income, (3) provision for income taxes, (4) depreciation and amortization, (5) stock-based compensation expense (stock options) and (6) loss on debt extinguishment, and conversion expense on exchange of Convertible Notes and certain other items management believes affect the comparability of operating results. Management believes that Adjusted EBITDA, when viewed with our results under GAAP and the accompanying reconciliations, provides useful information about our period-over-period results. Adjusted EBITDA is presented because management believes it provides additional information with respect to the performance of our fundamental business activities and is also frequently used by securities analysts, investors and other interested parties in the evaluation of comparable companies. We also rely on Adjusted EBITDA as a primary measure to review and assess the operating performance of our company and our management, and it will be a focus as we invest in and grow the business. Adjusted EBITDA has limitations as an analytical tool, and you should not consider it in isolation from, or as a substitute for, analysis of our results as reported under GAAP. Some of these limitations are: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Adjusted EBITDA does not reflect our cash expenditures or future requirements for capital expenditures or contractual commitments;</w:t>
            </w:r>
          </w:p>
        </w:tc>
      </w:tr>
    </w:tbl>
    <w:p>
      <w:pPr>
        <w:pStyle w:val="TextBody"/>
        <w:bidi w:val="0"/>
        <w:spacing w:before="0" w:after="0"/>
        <w:ind w:left="0" w:right="0" w:hanging="0"/>
        <w:jc w:val="both"/>
        <w:rPr>
          <w:caps w:val="false"/>
          <w:smallCaps w:val="false"/>
        </w:rPr>
      </w:pPr>
      <w:r>
        <w:rPr>
          <w:caps w:val="false"/>
          <w:smallCaps w:val="false"/>
        </w:rPr>
        <w:t> </w:t>
      </w:r>
    </w:p>
    <w:tbl>
      <w:tblPr>
        <w:tblW w:w="8245" w:type="dxa"/>
        <w:jc w:val="left"/>
        <w:tblInd w:w="0" w:type="dxa"/>
        <w:tblLayout w:type="fixed"/>
        <w:tblCellMar>
          <w:top w:w="0" w:type="dxa"/>
          <w:left w:w="0" w:type="dxa"/>
          <w:bottom w:w="0" w:type="dxa"/>
          <w:right w:w="0" w:type="dxa"/>
        </w:tblCellMar>
      </w:tblPr>
      <w:tblGrid>
        <w:gridCol w:w="75"/>
        <w:gridCol w:w="170"/>
        <w:gridCol w:w="80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000" w:type="dxa"/>
            <w:tcBorders/>
            <w:vAlign w:val="center"/>
          </w:tcPr>
          <w:p>
            <w:pPr>
              <w:pStyle w:val="TableContents"/>
              <w:bidi w:val="0"/>
              <w:spacing w:before="0" w:after="283"/>
              <w:jc w:val="both"/>
              <w:rPr>
                <w:sz w:val="20"/>
              </w:rPr>
            </w:pPr>
            <w:r>
              <w:rPr>
                <w:sz w:val="20"/>
              </w:rPr>
              <w:t>Adjusted EBITDA does not reflect changes in, or cash requirements for, our working capital needs;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Although depreciation and amortization are non-cash charges, the assets being depreciated and amortized will often have to be replaced in the future, and Adjusted EBITDA does not reflect any cash requirements for such replacements;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Adjusted EBITDA does not include the impact of certain charges or gains resulting from matters we consider not to be indicative of our ongoing operations.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these limitations, Adjusted EBITDA should not be considered as a measure of discretionary cash available to us to invest in the growth of our business. We compensate for these limitations by relying primarily on our GAAP results and using Adjusted EBITDA only as a supplement to our GAAP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Loss from Continuing Operations to Adjusted EBITDA Continuing Operations: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0"/>
        <w:gridCol w:w="60"/>
        <w:gridCol w:w="140"/>
        <w:gridCol w:w="1055"/>
        <w:gridCol w:w="95"/>
        <w:gridCol w:w="60"/>
        <w:gridCol w:w="140"/>
        <w:gridCol w:w="1175"/>
        <w:gridCol w:w="95"/>
        <w:gridCol w:w="60"/>
        <w:gridCol w:w="140"/>
        <w:gridCol w:w="1055"/>
        <w:gridCol w:w="95"/>
        <w:gridCol w:w="60"/>
        <w:gridCol w:w="140"/>
        <w:gridCol w:w="1175"/>
        <w:gridCol w:w="110"/>
      </w:tblGrid>
      <w:tr>
        <w:trPr/>
        <w:tc>
          <w:tcPr>
            <w:tcW w:w="45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6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Three Months Ended </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6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110" w:type="dxa"/>
            <w:tcBorders/>
            <w:vAlign w:val="center"/>
          </w:tcPr>
          <w:p>
            <w:pPr>
              <w:pStyle w:val="TableContents"/>
              <w:bidi w:val="0"/>
              <w:spacing w:before="0" w:after="283"/>
              <w:jc w:val="left"/>
              <w:rPr/>
            </w:pPr>
            <w:r>
              <w:rPr/>
              <w:t> </w:t>
            </w:r>
          </w:p>
        </w:tc>
      </w:tr>
      <w:tr>
        <w:trPr/>
        <w:tc>
          <w:tcPr>
            <w:tcW w:w="45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center"/>
              <w:rPr/>
            </w:pPr>
            <w:r>
              <w:rPr/>
              <w:t> </w:t>
            </w:r>
          </w:p>
        </w:tc>
      </w:tr>
      <w:tr>
        <w:trPr/>
        <w:tc>
          <w:tcPr>
            <w:tcW w:w="45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left"/>
              <w:rPr/>
            </w:pPr>
            <w:r>
              <w:rPr/>
              <w:t>Loss from continuing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(3,261,241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(10,900,320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(6,318,818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(12,681,946</w:t>
            </w:r>
          </w:p>
        </w:tc>
        <w:tc>
          <w:tcPr>
            <w:tcW w:w="110" w:type="dxa"/>
            <w:tcBorders/>
            <w:shd w:fill="CCEEFF" w:val="clear"/>
            <w:vAlign w:val="center"/>
          </w:tcPr>
          <w:p>
            <w:pPr>
              <w:pStyle w:val="TableContents"/>
              <w:bidi w:val="0"/>
              <w:spacing w:before="0" w:after="283"/>
              <w:jc w:val="left"/>
              <w:rPr/>
            </w:pPr>
            <w:r>
              <w:rPr/>
              <w:t>)</w:t>
            </w:r>
          </w:p>
        </w:tc>
      </w:tr>
      <w:tr>
        <w:trPr/>
        <w:tc>
          <w:tcPr>
            <w:tcW w:w="45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left"/>
              <w:rPr/>
            </w:pPr>
            <w:r>
              <w:rPr/>
              <w:t>Addback: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5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left"/>
              <w:rPr/>
            </w:pPr>
            <w:r>
              <w:rPr/>
              <w:t>Interest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10,369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282,109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23,507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1,082,182</w:t>
            </w:r>
          </w:p>
        </w:tc>
        <w:tc>
          <w:tcPr>
            <w:tcW w:w="110" w:type="dxa"/>
            <w:tcBorders/>
            <w:shd w:fill="CCEEFF" w:val="clear"/>
            <w:vAlign w:val="center"/>
          </w:tcPr>
          <w:p>
            <w:pPr>
              <w:pStyle w:val="TableContents"/>
              <w:bidi w:val="0"/>
              <w:spacing w:before="0" w:after="283"/>
              <w:jc w:val="left"/>
              <w:rPr/>
            </w:pPr>
            <w:r>
              <w:rPr/>
              <w:t> </w:t>
            </w:r>
          </w:p>
        </w:tc>
      </w:tr>
      <w:tr>
        <w:trPr/>
        <w:tc>
          <w:tcPr>
            <w:tcW w:w="4550" w:type="dxa"/>
            <w:tcBorders/>
            <w:vAlign w:val="center"/>
          </w:tcPr>
          <w:p>
            <w:pPr>
              <w:pStyle w:val="TableContents"/>
              <w:bidi w:val="0"/>
              <w:spacing w:before="0" w:after="283"/>
              <w:jc w:val="left"/>
              <w:rPr/>
            </w:pPr>
            <w:r>
              <w:rPr/>
              <w:t>Other income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(73,957</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(1,160</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(182,877</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(1,160</w:t>
            </w:r>
          </w:p>
        </w:tc>
        <w:tc>
          <w:tcPr>
            <w:tcW w:w="110" w:type="dxa"/>
            <w:tcBorders/>
            <w:vAlign w:val="center"/>
          </w:tcPr>
          <w:p>
            <w:pPr>
              <w:pStyle w:val="TableContents"/>
              <w:bidi w:val="0"/>
              <w:spacing w:before="0" w:after="283"/>
              <w:jc w:val="left"/>
              <w:rPr/>
            </w:pPr>
            <w:r>
              <w:rPr/>
              <w:t>)</w:t>
            </w:r>
          </w:p>
        </w:tc>
      </w:tr>
      <w:tr>
        <w:trPr/>
        <w:tc>
          <w:tcPr>
            <w:tcW w:w="4550" w:type="dxa"/>
            <w:tcBorders/>
            <w:shd w:fill="CCEEFF" w:val="clear"/>
            <w:vAlign w:val="center"/>
          </w:tcPr>
          <w:p>
            <w:pPr>
              <w:pStyle w:val="TableContents"/>
              <w:bidi w:val="0"/>
              <w:spacing w:before="0" w:after="283"/>
              <w:jc w:val="left"/>
              <w:rPr/>
            </w:pPr>
            <w:r>
              <w:rPr/>
              <w:t>Loss on debt extinguishment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380,741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380,741</w:t>
            </w:r>
          </w:p>
        </w:tc>
        <w:tc>
          <w:tcPr>
            <w:tcW w:w="110" w:type="dxa"/>
            <w:tcBorders/>
            <w:shd w:fill="CCEEFF" w:val="clear"/>
            <w:vAlign w:val="center"/>
          </w:tcPr>
          <w:p>
            <w:pPr>
              <w:pStyle w:val="TableContents"/>
              <w:bidi w:val="0"/>
              <w:spacing w:before="0" w:after="283"/>
              <w:jc w:val="left"/>
              <w:rPr/>
            </w:pPr>
            <w:r>
              <w:rPr/>
              <w:t> </w:t>
            </w:r>
          </w:p>
        </w:tc>
      </w:tr>
      <w:tr>
        <w:trPr/>
        <w:tc>
          <w:tcPr>
            <w:tcW w:w="4550" w:type="dxa"/>
            <w:tcBorders/>
            <w:vAlign w:val="center"/>
          </w:tcPr>
          <w:p>
            <w:pPr>
              <w:pStyle w:val="TableContents"/>
              <w:bidi w:val="0"/>
              <w:spacing w:before="0" w:after="283"/>
              <w:jc w:val="left"/>
              <w:rPr/>
            </w:pPr>
            <w:r>
              <w:rPr/>
              <w:t>Conversion expense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7,476,000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7,476,000</w:t>
            </w:r>
          </w:p>
        </w:tc>
        <w:tc>
          <w:tcPr>
            <w:tcW w:w="110" w:type="dxa"/>
            <w:tcBorders/>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left"/>
              <w:rPr/>
            </w:pPr>
            <w:r>
              <w:rPr/>
              <w:t>Severance cost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8,638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17,917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14,251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828,958</w:t>
            </w:r>
          </w:p>
        </w:tc>
        <w:tc>
          <w:tcPr>
            <w:tcW w:w="110" w:type="dxa"/>
            <w:tcBorders/>
            <w:shd w:fill="CCEEFF" w:val="clear"/>
            <w:vAlign w:val="center"/>
          </w:tcPr>
          <w:p>
            <w:pPr>
              <w:pStyle w:val="TableContents"/>
              <w:bidi w:val="0"/>
              <w:spacing w:before="0" w:after="283"/>
              <w:jc w:val="left"/>
              <w:rPr/>
            </w:pPr>
            <w:r>
              <w:rPr/>
              <w:t> </w:t>
            </w:r>
          </w:p>
        </w:tc>
      </w:tr>
      <w:tr>
        <w:trPr/>
        <w:tc>
          <w:tcPr>
            <w:tcW w:w="4550" w:type="dxa"/>
            <w:tcBorders/>
            <w:vAlign w:val="center"/>
          </w:tcPr>
          <w:p>
            <w:pPr>
              <w:pStyle w:val="TableContents"/>
              <w:bidi w:val="0"/>
              <w:spacing w:before="0" w:after="283"/>
              <w:jc w:val="left"/>
              <w:rPr/>
            </w:pPr>
            <w:r>
              <w:rPr/>
              <w:t>Depreciation and amortization</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44,004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76,019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87,412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152,036</w:t>
            </w:r>
          </w:p>
        </w:tc>
        <w:tc>
          <w:tcPr>
            <w:tcW w:w="110" w:type="dxa"/>
            <w:tcBorders/>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left"/>
              <w:rPr/>
            </w:pPr>
            <w:r>
              <w:rPr/>
              <w:t>Non-cash recruiting fees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(54,000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438,000</w:t>
            </w:r>
          </w:p>
        </w:tc>
        <w:tc>
          <w:tcPr>
            <w:tcW w:w="110" w:type="dxa"/>
            <w:tcBorders/>
            <w:shd w:fill="CCEEFF" w:val="clear"/>
            <w:vAlign w:val="center"/>
          </w:tcPr>
          <w:p>
            <w:pPr>
              <w:pStyle w:val="TableContents"/>
              <w:bidi w:val="0"/>
              <w:spacing w:before="0" w:after="283"/>
              <w:jc w:val="left"/>
              <w:rPr/>
            </w:pPr>
            <w:r>
              <w:rPr/>
              <w:t> </w:t>
            </w:r>
          </w:p>
        </w:tc>
      </w:tr>
      <w:tr>
        <w:trPr/>
        <w:tc>
          <w:tcPr>
            <w:tcW w:w="4550" w:type="dxa"/>
            <w:tcBorders/>
            <w:vAlign w:val="center"/>
          </w:tcPr>
          <w:p>
            <w:pPr>
              <w:pStyle w:val="TableContents"/>
              <w:bidi w:val="0"/>
              <w:spacing w:before="0" w:after="283"/>
              <w:jc w:val="left"/>
              <w:rPr/>
            </w:pPr>
            <w:r>
              <w:rPr/>
              <w:t>Taxes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3,255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3,255</w:t>
            </w:r>
          </w:p>
        </w:tc>
        <w:tc>
          <w:tcPr>
            <w:tcW w:w="110" w:type="dxa"/>
            <w:tcBorders/>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left"/>
              <w:rPr/>
            </w:pPr>
            <w:r>
              <w:rPr/>
              <w:t>Stock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725,704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1,055,690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1,448,675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(1,542,902</w:t>
            </w:r>
          </w:p>
        </w:tc>
        <w:tc>
          <w:tcPr>
            <w:tcW w:w="110" w:type="dxa"/>
            <w:tcBorders/>
            <w:shd w:fill="CCEEFF" w:val="clear"/>
            <w:vAlign w:val="center"/>
          </w:tcPr>
          <w:p>
            <w:pPr>
              <w:pStyle w:val="TableContents"/>
              <w:bidi w:val="0"/>
              <w:spacing w:before="0" w:after="283"/>
              <w:jc w:val="left"/>
              <w:rPr/>
            </w:pPr>
            <w:r>
              <w:rPr/>
              <w:t>)</w:t>
            </w:r>
          </w:p>
        </w:tc>
      </w:tr>
      <w:tr>
        <w:trPr/>
        <w:tc>
          <w:tcPr>
            <w:tcW w:w="4550" w:type="dxa"/>
            <w:tcBorders/>
            <w:vAlign w:val="center"/>
          </w:tcPr>
          <w:p>
            <w:pPr>
              <w:pStyle w:val="TableContents"/>
              <w:bidi w:val="0"/>
              <w:spacing w:before="0" w:after="283"/>
              <w:jc w:val="left"/>
              <w:rPr/>
            </w:pPr>
            <w:r>
              <w:rPr/>
              <w:t>Adjusted EBITDA continuing operations (Non-GAAP)</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tcMar>
              <w:bottom w:w="28" w:type="dxa"/>
            </w:tcMar>
            <w:vAlign w:val="center"/>
          </w:tcPr>
          <w:p>
            <w:pPr>
              <w:pStyle w:val="TableContents"/>
              <w:bidi w:val="0"/>
              <w:spacing w:before="0" w:after="283"/>
              <w:jc w:val="right"/>
              <w:rPr/>
            </w:pPr>
            <w:r>
              <w:rPr/>
              <w:t>(2,546,483</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tcMar>
              <w:bottom w:w="28" w:type="dxa"/>
            </w:tcMar>
            <w:vAlign w:val="center"/>
          </w:tcPr>
          <w:p>
            <w:pPr>
              <w:pStyle w:val="TableContents"/>
              <w:bidi w:val="0"/>
              <w:spacing w:before="0" w:after="283"/>
              <w:jc w:val="right"/>
              <w:rPr/>
            </w:pPr>
            <w:r>
              <w:rPr/>
              <w:t>(1,663,749</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tcMar>
              <w:bottom w:w="28" w:type="dxa"/>
            </w:tcMar>
            <w:vAlign w:val="center"/>
          </w:tcPr>
          <w:p>
            <w:pPr>
              <w:pStyle w:val="TableContents"/>
              <w:bidi w:val="0"/>
              <w:spacing w:before="0" w:after="283"/>
              <w:jc w:val="right"/>
              <w:rPr/>
            </w:pPr>
            <w:r>
              <w:rPr/>
              <w:t>(4,927,850</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tcMar>
              <w:bottom w:w="28" w:type="dxa"/>
            </w:tcMar>
            <w:vAlign w:val="center"/>
          </w:tcPr>
          <w:p>
            <w:pPr>
              <w:pStyle w:val="TableContents"/>
              <w:bidi w:val="0"/>
              <w:spacing w:before="0" w:after="283"/>
              <w:jc w:val="right"/>
              <w:rPr/>
            </w:pPr>
            <w:r>
              <w:rPr/>
              <w:t>(3,864,836</w:t>
            </w:r>
          </w:p>
        </w:tc>
        <w:tc>
          <w:tcPr>
            <w:tcW w:w="110"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and Six Months Ended June 30, 2024 and June 30, 2023 – Continuing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and six months ended June 30, 2024, the Company’s revenues were approximately $280,000 and $438,000, respectively, compared to approximately $37,000 and $75,000, respectively, in the three and six months ended June 30, 2023, principally due to the recognition of revenue from new customer contracts signed in the 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xml:space="preserve"> half of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and six months ended June 30, 2024 compared to the three and six months ended June 30, 2023, general and administrative expense increased by approximately $0.2 million and $1.4 million, respectively. The increase for the six months period was comprised of a one-time event, representing an approximately $2.5 million reversal of stock-based compensation in Q1 2023 on stock awards with market vesting conditions resulting from Q1 2023 terminations, which was not repeated in 2024 and an approximately $1.1 million reduction in expense due to cost savings from the 2023 restructuring initiative.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and six months ended June 30, 2024 compared to the three and six months ended June 30, 2023, research and development expenses increased by approximately $0.7 million and $1.8 million, respectively. The increase was comprised of re-investment in employees and contractors following the 2023 restructuring as well as $0.8 million from the one-time reversal of stock-based compensation in Q1 2023 on stock awards with market vesting conditions resulting from Q1 2023 terminations, which was not repeated in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Depreciation and amortization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and six months ended June 30, 2024 compared to June 30, 2023, depreciation and amortization expense was approximately $0.03 million and $0.06 million less, respectively, as the Company reduced the value of certain legacy business asset values.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Interest expense, net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net includes interest expense, debt issuance and discount amortization expense. Interest expense decreased by approximately $0.3 million and $1.1 million during the three and six months ended June 30, 2024 compared to June 30, 2023 principally due to the exchange of Convertible Notes for common stock in May 2023.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and Six Months Ended June 30, 2024 and June 30, 2023 – Discontinued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4, 2022, the Board approved a plan to exit from certain non-core activities comprising the MultiPay correspondent bank, payments services in Colombia.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MultiPay business in Colombia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2023, MultiPay finalized the sale of the Company’s proprietary software to its major customer for approximately $96,000. As a result, the Company recognized a gain of approximately $216,000 which included the release of a foreign currency translation gain of approximately $155,000.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Company exited the MultiPay business in Colombia, it still maintains an authID customer support and operations team in Bogota which performs essential functions to support the global operations of our Verified and Proof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approximately $14.4 million of cash on hand and approximately $13.9 million of working capital as of June 30,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used in operating activities was approximately $5.7 million and $4.2 million in the six months ended June 30, 2024 and 2023,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used in investing activities for the six months ended June 30, 2024 was approximately $16,000, compared with $0 for six months ended June 30, 2023, for the payment of patent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provided by financing activities in the six months ended June 30, 2024 consisted of approximately $10.0 million in proceeds from the sale of common stock, net of offering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provided by financing activities in the six months ended June 30, 2023 consisted of approximately $6.4 million in proceeds from the sale of common stock, net of offering costs, and $0.5 million initial drawdown net of debt issuance costs under the Company’s A&amp;R Facility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the Company will need to raise additional funds to support its operations and investments as it seeks to create a sustainable organization. Our growth-oriented business plan to offer products to our customers will require continued capital investment and there is no guarantee that such financing will be available, or available on acceptable terms.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guarantee that our current business plan will not change, and as a result of such change, we will need additional capital to implement such business plan. Further, assuming we achieve our expected growth plan, of which there is no guarantee, we will need additional capital to implement growth beyond our current business plan.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Ukraine and the Middle East</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 in Ukraine and the Middle East may impact the Company and its operations in a number of different ways, which are yet to be fully assessed and are therefore uncertain. The Company’s principal concern is for the safety of the personnel who support us from those regions. The Company works with third party sub-contractors for outsourced services, including software engineering and development, some of whom are based in Eastern Europe. The Company also works with outsourced engineers and developers and third-party providers in other parts of the world, including the United States, Europe, India, and Latin America. While the continuing impact of this conflict and the response of the United States and other countries to it by means of trade and economic sanctions, or other actions is still unknown, it could disrupt our ability to work with certain contractors. The Company has taken steps to diversify its sub-contractor base, which may in the short term give rise to additional costs and delays in delivering software and product upgrades.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uncertainty impacting and potential interruption in energy and other supply chains resulting from military hostilities in Europe and the Middle East and the response of the United States and other countries to it by means of trade and economic sanctions, or other actions, may give rise to increases in costs of goods and services generally and may impact the market for our products as prospective customers reconsider additional capital expenditure, or other investment plans until the situation becomes clearer. On the other hand, the threat of increased cyber-attacks from multiple threat actors, including state-sponsored organizations may prompt enterprises to adopt additional security measures such as those offered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so long as the hostilities continue and perhaps even thereafter as the situation in Europe and the Middle East unfolds, we may see increased volatility in financial markets and a flight to safety by investors, which may impact our stock price and make it more difficult for the Company to raise additional capital at the time when it needs to do so, or for financing to be available upon acceptable terms. All or any of these risks separately, or in combination could have a material adverse effect on our business, financial condition, results of operations, and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 off-balance sheet arrangements that are reasonably likely to have a current or future effect on our financial condition, changes in financial condition, revenues or expenses, results of operations, liquidity, capital expenditures or capital resources that is deemed by our management to be material to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recent material accounting policies that may be the most critical to understanding of the financial results and conditions are discussed in Note 1 of the unaudited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smaller reporting company, we are not required to include disclosure under this item.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ITEM 4.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Evaluation of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end of the period covered by this Quarterly Report, our Chief Executive Officer and Chief Financial Officer performed an evaluation of the effectiveness of our disclosure controls and procedures as defined in Rules 13a-15(e) and 15d-15(e) of the Exchange Act. Based on the evaluation, the Chief Executive Officer and Chief Financial Officer concluded that, as of June 30, 2024, the Company’s disclosure controls and procedures are effective to ensure that the information required to be disclosed by the Company in the report that it files or submits under the Exchange Act is recorded, processed, summarized, and reported within the time periods specified in SEC rules and forms.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changes in our internal control over financial reporting (as that term is defined in Rules 13a-15(f) and 15d-15(f) under the Exchange Act) that occurred during the six months ended June 30, 2024 that have materially affected, or are reasonably likely to materially affect, our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PART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4" w:name="a_013"/>
      <w:bookmarkEnd w:id="14"/>
      <w:r>
        <w:rPr>
          <w:rFonts w:ascii="Times New Roman;Times;Serif" w:hAnsi="Times New Roman;Times;Serif"/>
          <w:b/>
          <w:i w:val="false"/>
          <w:caps w:val="false"/>
          <w:smallCaps w:val="false"/>
          <w:sz w:val="20"/>
        </w:rPr>
        <w:t>ITEM 1. 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is a party to various legal or administrative proceedings arising in the ordinary course of business. While any litigation contains an element of uncertainty, we have no reason to believe the outcome of such proceedings will have a material adverse effect on the financial condition or results of operations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5" w:name="a_014"/>
      <w:bookmarkEnd w:id="15"/>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 factors describing the major risks to our business can be found under Item 1A, “Risk Factors”, in our Annual Report on Form 10-K for the year ended December 31, 2023. There has been no material change in our risk factors from those previously discussed in the Annual Report on Form 10-K.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6" w:name="a_015"/>
      <w:bookmarkEnd w:id="16"/>
      <w:r>
        <w:rPr>
          <w:rFonts w:ascii="Times New Roman;Times;Serif" w:hAnsi="Times New Roman;Times;Serif"/>
          <w:b/>
          <w:i w:val="false"/>
          <w:caps w:val="false"/>
          <w:smallCaps w:val="false"/>
          <w:sz w:val="20"/>
        </w:rPr>
        <w:t>ITEM 2. UNREGISTERED SALES OF EQUITY SECURITIES AND 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2024, the Company granted a total of 100,000 options to certain new employees at exercise prices ranging from $9.05 to $9.61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Mehta, a director of the Company, was granted an option to purchase 13,282 shares of common stock at an exercise price of $7.78 per share. 12,500 of the shares vest annually in equal amounts over a three-year period commencing in 2025 and 782 shares vested monthly in equal amounts over a three-month period commencing March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issued 5,666 shares of common stock in connection with the cashless exercise of stock options by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the above securities is exempt from the registration requirements under Rule 4(a)(2) of the Securities Act of 1933, as amended, and/or Rule 506 as promulgated under Regulation 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7" w:name="a_016"/>
      <w:bookmarkEnd w:id="17"/>
      <w:r>
        <w:rPr>
          <w:rFonts w:ascii="Times New Roman;Times;Serif" w:hAnsi="Times New Roman;Times;Serif"/>
          <w:b/>
          <w:i w:val="false"/>
          <w:caps w:val="false"/>
          <w:smallCaps w:val="false"/>
          <w:sz w:val="20"/>
        </w:rPr>
        <w:t>ITEM 3. DEFAULTS UPON SENIOR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8" w:name="a_017"/>
      <w:bookmarkEnd w:id="18"/>
      <w:r>
        <w:rPr>
          <w:rFonts w:ascii="Times New Roman;Times;Serif" w:hAnsi="Times New Roman;Times;Serif"/>
          <w:b/>
          <w:i w:val="false"/>
          <w:caps w:val="false"/>
          <w:smallCaps w:val="false"/>
          <w:sz w:val="20"/>
        </w:rPr>
        <w:t>ITEM 4. MINE SAFETY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 to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9" w:name="a_018"/>
      <w:bookmarkEnd w:id="19"/>
      <w:r>
        <w:rPr>
          <w:rFonts w:ascii="Times New Roman;Times;Serif" w:hAnsi="Times New Roman;Times;Serif"/>
          <w:b/>
          <w:i w:val="false"/>
          <w:caps w:val="false"/>
          <w:smallCaps w:val="false"/>
          <w:sz w:val="20"/>
        </w:rPr>
        <w:t>ITEM 5. 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Retirement of Joseph Trelin and Appointment of Kunal Metha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15, 2024, Mr. Joe Trelin tendered his resignation as Chairman and a Director of the Company, effective immediately. On February 20, 2024, the Board of Directors of the Company accepted his resignation and agreed to vest the unvested portion of an option granted to Mr. Trelin June 28, 2023, amounting to 6,511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25, 2024, Kunal Mehta was appointed as an independent member of the Board of Directors of the Company. Mr. Mehta entered into a letter agreement with the Company upon standard terms for non-employee directors. Mr. Mehta was granted an option to purchase 13,282 shares of common stock at an exercise price of $7.78 per share. 12,500 of the shares vest annually in equal amounts over a three-year period commencing in 2025 and 782 shares vested monthly in equal amounts over a three-month period commencing March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Amendment of Certificate of Incorporation.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26, 2024, the Company filed an amendment to its Certificate of Incorporation with the Delaware Secretary of State which reduced the number of shares of Common Stock, which the Company is authorized to issue from 250,000,000 to 150,000,000.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20" w:name="a_019"/>
      <w:bookmarkEnd w:id="20"/>
      <w:r>
        <w:rPr>
          <w:rFonts w:ascii="Times New Roman;Times;Serif" w:hAnsi="Times New Roman;Times;Serif"/>
          <w:b/>
          <w:i w:val="false"/>
          <w:caps w:val="false"/>
          <w:smallCaps w:val="false"/>
          <w:sz w:val="20"/>
        </w:rPr>
        <w:t>ITEM 6. EXHIBITS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40"/>
        <w:gridCol w:w="60"/>
        <w:gridCol w:w="9305"/>
      </w:tblGrid>
      <w:tr>
        <w:trPr/>
        <w:tc>
          <w:tcPr>
            <w:tcW w:w="840" w:type="dxa"/>
            <w:tcBorders>
              <w:bottom w:val="single" w:sz="12" w:space="0" w:color="000000"/>
            </w:tcBorders>
            <w:vAlign w:val="center"/>
          </w:tcPr>
          <w:p>
            <w:pPr>
              <w:pStyle w:val="TableContents"/>
              <w:bidi w:val="0"/>
              <w:spacing w:before="0" w:after="283"/>
              <w:jc w:val="both"/>
              <w:rPr>
                <w:b/>
                <w:sz w:val="20"/>
              </w:rPr>
            </w:pPr>
            <w:r>
              <w:rPr>
                <w:b/>
                <w:sz w:val="20"/>
              </w:rPr>
              <w:t>Exhibit</w:t>
              <w:br/>
              <w:t>Number</w:t>
            </w:r>
          </w:p>
        </w:tc>
        <w:tc>
          <w:tcPr>
            <w:tcW w:w="60" w:type="dxa"/>
            <w:tcBorders/>
            <w:tcMar>
              <w:bottom w:w="0" w:type="dxa"/>
            </w:tcMar>
            <w:vAlign w:val="center"/>
          </w:tcPr>
          <w:p>
            <w:pPr>
              <w:pStyle w:val="TableContents"/>
              <w:bidi w:val="0"/>
              <w:spacing w:before="0" w:after="283"/>
              <w:jc w:val="left"/>
              <w:rPr/>
            </w:pPr>
            <w:r>
              <w:rPr/>
              <w:t> </w:t>
            </w:r>
          </w:p>
        </w:tc>
        <w:tc>
          <w:tcPr>
            <w:tcW w:w="9305" w:type="dxa"/>
            <w:tcBorders>
              <w:bottom w:val="single" w:sz="12" w:space="0" w:color="000000"/>
            </w:tcBorders>
            <w:vAlign w:val="center"/>
          </w:tcPr>
          <w:p>
            <w:pPr>
              <w:pStyle w:val="TableContents"/>
              <w:bidi w:val="0"/>
              <w:spacing w:before="0" w:after="283"/>
              <w:jc w:val="both"/>
              <w:rPr>
                <w:b/>
                <w:sz w:val="20"/>
              </w:rPr>
            </w:pPr>
            <w:r>
              <w:rPr>
                <w:b/>
                <w:sz w:val="20"/>
              </w:rPr>
              <w:t>Description</w:t>
            </w:r>
          </w:p>
        </w:tc>
      </w:tr>
      <w:tr>
        <w:trPr/>
        <w:tc>
          <w:tcPr>
            <w:tcW w:w="840" w:type="dxa"/>
            <w:tcBorders/>
            <w:shd w:fill="CCEEFF" w:val="clear"/>
            <w:tcMar>
              <w:bottom w:w="0" w:type="dxa"/>
            </w:tcMar>
            <w:vAlign w:val="center"/>
          </w:tcPr>
          <w:p>
            <w:pPr>
              <w:pStyle w:val="TableContents"/>
              <w:bidi w:val="0"/>
              <w:spacing w:before="0" w:after="283"/>
              <w:jc w:val="both"/>
              <w:rPr>
                <w:sz w:val="20"/>
              </w:rPr>
            </w:pPr>
            <w:r>
              <w:rPr>
                <w:sz w:val="20"/>
              </w:rPr>
              <w:t>3.1 (1)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05" w:type="dxa"/>
            <w:tcBorders/>
            <w:shd w:fill="CCEEFF" w:val="clear"/>
            <w:tcMar>
              <w:bottom w:w="0" w:type="dxa"/>
            </w:tcMar>
            <w:vAlign w:val="center"/>
          </w:tcPr>
          <w:p>
            <w:pPr>
              <w:pStyle w:val="TableContents"/>
              <w:bidi w:val="0"/>
              <w:spacing w:before="0" w:after="283"/>
              <w:jc w:val="both"/>
              <w:rPr/>
            </w:pPr>
            <w:hyperlink r:id="rId3">
              <w:r>
                <w:rPr>
                  <w:rStyle w:val="InternetLink"/>
                  <w:sz w:val="20"/>
                </w:rPr>
                <w:t>Amended &amp; Restated Certificate of Incorporation</w:t>
              </w:r>
            </w:hyperlink>
          </w:p>
        </w:tc>
      </w:tr>
      <w:tr>
        <w:trPr/>
        <w:tc>
          <w:tcPr>
            <w:tcW w:w="840" w:type="dxa"/>
            <w:tcBorders/>
            <w:tcMar>
              <w:bottom w:w="0" w:type="dxa"/>
            </w:tcMar>
            <w:vAlign w:val="center"/>
          </w:tcPr>
          <w:p>
            <w:pPr>
              <w:pStyle w:val="TableContents"/>
              <w:bidi w:val="0"/>
              <w:spacing w:before="0" w:after="283"/>
              <w:jc w:val="both"/>
              <w:rPr>
                <w:sz w:val="20"/>
              </w:rPr>
            </w:pPr>
            <w:r>
              <w:rPr>
                <w:sz w:val="20"/>
              </w:rPr>
              <w:t>3.2 (14)</w:t>
            </w:r>
          </w:p>
        </w:tc>
        <w:tc>
          <w:tcPr>
            <w:tcW w:w="60" w:type="dxa"/>
            <w:tcBorders/>
            <w:tcMar>
              <w:bottom w:w="0" w:type="dxa"/>
            </w:tcMar>
            <w:vAlign w:val="center"/>
          </w:tcPr>
          <w:p>
            <w:pPr>
              <w:pStyle w:val="TableContents"/>
              <w:bidi w:val="0"/>
              <w:spacing w:before="0" w:after="283"/>
              <w:jc w:val="left"/>
              <w:rPr/>
            </w:pPr>
            <w:r>
              <w:rPr/>
              <w:t> </w:t>
            </w:r>
          </w:p>
        </w:tc>
        <w:tc>
          <w:tcPr>
            <w:tcW w:w="9305" w:type="dxa"/>
            <w:tcBorders/>
            <w:tcMar>
              <w:bottom w:w="0" w:type="dxa"/>
            </w:tcMar>
            <w:vAlign w:val="center"/>
          </w:tcPr>
          <w:p>
            <w:pPr>
              <w:pStyle w:val="TableContents"/>
              <w:bidi w:val="0"/>
              <w:spacing w:before="0" w:after="283"/>
              <w:jc w:val="both"/>
              <w:rPr/>
            </w:pPr>
            <w:hyperlink r:id="rId4">
              <w:r>
                <w:rPr>
                  <w:rStyle w:val="InternetLink"/>
                  <w:sz w:val="20"/>
                </w:rPr>
                <w:t>Amended &amp; Restated Bylaws as of July 18, 2022</w:t>
              </w:r>
            </w:hyperlink>
          </w:p>
        </w:tc>
      </w:tr>
      <w:tr>
        <w:trPr/>
        <w:tc>
          <w:tcPr>
            <w:tcW w:w="840" w:type="dxa"/>
            <w:tcBorders/>
            <w:shd w:fill="CCEEFF" w:val="clear"/>
            <w:tcMar>
              <w:bottom w:w="0" w:type="dxa"/>
            </w:tcMar>
            <w:vAlign w:val="center"/>
          </w:tcPr>
          <w:p>
            <w:pPr>
              <w:pStyle w:val="TableContents"/>
              <w:bidi w:val="0"/>
              <w:spacing w:before="0" w:after="283"/>
              <w:jc w:val="both"/>
              <w:rPr>
                <w:sz w:val="20"/>
              </w:rPr>
            </w:pPr>
            <w:r>
              <w:rPr>
                <w:sz w:val="20"/>
              </w:rPr>
              <w:t>3.3 (2)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05" w:type="dxa"/>
            <w:tcBorders/>
            <w:shd w:fill="CCEEFF" w:val="clear"/>
            <w:tcMar>
              <w:bottom w:w="0" w:type="dxa"/>
            </w:tcMar>
            <w:vAlign w:val="center"/>
          </w:tcPr>
          <w:p>
            <w:pPr>
              <w:pStyle w:val="TableContents"/>
              <w:bidi w:val="0"/>
              <w:spacing w:before="0" w:after="283"/>
              <w:jc w:val="both"/>
              <w:rPr/>
            </w:pPr>
            <w:hyperlink r:id="rId5">
              <w:r>
                <w:rPr>
                  <w:rStyle w:val="InternetLink"/>
                  <w:sz w:val="20"/>
                </w:rPr>
                <w:t>Certificate of Amendment dated June 1, 2021</w:t>
              </w:r>
            </w:hyperlink>
          </w:p>
        </w:tc>
      </w:tr>
      <w:tr>
        <w:trPr/>
        <w:tc>
          <w:tcPr>
            <w:tcW w:w="840" w:type="dxa"/>
            <w:tcBorders/>
            <w:tcMar>
              <w:bottom w:w="0" w:type="dxa"/>
            </w:tcMar>
            <w:vAlign w:val="center"/>
          </w:tcPr>
          <w:p>
            <w:pPr>
              <w:pStyle w:val="TableContents"/>
              <w:bidi w:val="0"/>
              <w:spacing w:before="0" w:after="283"/>
              <w:jc w:val="both"/>
              <w:rPr>
                <w:sz w:val="20"/>
              </w:rPr>
            </w:pPr>
            <w:r>
              <w:rPr>
                <w:sz w:val="20"/>
              </w:rPr>
              <w:t>3.4 (14)</w:t>
            </w:r>
          </w:p>
        </w:tc>
        <w:tc>
          <w:tcPr>
            <w:tcW w:w="60" w:type="dxa"/>
            <w:tcBorders/>
            <w:tcMar>
              <w:bottom w:w="0" w:type="dxa"/>
            </w:tcMar>
            <w:vAlign w:val="center"/>
          </w:tcPr>
          <w:p>
            <w:pPr>
              <w:pStyle w:val="TableContents"/>
              <w:bidi w:val="0"/>
              <w:spacing w:before="0" w:after="283"/>
              <w:jc w:val="left"/>
              <w:rPr/>
            </w:pPr>
            <w:r>
              <w:rPr/>
              <w:t> </w:t>
            </w:r>
          </w:p>
        </w:tc>
        <w:tc>
          <w:tcPr>
            <w:tcW w:w="9305" w:type="dxa"/>
            <w:tcBorders/>
            <w:tcMar>
              <w:bottom w:w="0" w:type="dxa"/>
            </w:tcMar>
            <w:vAlign w:val="center"/>
          </w:tcPr>
          <w:p>
            <w:pPr>
              <w:pStyle w:val="TableContents"/>
              <w:bidi w:val="0"/>
              <w:spacing w:before="0" w:after="283"/>
              <w:jc w:val="both"/>
              <w:rPr/>
            </w:pPr>
            <w:hyperlink r:id="rId6">
              <w:r>
                <w:rPr>
                  <w:rStyle w:val="InternetLink"/>
                  <w:sz w:val="20"/>
                </w:rPr>
                <w:t>Certificate of Amendment to Amended and Restated Certificate of Incorporation as of July 18, 2022</w:t>
              </w:r>
            </w:hyperlink>
          </w:p>
        </w:tc>
      </w:tr>
      <w:tr>
        <w:trPr/>
        <w:tc>
          <w:tcPr>
            <w:tcW w:w="840" w:type="dxa"/>
            <w:tcBorders/>
            <w:shd w:fill="CCEEFF" w:val="clear"/>
            <w:tcMar>
              <w:bottom w:w="0" w:type="dxa"/>
            </w:tcMar>
            <w:vAlign w:val="center"/>
          </w:tcPr>
          <w:p>
            <w:pPr>
              <w:pStyle w:val="TableContents"/>
              <w:bidi w:val="0"/>
              <w:spacing w:before="0" w:after="283"/>
              <w:jc w:val="both"/>
              <w:rPr>
                <w:sz w:val="20"/>
              </w:rPr>
            </w:pPr>
            <w:r>
              <w:rPr>
                <w:sz w:val="20"/>
              </w:rPr>
              <w:t>3.5 (15)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05" w:type="dxa"/>
            <w:tcBorders/>
            <w:shd w:fill="CCEEFF" w:val="clear"/>
            <w:tcMar>
              <w:bottom w:w="0" w:type="dxa"/>
            </w:tcMar>
            <w:vAlign w:val="center"/>
          </w:tcPr>
          <w:p>
            <w:pPr>
              <w:pStyle w:val="TableContents"/>
              <w:bidi w:val="0"/>
              <w:spacing w:before="0" w:after="283"/>
              <w:jc w:val="both"/>
              <w:rPr/>
            </w:pPr>
            <w:hyperlink r:id="rId7">
              <w:r>
                <w:rPr>
                  <w:rStyle w:val="InternetLink"/>
                  <w:sz w:val="20"/>
                </w:rPr>
                <w:t>Certificate of Amendment to Amended and Restated Certificate of Incorporation as of September 21, 2022</w:t>
              </w:r>
            </w:hyperlink>
          </w:p>
        </w:tc>
      </w:tr>
      <w:tr>
        <w:trPr/>
        <w:tc>
          <w:tcPr>
            <w:tcW w:w="840" w:type="dxa"/>
            <w:tcBorders/>
            <w:tcMar>
              <w:bottom w:w="0" w:type="dxa"/>
            </w:tcMar>
            <w:vAlign w:val="center"/>
          </w:tcPr>
          <w:p>
            <w:pPr>
              <w:pStyle w:val="TableContents"/>
              <w:bidi w:val="0"/>
              <w:spacing w:before="0" w:after="283"/>
              <w:jc w:val="both"/>
              <w:rPr>
                <w:sz w:val="20"/>
              </w:rPr>
            </w:pPr>
            <w:r>
              <w:rPr>
                <w:sz w:val="20"/>
              </w:rPr>
              <w:t>3.6 (23)</w:t>
            </w:r>
          </w:p>
        </w:tc>
        <w:tc>
          <w:tcPr>
            <w:tcW w:w="60" w:type="dxa"/>
            <w:tcBorders/>
            <w:tcMar>
              <w:bottom w:w="0" w:type="dxa"/>
            </w:tcMar>
            <w:vAlign w:val="center"/>
          </w:tcPr>
          <w:p>
            <w:pPr>
              <w:pStyle w:val="TableContents"/>
              <w:bidi w:val="0"/>
              <w:spacing w:before="0" w:after="283"/>
              <w:jc w:val="left"/>
              <w:rPr/>
            </w:pPr>
            <w:r>
              <w:rPr/>
              <w:t> </w:t>
            </w:r>
          </w:p>
        </w:tc>
        <w:tc>
          <w:tcPr>
            <w:tcW w:w="9305" w:type="dxa"/>
            <w:tcBorders/>
            <w:tcMar>
              <w:bottom w:w="0" w:type="dxa"/>
            </w:tcMar>
            <w:vAlign w:val="center"/>
          </w:tcPr>
          <w:p>
            <w:pPr>
              <w:pStyle w:val="TableContents"/>
              <w:bidi w:val="0"/>
              <w:spacing w:before="0" w:after="283"/>
              <w:jc w:val="both"/>
              <w:rPr/>
            </w:pPr>
            <w:hyperlink r:id="rId8">
              <w:r>
                <w:rPr>
                  <w:rStyle w:val="InternetLink"/>
                  <w:sz w:val="20"/>
                </w:rPr>
                <w:t>Certificate of Amendment to the Amended and Restated Certificate of Incorporation dated June 26, 2023</w:t>
              </w:r>
            </w:hyperlink>
          </w:p>
        </w:tc>
      </w:tr>
      <w:tr>
        <w:trPr/>
        <w:tc>
          <w:tcPr>
            <w:tcW w:w="840" w:type="dxa"/>
            <w:tcBorders/>
            <w:shd w:fill="CCEEFF" w:val="clear"/>
            <w:tcMar>
              <w:bottom w:w="0" w:type="dxa"/>
            </w:tcMar>
            <w:vAlign w:val="center"/>
          </w:tcPr>
          <w:p>
            <w:pPr>
              <w:pStyle w:val="TableContents"/>
              <w:bidi w:val="0"/>
              <w:spacing w:before="0" w:after="283"/>
              <w:jc w:val="both"/>
              <w:rPr>
                <w:sz w:val="20"/>
              </w:rPr>
            </w:pPr>
            <w:r>
              <w:rPr>
                <w:sz w:val="20"/>
              </w:rPr>
              <w:t>3.7(31)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05" w:type="dxa"/>
            <w:tcBorders/>
            <w:shd w:fill="CCEEFF" w:val="clear"/>
            <w:tcMar>
              <w:bottom w:w="0" w:type="dxa"/>
            </w:tcMar>
            <w:vAlign w:val="center"/>
          </w:tcPr>
          <w:p>
            <w:pPr>
              <w:pStyle w:val="TableContents"/>
              <w:bidi w:val="0"/>
              <w:spacing w:before="0" w:after="283"/>
              <w:jc w:val="both"/>
              <w:rPr/>
            </w:pPr>
            <w:hyperlink r:id="rId9">
              <w:r>
                <w:rPr>
                  <w:rStyle w:val="InternetLink"/>
                  <w:sz w:val="20"/>
                </w:rPr>
                <w:t>Certificate of Amendment to the Certificate of Incorporation</w:t>
              </w:r>
            </w:hyperlink>
          </w:p>
        </w:tc>
      </w:tr>
      <w:tr>
        <w:trPr/>
        <w:tc>
          <w:tcPr>
            <w:tcW w:w="840" w:type="dxa"/>
            <w:tcBorders/>
            <w:tcMar>
              <w:bottom w:w="0" w:type="dxa"/>
            </w:tcMar>
            <w:vAlign w:val="center"/>
          </w:tcPr>
          <w:p>
            <w:pPr>
              <w:pStyle w:val="TableContents"/>
              <w:bidi w:val="0"/>
              <w:spacing w:before="0" w:after="283"/>
              <w:jc w:val="both"/>
              <w:rPr>
                <w:sz w:val="20"/>
              </w:rPr>
            </w:pPr>
            <w:r>
              <w:rPr>
                <w:sz w:val="20"/>
              </w:rPr>
              <w:t>4.1 (2)</w:t>
            </w:r>
          </w:p>
        </w:tc>
        <w:tc>
          <w:tcPr>
            <w:tcW w:w="60" w:type="dxa"/>
            <w:tcBorders/>
            <w:tcMar>
              <w:bottom w:w="0" w:type="dxa"/>
            </w:tcMar>
            <w:vAlign w:val="center"/>
          </w:tcPr>
          <w:p>
            <w:pPr>
              <w:pStyle w:val="TableContents"/>
              <w:bidi w:val="0"/>
              <w:spacing w:before="0" w:after="283"/>
              <w:jc w:val="left"/>
              <w:rPr/>
            </w:pPr>
            <w:r>
              <w:rPr/>
              <w:t> </w:t>
            </w:r>
          </w:p>
        </w:tc>
        <w:tc>
          <w:tcPr>
            <w:tcW w:w="9305" w:type="dxa"/>
            <w:tcBorders/>
            <w:tcMar>
              <w:bottom w:w="0" w:type="dxa"/>
            </w:tcMar>
            <w:vAlign w:val="center"/>
          </w:tcPr>
          <w:p>
            <w:pPr>
              <w:pStyle w:val="TableContents"/>
              <w:bidi w:val="0"/>
              <w:spacing w:before="0" w:after="283"/>
              <w:jc w:val="both"/>
              <w:rPr/>
            </w:pPr>
            <w:hyperlink r:id="rId10">
              <w:r>
                <w:rPr>
                  <w:rStyle w:val="InternetLink"/>
                  <w:sz w:val="20"/>
                </w:rPr>
                <w:t>Form of Stock Option</w:t>
              </w:r>
            </w:hyperlink>
          </w:p>
        </w:tc>
      </w:tr>
      <w:tr>
        <w:trPr/>
        <w:tc>
          <w:tcPr>
            <w:tcW w:w="840" w:type="dxa"/>
            <w:tcBorders/>
            <w:shd w:fill="CCEEFF" w:val="clear"/>
            <w:tcMar>
              <w:bottom w:w="0" w:type="dxa"/>
            </w:tcMar>
            <w:vAlign w:val="center"/>
          </w:tcPr>
          <w:p>
            <w:pPr>
              <w:pStyle w:val="TableContents"/>
              <w:bidi w:val="0"/>
              <w:spacing w:before="0" w:after="283"/>
              <w:jc w:val="both"/>
              <w:rPr>
                <w:sz w:val="20"/>
              </w:rPr>
            </w:pPr>
            <w:r>
              <w:rPr>
                <w:sz w:val="20"/>
              </w:rPr>
              <w:t>4.2 (3)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05" w:type="dxa"/>
            <w:tcBorders/>
            <w:shd w:fill="CCEEFF" w:val="clear"/>
            <w:tcMar>
              <w:bottom w:w="0" w:type="dxa"/>
            </w:tcMar>
            <w:vAlign w:val="center"/>
          </w:tcPr>
          <w:p>
            <w:pPr>
              <w:pStyle w:val="TableContents"/>
              <w:bidi w:val="0"/>
              <w:spacing w:before="0" w:after="283"/>
              <w:jc w:val="both"/>
              <w:rPr/>
            </w:pPr>
            <w:hyperlink r:id="rId11">
              <w:r>
                <w:rPr>
                  <w:rStyle w:val="InternetLink"/>
                  <w:sz w:val="20"/>
                </w:rPr>
                <w:t>Form of 8.0% Convertible Note</w:t>
              </w:r>
            </w:hyperlink>
          </w:p>
        </w:tc>
      </w:tr>
      <w:tr>
        <w:trPr/>
        <w:tc>
          <w:tcPr>
            <w:tcW w:w="840" w:type="dxa"/>
            <w:tcBorders/>
            <w:tcMar>
              <w:bottom w:w="0" w:type="dxa"/>
            </w:tcMar>
            <w:vAlign w:val="center"/>
          </w:tcPr>
          <w:p>
            <w:pPr>
              <w:pStyle w:val="TableContents"/>
              <w:bidi w:val="0"/>
              <w:spacing w:before="0" w:after="283"/>
              <w:jc w:val="both"/>
              <w:rPr>
                <w:sz w:val="20"/>
              </w:rPr>
            </w:pPr>
            <w:r>
              <w:rPr>
                <w:sz w:val="20"/>
              </w:rPr>
              <w:t>4.3 (4)</w:t>
            </w:r>
          </w:p>
        </w:tc>
        <w:tc>
          <w:tcPr>
            <w:tcW w:w="60" w:type="dxa"/>
            <w:tcBorders/>
            <w:tcMar>
              <w:bottom w:w="0" w:type="dxa"/>
            </w:tcMar>
            <w:vAlign w:val="center"/>
          </w:tcPr>
          <w:p>
            <w:pPr>
              <w:pStyle w:val="TableContents"/>
              <w:bidi w:val="0"/>
              <w:spacing w:before="0" w:after="283"/>
              <w:jc w:val="left"/>
              <w:rPr/>
            </w:pPr>
            <w:r>
              <w:rPr/>
              <w:t> </w:t>
            </w:r>
          </w:p>
        </w:tc>
        <w:tc>
          <w:tcPr>
            <w:tcW w:w="9305" w:type="dxa"/>
            <w:tcBorders/>
            <w:tcMar>
              <w:bottom w:w="0" w:type="dxa"/>
            </w:tcMar>
            <w:vAlign w:val="center"/>
          </w:tcPr>
          <w:p>
            <w:pPr>
              <w:pStyle w:val="TableContents"/>
              <w:bidi w:val="0"/>
              <w:spacing w:before="0" w:after="283"/>
              <w:jc w:val="both"/>
              <w:rPr/>
            </w:pPr>
            <w:hyperlink r:id="rId12">
              <w:r>
                <w:rPr>
                  <w:rStyle w:val="InternetLink"/>
                  <w:sz w:val="20"/>
                </w:rPr>
                <w:t>Form of 15.0% Convertible Note</w:t>
              </w:r>
            </w:hyperlink>
          </w:p>
        </w:tc>
      </w:tr>
      <w:tr>
        <w:trPr/>
        <w:tc>
          <w:tcPr>
            <w:tcW w:w="840" w:type="dxa"/>
            <w:tcBorders/>
            <w:shd w:fill="CCEEFF" w:val="clear"/>
            <w:tcMar>
              <w:bottom w:w="0" w:type="dxa"/>
            </w:tcMar>
            <w:vAlign w:val="center"/>
          </w:tcPr>
          <w:p>
            <w:pPr>
              <w:pStyle w:val="TableContents"/>
              <w:bidi w:val="0"/>
              <w:spacing w:before="0" w:after="283"/>
              <w:jc w:val="both"/>
              <w:rPr>
                <w:sz w:val="20"/>
              </w:rPr>
            </w:pPr>
            <w:r>
              <w:rPr>
                <w:sz w:val="20"/>
              </w:rPr>
              <w:t>4.4 (4)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05" w:type="dxa"/>
            <w:tcBorders/>
            <w:shd w:fill="CCEEFF" w:val="clear"/>
            <w:tcMar>
              <w:bottom w:w="0" w:type="dxa"/>
            </w:tcMar>
            <w:vAlign w:val="center"/>
          </w:tcPr>
          <w:p>
            <w:pPr>
              <w:pStyle w:val="TableContents"/>
              <w:bidi w:val="0"/>
              <w:spacing w:before="0" w:after="283"/>
              <w:jc w:val="both"/>
              <w:rPr/>
            </w:pPr>
            <w:hyperlink r:id="rId13">
              <w:r>
                <w:rPr>
                  <w:rStyle w:val="InternetLink"/>
                  <w:sz w:val="20"/>
                </w:rPr>
                <w:t>Amended and Restated Promissory Note issued to The Theodore Stern Revocable Trust</w:t>
              </w:r>
            </w:hyperlink>
          </w:p>
        </w:tc>
      </w:tr>
      <w:tr>
        <w:trPr/>
        <w:tc>
          <w:tcPr>
            <w:tcW w:w="840" w:type="dxa"/>
            <w:tcBorders/>
            <w:tcMar>
              <w:bottom w:w="0" w:type="dxa"/>
            </w:tcMar>
            <w:vAlign w:val="center"/>
          </w:tcPr>
          <w:p>
            <w:pPr>
              <w:pStyle w:val="TableContents"/>
              <w:bidi w:val="0"/>
              <w:spacing w:before="0" w:after="283"/>
              <w:jc w:val="both"/>
              <w:rPr>
                <w:sz w:val="20"/>
              </w:rPr>
            </w:pPr>
            <w:r>
              <w:rPr>
                <w:sz w:val="20"/>
              </w:rPr>
              <w:t>4.5 (5)</w:t>
            </w:r>
          </w:p>
        </w:tc>
        <w:tc>
          <w:tcPr>
            <w:tcW w:w="60" w:type="dxa"/>
            <w:tcBorders/>
            <w:tcMar>
              <w:bottom w:w="0" w:type="dxa"/>
            </w:tcMar>
            <w:vAlign w:val="center"/>
          </w:tcPr>
          <w:p>
            <w:pPr>
              <w:pStyle w:val="TableContents"/>
              <w:bidi w:val="0"/>
              <w:spacing w:before="0" w:after="283"/>
              <w:jc w:val="left"/>
              <w:rPr/>
            </w:pPr>
            <w:r>
              <w:rPr/>
              <w:t> </w:t>
            </w:r>
          </w:p>
        </w:tc>
        <w:tc>
          <w:tcPr>
            <w:tcW w:w="9305" w:type="dxa"/>
            <w:tcBorders/>
            <w:tcMar>
              <w:bottom w:w="0" w:type="dxa"/>
            </w:tcMar>
            <w:vAlign w:val="center"/>
          </w:tcPr>
          <w:p>
            <w:pPr>
              <w:pStyle w:val="TableContents"/>
              <w:bidi w:val="0"/>
              <w:spacing w:before="0" w:after="283"/>
              <w:jc w:val="both"/>
              <w:rPr/>
            </w:pPr>
            <w:hyperlink r:id="rId14">
              <w:r>
                <w:rPr>
                  <w:rStyle w:val="InternetLink"/>
                  <w:sz w:val="20"/>
                </w:rPr>
                <w:t>Paycheck Protection Program Term Note dated May 6, 2020</w:t>
              </w:r>
            </w:hyperlink>
          </w:p>
        </w:tc>
      </w:tr>
      <w:tr>
        <w:trPr/>
        <w:tc>
          <w:tcPr>
            <w:tcW w:w="840" w:type="dxa"/>
            <w:tcBorders/>
            <w:shd w:fill="CCEEFF" w:val="clear"/>
            <w:tcMar>
              <w:bottom w:w="0" w:type="dxa"/>
            </w:tcMar>
            <w:vAlign w:val="center"/>
          </w:tcPr>
          <w:p>
            <w:pPr>
              <w:pStyle w:val="TableContents"/>
              <w:bidi w:val="0"/>
              <w:spacing w:before="0" w:after="283"/>
              <w:jc w:val="both"/>
              <w:rPr>
                <w:sz w:val="20"/>
              </w:rPr>
            </w:pPr>
            <w:r>
              <w:rPr>
                <w:sz w:val="20"/>
              </w:rPr>
              <w:t>4.6 (6)</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05" w:type="dxa"/>
            <w:tcBorders/>
            <w:shd w:fill="CCEEFF" w:val="clear"/>
            <w:tcMar>
              <w:bottom w:w="0" w:type="dxa"/>
            </w:tcMar>
            <w:vAlign w:val="center"/>
          </w:tcPr>
          <w:p>
            <w:pPr>
              <w:pStyle w:val="TableContents"/>
              <w:bidi w:val="0"/>
              <w:spacing w:before="0" w:after="283"/>
              <w:jc w:val="both"/>
              <w:rPr/>
            </w:pPr>
            <w:hyperlink r:id="rId15">
              <w:r>
                <w:rPr>
                  <w:rStyle w:val="InternetLink"/>
                  <w:sz w:val="20"/>
                </w:rPr>
                <w:t>Paycheck Protection Program Term Note dated February 1, 2021</w:t>
              </w:r>
            </w:hyperlink>
          </w:p>
        </w:tc>
      </w:tr>
      <w:tr>
        <w:trPr/>
        <w:tc>
          <w:tcPr>
            <w:tcW w:w="840" w:type="dxa"/>
            <w:tcBorders/>
            <w:tcMar>
              <w:bottom w:w="0" w:type="dxa"/>
            </w:tcMar>
            <w:vAlign w:val="center"/>
          </w:tcPr>
          <w:p>
            <w:pPr>
              <w:pStyle w:val="TableContents"/>
              <w:bidi w:val="0"/>
              <w:spacing w:before="0" w:after="283"/>
              <w:jc w:val="both"/>
              <w:rPr>
                <w:sz w:val="20"/>
              </w:rPr>
            </w:pPr>
            <w:r>
              <w:rPr>
                <w:sz w:val="20"/>
              </w:rPr>
              <w:t>4.7 (18)</w:t>
            </w:r>
          </w:p>
        </w:tc>
        <w:tc>
          <w:tcPr>
            <w:tcW w:w="60" w:type="dxa"/>
            <w:tcBorders/>
            <w:tcMar>
              <w:bottom w:w="0" w:type="dxa"/>
            </w:tcMar>
            <w:vAlign w:val="center"/>
          </w:tcPr>
          <w:p>
            <w:pPr>
              <w:pStyle w:val="TableContents"/>
              <w:bidi w:val="0"/>
              <w:spacing w:before="0" w:after="283"/>
              <w:jc w:val="left"/>
              <w:rPr/>
            </w:pPr>
            <w:r>
              <w:rPr/>
              <w:t> </w:t>
            </w:r>
          </w:p>
        </w:tc>
        <w:tc>
          <w:tcPr>
            <w:tcW w:w="9305" w:type="dxa"/>
            <w:tcBorders/>
            <w:tcMar>
              <w:bottom w:w="0" w:type="dxa"/>
            </w:tcMar>
            <w:vAlign w:val="center"/>
          </w:tcPr>
          <w:p>
            <w:pPr>
              <w:pStyle w:val="TableContents"/>
              <w:bidi w:val="0"/>
              <w:spacing w:before="0" w:after="283"/>
              <w:jc w:val="both"/>
              <w:rPr/>
            </w:pPr>
            <w:hyperlink r:id="rId16">
              <w:r>
                <w:rPr>
                  <w:rStyle w:val="InternetLink"/>
                  <w:sz w:val="20"/>
                </w:rPr>
                <w:t>Description of the Registrant’s Securities</w:t>
              </w:r>
            </w:hyperlink>
          </w:p>
        </w:tc>
      </w:tr>
      <w:tr>
        <w:trPr/>
        <w:tc>
          <w:tcPr>
            <w:tcW w:w="840" w:type="dxa"/>
            <w:tcBorders/>
            <w:shd w:fill="CCEEFF" w:val="clear"/>
            <w:tcMar>
              <w:bottom w:w="0" w:type="dxa"/>
            </w:tcMar>
            <w:vAlign w:val="center"/>
          </w:tcPr>
          <w:p>
            <w:pPr>
              <w:pStyle w:val="TableContents"/>
              <w:bidi w:val="0"/>
              <w:spacing w:before="0" w:after="283"/>
              <w:jc w:val="both"/>
              <w:rPr>
                <w:sz w:val="20"/>
              </w:rPr>
            </w:pPr>
            <w:r>
              <w:rPr>
                <w:sz w:val="20"/>
              </w:rPr>
              <w:t>10.1 (2)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05" w:type="dxa"/>
            <w:tcBorders/>
            <w:shd w:fill="CCEEFF" w:val="clear"/>
            <w:tcMar>
              <w:bottom w:w="0" w:type="dxa"/>
            </w:tcMar>
            <w:vAlign w:val="center"/>
          </w:tcPr>
          <w:p>
            <w:pPr>
              <w:pStyle w:val="TableContents"/>
              <w:bidi w:val="0"/>
              <w:spacing w:before="0" w:after="283"/>
              <w:jc w:val="both"/>
              <w:rPr/>
            </w:pPr>
            <w:hyperlink r:id="rId17">
              <w:r>
                <w:rPr>
                  <w:rStyle w:val="InternetLink"/>
                  <w:sz w:val="20"/>
                </w:rPr>
                <w:t>Form of Director Agreement</w:t>
              </w:r>
            </w:hyperlink>
          </w:p>
        </w:tc>
      </w:tr>
      <w:tr>
        <w:trPr/>
        <w:tc>
          <w:tcPr>
            <w:tcW w:w="840" w:type="dxa"/>
            <w:tcBorders/>
            <w:tcMar>
              <w:bottom w:w="0" w:type="dxa"/>
            </w:tcMar>
            <w:vAlign w:val="center"/>
          </w:tcPr>
          <w:p>
            <w:pPr>
              <w:pStyle w:val="TableContents"/>
              <w:bidi w:val="0"/>
              <w:spacing w:before="0" w:after="283"/>
              <w:jc w:val="both"/>
              <w:rPr>
                <w:sz w:val="20"/>
              </w:rPr>
            </w:pPr>
            <w:r>
              <w:rPr>
                <w:sz w:val="20"/>
              </w:rPr>
              <w:t>10.2 (2)</w:t>
            </w:r>
          </w:p>
        </w:tc>
        <w:tc>
          <w:tcPr>
            <w:tcW w:w="60" w:type="dxa"/>
            <w:tcBorders/>
            <w:tcMar>
              <w:bottom w:w="0" w:type="dxa"/>
            </w:tcMar>
            <w:vAlign w:val="center"/>
          </w:tcPr>
          <w:p>
            <w:pPr>
              <w:pStyle w:val="TableContents"/>
              <w:bidi w:val="0"/>
              <w:spacing w:before="0" w:after="283"/>
              <w:jc w:val="left"/>
              <w:rPr/>
            </w:pPr>
            <w:r>
              <w:rPr/>
              <w:t> </w:t>
            </w:r>
          </w:p>
        </w:tc>
        <w:tc>
          <w:tcPr>
            <w:tcW w:w="9305" w:type="dxa"/>
            <w:tcBorders/>
            <w:tcMar>
              <w:bottom w:w="0" w:type="dxa"/>
            </w:tcMar>
            <w:vAlign w:val="center"/>
          </w:tcPr>
          <w:p>
            <w:pPr>
              <w:pStyle w:val="TableContents"/>
              <w:bidi w:val="0"/>
              <w:spacing w:before="0" w:after="283"/>
              <w:jc w:val="both"/>
              <w:rPr/>
            </w:pPr>
            <w:hyperlink r:id="rId18">
              <w:r>
                <w:rPr>
                  <w:rStyle w:val="InternetLink"/>
                  <w:sz w:val="20"/>
                </w:rPr>
                <w:t>Form of Indemnification Agreement</w:t>
              </w:r>
            </w:hyperlink>
          </w:p>
        </w:tc>
      </w:tr>
      <w:tr>
        <w:trPr/>
        <w:tc>
          <w:tcPr>
            <w:tcW w:w="840" w:type="dxa"/>
            <w:tcBorders/>
            <w:shd w:fill="CCEEFF" w:val="clear"/>
            <w:tcMar>
              <w:bottom w:w="0" w:type="dxa"/>
            </w:tcMar>
            <w:vAlign w:val="center"/>
          </w:tcPr>
          <w:p>
            <w:pPr>
              <w:pStyle w:val="TableContents"/>
              <w:bidi w:val="0"/>
              <w:spacing w:before="0" w:after="283"/>
              <w:jc w:val="both"/>
              <w:rPr>
                <w:sz w:val="20"/>
              </w:rPr>
            </w:pPr>
            <w:r>
              <w:rPr>
                <w:sz w:val="20"/>
              </w:rPr>
              <w:t>10.5 (7)</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05" w:type="dxa"/>
            <w:tcBorders/>
            <w:shd w:fill="CCEEFF" w:val="clear"/>
            <w:tcMar>
              <w:bottom w:w="0" w:type="dxa"/>
            </w:tcMar>
            <w:vAlign w:val="center"/>
          </w:tcPr>
          <w:p>
            <w:pPr>
              <w:pStyle w:val="TableContents"/>
              <w:bidi w:val="0"/>
              <w:spacing w:before="0" w:after="283"/>
              <w:jc w:val="both"/>
              <w:rPr/>
            </w:pPr>
            <w:hyperlink r:id="rId19">
              <w:r>
                <w:rPr>
                  <w:rStyle w:val="InternetLink"/>
                  <w:sz w:val="20"/>
                </w:rPr>
                <w:t>2017 Incentive Stock Plan</w:t>
              </w:r>
            </w:hyperlink>
          </w:p>
        </w:tc>
      </w:tr>
      <w:tr>
        <w:trPr/>
        <w:tc>
          <w:tcPr>
            <w:tcW w:w="840" w:type="dxa"/>
            <w:tcBorders/>
            <w:tcMar>
              <w:bottom w:w="0" w:type="dxa"/>
            </w:tcMar>
            <w:vAlign w:val="center"/>
          </w:tcPr>
          <w:p>
            <w:pPr>
              <w:pStyle w:val="TableContents"/>
              <w:bidi w:val="0"/>
              <w:spacing w:before="0" w:after="283"/>
              <w:jc w:val="both"/>
              <w:rPr>
                <w:sz w:val="20"/>
              </w:rPr>
            </w:pPr>
            <w:r>
              <w:rPr>
                <w:sz w:val="20"/>
              </w:rPr>
              <w:t>10.7 (2)</w:t>
            </w:r>
          </w:p>
        </w:tc>
        <w:tc>
          <w:tcPr>
            <w:tcW w:w="60" w:type="dxa"/>
            <w:tcBorders/>
            <w:tcMar>
              <w:bottom w:w="0" w:type="dxa"/>
            </w:tcMar>
            <w:vAlign w:val="center"/>
          </w:tcPr>
          <w:p>
            <w:pPr>
              <w:pStyle w:val="TableContents"/>
              <w:bidi w:val="0"/>
              <w:spacing w:before="0" w:after="283"/>
              <w:jc w:val="left"/>
              <w:rPr/>
            </w:pPr>
            <w:r>
              <w:rPr/>
              <w:t> </w:t>
            </w:r>
          </w:p>
        </w:tc>
        <w:tc>
          <w:tcPr>
            <w:tcW w:w="9305" w:type="dxa"/>
            <w:tcBorders/>
            <w:tcMar>
              <w:bottom w:w="0" w:type="dxa"/>
            </w:tcMar>
            <w:vAlign w:val="center"/>
          </w:tcPr>
          <w:p>
            <w:pPr>
              <w:pStyle w:val="TableContents"/>
              <w:bidi w:val="0"/>
              <w:spacing w:before="0" w:after="283"/>
              <w:jc w:val="both"/>
              <w:rPr/>
            </w:pPr>
            <w:hyperlink r:id="rId20">
              <w:r>
                <w:rPr>
                  <w:rStyle w:val="InternetLink"/>
                  <w:sz w:val="20"/>
                </w:rPr>
                <w:t>Executive Retention Agreement entered between the Company and Thomas L. Thimot dated June 14, 2021</w:t>
              </w:r>
            </w:hyperlink>
          </w:p>
        </w:tc>
      </w:tr>
      <w:tr>
        <w:trPr/>
        <w:tc>
          <w:tcPr>
            <w:tcW w:w="840" w:type="dxa"/>
            <w:tcBorders/>
            <w:shd w:fill="CCEEFF" w:val="clear"/>
            <w:tcMar>
              <w:bottom w:w="0" w:type="dxa"/>
            </w:tcMar>
            <w:vAlign w:val="center"/>
          </w:tcPr>
          <w:p>
            <w:pPr>
              <w:pStyle w:val="TableContents"/>
              <w:bidi w:val="0"/>
              <w:spacing w:before="0" w:after="283"/>
              <w:jc w:val="both"/>
              <w:rPr>
                <w:sz w:val="20"/>
              </w:rPr>
            </w:pPr>
            <w:r>
              <w:rPr>
                <w:sz w:val="20"/>
              </w:rPr>
              <w:t>10.8 (2)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05" w:type="dxa"/>
            <w:tcBorders/>
            <w:shd w:fill="CCEEFF" w:val="clear"/>
            <w:tcMar>
              <w:bottom w:w="0" w:type="dxa"/>
            </w:tcMar>
            <w:vAlign w:val="center"/>
          </w:tcPr>
          <w:p>
            <w:pPr>
              <w:pStyle w:val="TableContents"/>
              <w:bidi w:val="0"/>
              <w:spacing w:before="0" w:after="283"/>
              <w:jc w:val="both"/>
              <w:rPr/>
            </w:pPr>
            <w:hyperlink r:id="rId21">
              <w:r>
                <w:rPr>
                  <w:rStyle w:val="InternetLink"/>
                  <w:sz w:val="20"/>
                </w:rPr>
                <w:t>Executive Retention Agreement entered between the Company and Cecil N. Smith III dated June 14, 2021</w:t>
              </w:r>
            </w:hyperlink>
          </w:p>
        </w:tc>
      </w:tr>
      <w:tr>
        <w:trPr/>
        <w:tc>
          <w:tcPr>
            <w:tcW w:w="840" w:type="dxa"/>
            <w:tcBorders/>
            <w:tcMar>
              <w:bottom w:w="0" w:type="dxa"/>
            </w:tcMar>
            <w:vAlign w:val="center"/>
          </w:tcPr>
          <w:p>
            <w:pPr>
              <w:pStyle w:val="TableContents"/>
              <w:bidi w:val="0"/>
              <w:spacing w:before="0" w:after="283"/>
              <w:jc w:val="both"/>
              <w:rPr>
                <w:sz w:val="20"/>
              </w:rPr>
            </w:pPr>
            <w:r>
              <w:rPr>
                <w:sz w:val="20"/>
              </w:rPr>
              <w:t>10.9 (2)</w:t>
            </w:r>
          </w:p>
        </w:tc>
        <w:tc>
          <w:tcPr>
            <w:tcW w:w="60" w:type="dxa"/>
            <w:tcBorders/>
            <w:tcMar>
              <w:bottom w:w="0" w:type="dxa"/>
            </w:tcMar>
            <w:vAlign w:val="center"/>
          </w:tcPr>
          <w:p>
            <w:pPr>
              <w:pStyle w:val="TableContents"/>
              <w:bidi w:val="0"/>
              <w:spacing w:before="0" w:after="283"/>
              <w:jc w:val="left"/>
              <w:rPr/>
            </w:pPr>
            <w:r>
              <w:rPr/>
              <w:t> </w:t>
            </w:r>
          </w:p>
        </w:tc>
        <w:tc>
          <w:tcPr>
            <w:tcW w:w="9305" w:type="dxa"/>
            <w:tcBorders/>
            <w:tcMar>
              <w:bottom w:w="0" w:type="dxa"/>
            </w:tcMar>
            <w:vAlign w:val="center"/>
          </w:tcPr>
          <w:p>
            <w:pPr>
              <w:pStyle w:val="TableContents"/>
              <w:bidi w:val="0"/>
              <w:spacing w:before="0" w:after="283"/>
              <w:jc w:val="both"/>
              <w:rPr/>
            </w:pPr>
            <w:hyperlink r:id="rId22">
              <w:r>
                <w:rPr>
                  <w:rStyle w:val="InternetLink"/>
                  <w:sz w:val="20"/>
                </w:rPr>
                <w:t>Letter Agreement between the Company and Thomas L. Thimot dated June 14, 2021</w:t>
              </w:r>
            </w:hyperlink>
          </w:p>
        </w:tc>
      </w:tr>
      <w:tr>
        <w:trPr/>
        <w:tc>
          <w:tcPr>
            <w:tcW w:w="840" w:type="dxa"/>
            <w:tcBorders/>
            <w:shd w:fill="CCEEFF" w:val="clear"/>
            <w:tcMar>
              <w:bottom w:w="0" w:type="dxa"/>
            </w:tcMar>
            <w:vAlign w:val="center"/>
          </w:tcPr>
          <w:p>
            <w:pPr>
              <w:pStyle w:val="TableContents"/>
              <w:bidi w:val="0"/>
              <w:spacing w:before="0" w:after="283"/>
              <w:jc w:val="both"/>
              <w:rPr>
                <w:sz w:val="20"/>
              </w:rPr>
            </w:pPr>
            <w:r>
              <w:rPr>
                <w:sz w:val="20"/>
              </w:rPr>
              <w:t>10.10 (2)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05" w:type="dxa"/>
            <w:tcBorders/>
            <w:shd w:fill="CCEEFF" w:val="clear"/>
            <w:tcMar>
              <w:bottom w:w="0" w:type="dxa"/>
            </w:tcMar>
            <w:vAlign w:val="center"/>
          </w:tcPr>
          <w:p>
            <w:pPr>
              <w:pStyle w:val="TableContents"/>
              <w:bidi w:val="0"/>
              <w:spacing w:before="0" w:after="283"/>
              <w:jc w:val="both"/>
              <w:rPr/>
            </w:pPr>
            <w:hyperlink r:id="rId23">
              <w:r>
                <w:rPr>
                  <w:rStyle w:val="InternetLink"/>
                  <w:sz w:val="20"/>
                </w:rPr>
                <w:t>Letter Agreement between the Company and Cecil N. Smith III dated June 14, 2021</w:t>
              </w:r>
            </w:hyperlink>
          </w:p>
        </w:tc>
      </w:tr>
      <w:tr>
        <w:trPr/>
        <w:tc>
          <w:tcPr>
            <w:tcW w:w="840" w:type="dxa"/>
            <w:tcBorders/>
            <w:tcMar>
              <w:bottom w:w="0" w:type="dxa"/>
            </w:tcMar>
            <w:vAlign w:val="center"/>
          </w:tcPr>
          <w:p>
            <w:pPr>
              <w:pStyle w:val="TableContents"/>
              <w:bidi w:val="0"/>
              <w:spacing w:before="0" w:after="283"/>
              <w:jc w:val="both"/>
              <w:rPr>
                <w:sz w:val="20"/>
              </w:rPr>
            </w:pPr>
            <w:r>
              <w:rPr>
                <w:sz w:val="20"/>
              </w:rPr>
              <w:t>10.11 (8)</w:t>
            </w:r>
          </w:p>
        </w:tc>
        <w:tc>
          <w:tcPr>
            <w:tcW w:w="60" w:type="dxa"/>
            <w:tcBorders/>
            <w:tcMar>
              <w:bottom w:w="0" w:type="dxa"/>
            </w:tcMar>
            <w:vAlign w:val="center"/>
          </w:tcPr>
          <w:p>
            <w:pPr>
              <w:pStyle w:val="TableContents"/>
              <w:bidi w:val="0"/>
              <w:spacing w:before="0" w:after="283"/>
              <w:jc w:val="left"/>
              <w:rPr/>
            </w:pPr>
            <w:r>
              <w:rPr/>
              <w:t> </w:t>
            </w:r>
          </w:p>
        </w:tc>
        <w:tc>
          <w:tcPr>
            <w:tcW w:w="9305" w:type="dxa"/>
            <w:tcBorders/>
            <w:tcMar>
              <w:bottom w:w="0" w:type="dxa"/>
            </w:tcMar>
            <w:vAlign w:val="center"/>
          </w:tcPr>
          <w:p>
            <w:pPr>
              <w:pStyle w:val="TableContents"/>
              <w:bidi w:val="0"/>
              <w:spacing w:before="0" w:after="283"/>
              <w:jc w:val="both"/>
              <w:rPr/>
            </w:pPr>
            <w:hyperlink r:id="rId24">
              <w:r>
                <w:rPr>
                  <w:rStyle w:val="InternetLink"/>
                  <w:sz w:val="20"/>
                </w:rPr>
                <w:t>Letter Agreement between the Company and Phillip L. Kumnick dated as November 5, 2021</w:t>
              </w:r>
            </w:hyperlink>
          </w:p>
        </w:tc>
      </w:tr>
      <w:tr>
        <w:trPr/>
        <w:tc>
          <w:tcPr>
            <w:tcW w:w="840" w:type="dxa"/>
            <w:tcBorders/>
            <w:shd w:fill="CCEEFF" w:val="clear"/>
            <w:tcMar>
              <w:bottom w:w="0" w:type="dxa"/>
            </w:tcMar>
            <w:vAlign w:val="center"/>
          </w:tcPr>
          <w:p>
            <w:pPr>
              <w:pStyle w:val="TableContents"/>
              <w:bidi w:val="0"/>
              <w:spacing w:before="0" w:after="283"/>
              <w:jc w:val="both"/>
              <w:rPr>
                <w:sz w:val="20"/>
              </w:rPr>
            </w:pPr>
            <w:r>
              <w:rPr>
                <w:sz w:val="20"/>
              </w:rPr>
              <w:t>10.12 (8)</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05" w:type="dxa"/>
            <w:tcBorders/>
            <w:shd w:fill="CCEEFF" w:val="clear"/>
            <w:tcMar>
              <w:bottom w:w="0" w:type="dxa"/>
            </w:tcMar>
            <w:vAlign w:val="center"/>
          </w:tcPr>
          <w:p>
            <w:pPr>
              <w:pStyle w:val="TableContents"/>
              <w:bidi w:val="0"/>
              <w:spacing w:before="0" w:after="283"/>
              <w:jc w:val="both"/>
              <w:rPr/>
            </w:pPr>
            <w:hyperlink r:id="rId25">
              <w:r>
                <w:rPr>
                  <w:rStyle w:val="InternetLink"/>
                  <w:sz w:val="20"/>
                </w:rPr>
                <w:t>Letter Agreement between the Company and Philip R. Broenniman dated as November 5, 2021</w:t>
              </w:r>
            </w:hyperlink>
          </w:p>
        </w:tc>
      </w:tr>
      <w:tr>
        <w:trPr/>
        <w:tc>
          <w:tcPr>
            <w:tcW w:w="840" w:type="dxa"/>
            <w:tcBorders/>
            <w:tcMar>
              <w:bottom w:w="0" w:type="dxa"/>
            </w:tcMar>
            <w:vAlign w:val="center"/>
          </w:tcPr>
          <w:p>
            <w:pPr>
              <w:pStyle w:val="TableContents"/>
              <w:bidi w:val="0"/>
              <w:spacing w:before="0" w:after="283"/>
              <w:jc w:val="both"/>
              <w:rPr>
                <w:sz w:val="20"/>
              </w:rPr>
            </w:pPr>
            <w:r>
              <w:rPr>
                <w:sz w:val="20"/>
              </w:rPr>
              <w:t>10.13 (9)</w:t>
            </w:r>
          </w:p>
        </w:tc>
        <w:tc>
          <w:tcPr>
            <w:tcW w:w="60" w:type="dxa"/>
            <w:tcBorders/>
            <w:tcMar>
              <w:bottom w:w="0" w:type="dxa"/>
            </w:tcMar>
            <w:vAlign w:val="center"/>
          </w:tcPr>
          <w:p>
            <w:pPr>
              <w:pStyle w:val="TableContents"/>
              <w:bidi w:val="0"/>
              <w:spacing w:before="0" w:after="283"/>
              <w:jc w:val="left"/>
              <w:rPr/>
            </w:pPr>
            <w:r>
              <w:rPr/>
              <w:t> </w:t>
            </w:r>
          </w:p>
        </w:tc>
        <w:tc>
          <w:tcPr>
            <w:tcW w:w="9305" w:type="dxa"/>
            <w:tcBorders/>
            <w:tcMar>
              <w:bottom w:w="0" w:type="dxa"/>
            </w:tcMar>
            <w:vAlign w:val="center"/>
          </w:tcPr>
          <w:p>
            <w:pPr>
              <w:pStyle w:val="TableContents"/>
              <w:bidi w:val="0"/>
              <w:spacing w:before="0" w:after="283"/>
              <w:jc w:val="both"/>
              <w:rPr/>
            </w:pPr>
            <w:hyperlink r:id="rId26">
              <w:r>
                <w:rPr>
                  <w:rStyle w:val="InternetLink"/>
                  <w:sz w:val="20"/>
                </w:rPr>
                <w:t>AuthID Inc. 2021 Equity Incentive Plan</w:t>
              </w:r>
            </w:hyperlink>
          </w:p>
        </w:tc>
      </w:tr>
      <w:tr>
        <w:trPr/>
        <w:tc>
          <w:tcPr>
            <w:tcW w:w="840" w:type="dxa"/>
            <w:tcBorders/>
            <w:shd w:fill="CCEEFF" w:val="clear"/>
            <w:tcMar>
              <w:bottom w:w="0" w:type="dxa"/>
            </w:tcMar>
            <w:vAlign w:val="center"/>
          </w:tcPr>
          <w:p>
            <w:pPr>
              <w:pStyle w:val="TableContents"/>
              <w:bidi w:val="0"/>
              <w:spacing w:before="0" w:after="283"/>
              <w:jc w:val="both"/>
              <w:rPr>
                <w:sz w:val="20"/>
              </w:rPr>
            </w:pPr>
            <w:r>
              <w:rPr>
                <w:sz w:val="20"/>
              </w:rPr>
              <w:t>10.14 (11)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05" w:type="dxa"/>
            <w:tcBorders/>
            <w:shd w:fill="CCEEFF" w:val="clear"/>
            <w:tcMar>
              <w:bottom w:w="0" w:type="dxa"/>
            </w:tcMar>
            <w:vAlign w:val="center"/>
          </w:tcPr>
          <w:p>
            <w:pPr>
              <w:pStyle w:val="TableContents"/>
              <w:bidi w:val="0"/>
              <w:spacing w:before="0" w:after="283"/>
              <w:jc w:val="both"/>
              <w:rPr/>
            </w:pPr>
            <w:hyperlink r:id="rId27">
              <w:r>
                <w:rPr>
                  <w:rStyle w:val="InternetLink"/>
                  <w:sz w:val="20"/>
                </w:rPr>
                <w:t>Letter Agreement between AuthID Inc. and Thomas Szoke dated November 19, 2021</w:t>
              </w:r>
            </w:hyperlink>
          </w:p>
        </w:tc>
      </w:tr>
      <w:tr>
        <w:trPr/>
        <w:tc>
          <w:tcPr>
            <w:tcW w:w="840" w:type="dxa"/>
            <w:tcBorders/>
            <w:tcMar>
              <w:bottom w:w="0" w:type="dxa"/>
            </w:tcMar>
            <w:vAlign w:val="center"/>
          </w:tcPr>
          <w:p>
            <w:pPr>
              <w:pStyle w:val="TableContents"/>
              <w:bidi w:val="0"/>
              <w:spacing w:before="0" w:after="283"/>
              <w:jc w:val="both"/>
              <w:rPr>
                <w:sz w:val="20"/>
              </w:rPr>
            </w:pPr>
            <w:r>
              <w:rPr>
                <w:sz w:val="20"/>
              </w:rPr>
              <w:t>10.15 (10)</w:t>
            </w:r>
          </w:p>
        </w:tc>
        <w:tc>
          <w:tcPr>
            <w:tcW w:w="60" w:type="dxa"/>
            <w:tcBorders/>
            <w:tcMar>
              <w:bottom w:w="0" w:type="dxa"/>
            </w:tcMar>
            <w:vAlign w:val="center"/>
          </w:tcPr>
          <w:p>
            <w:pPr>
              <w:pStyle w:val="TableContents"/>
              <w:bidi w:val="0"/>
              <w:spacing w:before="0" w:after="283"/>
              <w:jc w:val="left"/>
              <w:rPr/>
            </w:pPr>
            <w:r>
              <w:rPr/>
              <w:t> </w:t>
            </w:r>
          </w:p>
        </w:tc>
        <w:tc>
          <w:tcPr>
            <w:tcW w:w="9305" w:type="dxa"/>
            <w:tcBorders/>
            <w:tcMar>
              <w:bottom w:w="0" w:type="dxa"/>
            </w:tcMar>
            <w:vAlign w:val="center"/>
          </w:tcPr>
          <w:p>
            <w:pPr>
              <w:pStyle w:val="TableContents"/>
              <w:bidi w:val="0"/>
              <w:spacing w:before="0" w:after="283"/>
              <w:jc w:val="both"/>
              <w:rPr/>
            </w:pPr>
            <w:hyperlink r:id="rId28">
              <w:r>
                <w:rPr>
                  <w:rStyle w:val="InternetLink"/>
                  <w:sz w:val="20"/>
                </w:rPr>
                <w:t>Form of Securities Purchase Agreement entered into between the Company and the Note Investors dated March 21, 2022.</w:t>
              </w:r>
            </w:hyperlink>
          </w:p>
        </w:tc>
      </w:tr>
      <w:tr>
        <w:trPr/>
        <w:tc>
          <w:tcPr>
            <w:tcW w:w="840" w:type="dxa"/>
            <w:tcBorders/>
            <w:shd w:fill="CCEEFF" w:val="clear"/>
            <w:tcMar>
              <w:bottom w:w="0" w:type="dxa"/>
            </w:tcMar>
            <w:vAlign w:val="center"/>
          </w:tcPr>
          <w:p>
            <w:pPr>
              <w:pStyle w:val="TableContents"/>
              <w:bidi w:val="0"/>
              <w:spacing w:before="0" w:after="283"/>
              <w:jc w:val="both"/>
              <w:rPr>
                <w:sz w:val="20"/>
              </w:rPr>
            </w:pPr>
            <w:r>
              <w:rPr>
                <w:sz w:val="20"/>
              </w:rPr>
              <w:t>10.16 (10)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05" w:type="dxa"/>
            <w:tcBorders/>
            <w:shd w:fill="CCEEFF" w:val="clear"/>
            <w:tcMar>
              <w:bottom w:w="0" w:type="dxa"/>
            </w:tcMar>
            <w:vAlign w:val="center"/>
          </w:tcPr>
          <w:p>
            <w:pPr>
              <w:pStyle w:val="TableContents"/>
              <w:bidi w:val="0"/>
              <w:spacing w:before="0" w:after="283"/>
              <w:jc w:val="both"/>
              <w:rPr/>
            </w:pPr>
            <w:hyperlink r:id="rId29">
              <w:r>
                <w:rPr>
                  <w:rStyle w:val="InternetLink"/>
                  <w:sz w:val="20"/>
                </w:rPr>
                <w:t>Form of Senior Secured Convertible Note issued by the Company to the Note Investors dated March 21, 2022.</w:t>
              </w:r>
            </w:hyperlink>
          </w:p>
        </w:tc>
      </w:tr>
      <w:tr>
        <w:trPr/>
        <w:tc>
          <w:tcPr>
            <w:tcW w:w="840" w:type="dxa"/>
            <w:tcBorders/>
            <w:tcMar>
              <w:bottom w:w="0" w:type="dxa"/>
            </w:tcMar>
            <w:vAlign w:val="center"/>
          </w:tcPr>
          <w:p>
            <w:pPr>
              <w:pStyle w:val="TableContents"/>
              <w:bidi w:val="0"/>
              <w:spacing w:before="0" w:after="283"/>
              <w:jc w:val="both"/>
              <w:rPr>
                <w:sz w:val="20"/>
              </w:rPr>
            </w:pPr>
            <w:r>
              <w:rPr>
                <w:sz w:val="20"/>
              </w:rPr>
              <w:t>10.17 (10)</w:t>
            </w:r>
          </w:p>
        </w:tc>
        <w:tc>
          <w:tcPr>
            <w:tcW w:w="60" w:type="dxa"/>
            <w:tcBorders/>
            <w:tcMar>
              <w:bottom w:w="0" w:type="dxa"/>
            </w:tcMar>
            <w:vAlign w:val="center"/>
          </w:tcPr>
          <w:p>
            <w:pPr>
              <w:pStyle w:val="TableContents"/>
              <w:bidi w:val="0"/>
              <w:spacing w:before="0" w:after="283"/>
              <w:jc w:val="left"/>
              <w:rPr/>
            </w:pPr>
            <w:r>
              <w:rPr/>
              <w:t> </w:t>
            </w:r>
          </w:p>
        </w:tc>
        <w:tc>
          <w:tcPr>
            <w:tcW w:w="9305" w:type="dxa"/>
            <w:tcBorders/>
            <w:tcMar>
              <w:bottom w:w="0" w:type="dxa"/>
            </w:tcMar>
            <w:vAlign w:val="center"/>
          </w:tcPr>
          <w:p>
            <w:pPr>
              <w:pStyle w:val="TableContents"/>
              <w:bidi w:val="0"/>
              <w:spacing w:before="0" w:after="283"/>
              <w:jc w:val="both"/>
              <w:rPr/>
            </w:pPr>
            <w:hyperlink r:id="rId30">
              <w:r>
                <w:rPr>
                  <w:rStyle w:val="InternetLink"/>
                  <w:sz w:val="20"/>
                </w:rPr>
                <w:t>Security and Pledge Agreement entered into between the Company and Stephen J. Garchik as Collateral Agent dated March 21, 2022.</w:t>
              </w:r>
            </w:hyperlink>
          </w:p>
        </w:tc>
      </w:tr>
      <w:tr>
        <w:trPr/>
        <w:tc>
          <w:tcPr>
            <w:tcW w:w="840" w:type="dxa"/>
            <w:tcBorders/>
            <w:shd w:fill="CCEEFF" w:val="clear"/>
            <w:tcMar>
              <w:bottom w:w="0" w:type="dxa"/>
            </w:tcMar>
            <w:vAlign w:val="center"/>
          </w:tcPr>
          <w:p>
            <w:pPr>
              <w:pStyle w:val="TableContents"/>
              <w:bidi w:val="0"/>
              <w:spacing w:before="0" w:after="283"/>
              <w:jc w:val="both"/>
              <w:rPr>
                <w:sz w:val="20"/>
              </w:rPr>
            </w:pPr>
            <w:r>
              <w:rPr>
                <w:sz w:val="20"/>
              </w:rPr>
              <w:t>10.19 (10)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05" w:type="dxa"/>
            <w:tcBorders/>
            <w:shd w:fill="CCEEFF" w:val="clear"/>
            <w:tcMar>
              <w:bottom w:w="0" w:type="dxa"/>
            </w:tcMar>
            <w:vAlign w:val="center"/>
          </w:tcPr>
          <w:p>
            <w:pPr>
              <w:pStyle w:val="TableContents"/>
              <w:bidi w:val="0"/>
              <w:spacing w:before="0" w:after="283"/>
              <w:jc w:val="both"/>
              <w:rPr/>
            </w:pPr>
            <w:hyperlink r:id="rId31">
              <w:r>
                <w:rPr>
                  <w:rStyle w:val="InternetLink"/>
                  <w:sz w:val="20"/>
                </w:rPr>
                <w:t>Form of Registration Rights Agreement entered into between the Company and the Note Investors dated March 21, 2022.</w:t>
              </w:r>
            </w:hyperlink>
          </w:p>
        </w:tc>
      </w:tr>
      <w:tr>
        <w:trPr/>
        <w:tc>
          <w:tcPr>
            <w:tcW w:w="840" w:type="dxa"/>
            <w:tcBorders/>
            <w:tcMar>
              <w:bottom w:w="0" w:type="dxa"/>
            </w:tcMar>
            <w:vAlign w:val="center"/>
          </w:tcPr>
          <w:p>
            <w:pPr>
              <w:pStyle w:val="TableContents"/>
              <w:bidi w:val="0"/>
              <w:spacing w:before="0" w:after="283"/>
              <w:jc w:val="both"/>
              <w:rPr>
                <w:sz w:val="20"/>
              </w:rPr>
            </w:pPr>
            <w:r>
              <w:rPr>
                <w:sz w:val="20"/>
              </w:rPr>
              <w:t>10.20 (10)</w:t>
            </w:r>
          </w:p>
        </w:tc>
        <w:tc>
          <w:tcPr>
            <w:tcW w:w="60" w:type="dxa"/>
            <w:tcBorders/>
            <w:tcMar>
              <w:bottom w:w="0" w:type="dxa"/>
            </w:tcMar>
            <w:vAlign w:val="center"/>
          </w:tcPr>
          <w:p>
            <w:pPr>
              <w:pStyle w:val="TableContents"/>
              <w:bidi w:val="0"/>
              <w:spacing w:before="0" w:after="283"/>
              <w:jc w:val="left"/>
              <w:rPr/>
            </w:pPr>
            <w:r>
              <w:rPr/>
              <w:t> </w:t>
            </w:r>
          </w:p>
        </w:tc>
        <w:tc>
          <w:tcPr>
            <w:tcW w:w="9305" w:type="dxa"/>
            <w:tcBorders/>
            <w:tcMar>
              <w:bottom w:w="0" w:type="dxa"/>
            </w:tcMar>
            <w:vAlign w:val="center"/>
          </w:tcPr>
          <w:p>
            <w:pPr>
              <w:pStyle w:val="TableContents"/>
              <w:bidi w:val="0"/>
              <w:spacing w:before="0" w:after="283"/>
              <w:jc w:val="both"/>
              <w:rPr/>
            </w:pPr>
            <w:hyperlink r:id="rId32">
              <w:r>
                <w:rPr>
                  <w:rStyle w:val="InternetLink"/>
                  <w:sz w:val="20"/>
                </w:rPr>
                <w:t>Facility Agreement entered into between the Company and Stephen J. Garchik dated March 21, 2022.</w:t>
              </w:r>
            </w:hyperlink>
          </w:p>
        </w:tc>
      </w:tr>
      <w:tr>
        <w:trPr/>
        <w:tc>
          <w:tcPr>
            <w:tcW w:w="840" w:type="dxa"/>
            <w:tcBorders/>
            <w:shd w:fill="CCEEFF" w:val="clear"/>
            <w:tcMar>
              <w:bottom w:w="0" w:type="dxa"/>
            </w:tcMar>
            <w:vAlign w:val="center"/>
          </w:tcPr>
          <w:p>
            <w:pPr>
              <w:pStyle w:val="TableContents"/>
              <w:bidi w:val="0"/>
              <w:spacing w:before="0" w:after="283"/>
              <w:jc w:val="both"/>
              <w:rPr>
                <w:sz w:val="20"/>
              </w:rPr>
            </w:pPr>
            <w:r>
              <w:rPr>
                <w:sz w:val="20"/>
              </w:rPr>
              <w:t>10.21 (10)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05" w:type="dxa"/>
            <w:tcBorders/>
            <w:shd w:fill="CCEEFF" w:val="clear"/>
            <w:tcMar>
              <w:bottom w:w="0" w:type="dxa"/>
            </w:tcMar>
            <w:vAlign w:val="center"/>
          </w:tcPr>
          <w:p>
            <w:pPr>
              <w:pStyle w:val="TableContents"/>
              <w:bidi w:val="0"/>
              <w:spacing w:before="0" w:after="283"/>
              <w:jc w:val="both"/>
              <w:rPr/>
            </w:pPr>
            <w:hyperlink r:id="rId33">
              <w:r>
                <w:rPr>
                  <w:rStyle w:val="InternetLink"/>
                  <w:sz w:val="20"/>
                </w:rPr>
                <w:t>Form of Subscription Agreement entered into between the Company and the PIPE Investors dated March 21, 2022.</w:t>
              </w:r>
            </w:hyperlink>
          </w:p>
        </w:tc>
      </w:tr>
      <w:tr>
        <w:trPr/>
        <w:tc>
          <w:tcPr>
            <w:tcW w:w="840" w:type="dxa"/>
            <w:tcBorders/>
            <w:tcMar>
              <w:bottom w:w="0" w:type="dxa"/>
            </w:tcMar>
            <w:vAlign w:val="center"/>
          </w:tcPr>
          <w:p>
            <w:pPr>
              <w:pStyle w:val="TableContents"/>
              <w:bidi w:val="0"/>
              <w:spacing w:before="0" w:after="283"/>
              <w:jc w:val="both"/>
              <w:rPr>
                <w:sz w:val="20"/>
              </w:rPr>
            </w:pPr>
            <w:r>
              <w:rPr>
                <w:sz w:val="20"/>
              </w:rPr>
              <w:t>10.22 (12)</w:t>
            </w:r>
          </w:p>
        </w:tc>
        <w:tc>
          <w:tcPr>
            <w:tcW w:w="60" w:type="dxa"/>
            <w:tcBorders/>
            <w:tcMar>
              <w:bottom w:w="0" w:type="dxa"/>
            </w:tcMar>
            <w:vAlign w:val="center"/>
          </w:tcPr>
          <w:p>
            <w:pPr>
              <w:pStyle w:val="TableContents"/>
              <w:bidi w:val="0"/>
              <w:spacing w:before="0" w:after="283"/>
              <w:jc w:val="left"/>
              <w:rPr/>
            </w:pPr>
            <w:r>
              <w:rPr/>
              <w:t> </w:t>
            </w:r>
          </w:p>
        </w:tc>
        <w:tc>
          <w:tcPr>
            <w:tcW w:w="9305" w:type="dxa"/>
            <w:tcBorders/>
            <w:tcMar>
              <w:bottom w:w="0" w:type="dxa"/>
            </w:tcMar>
            <w:vAlign w:val="center"/>
          </w:tcPr>
          <w:p>
            <w:pPr>
              <w:pStyle w:val="TableContents"/>
              <w:bidi w:val="0"/>
              <w:spacing w:before="0" w:after="283"/>
              <w:jc w:val="both"/>
              <w:rPr/>
            </w:pPr>
            <w:hyperlink r:id="rId34">
              <w:r>
                <w:rPr>
                  <w:rStyle w:val="InternetLink"/>
                  <w:sz w:val="20"/>
                </w:rPr>
                <w:t>Letter Agreement between Joseph Trelin and AuthID Inc. dated April 18, 2022</w:t>
              </w:r>
            </w:hyperlink>
          </w:p>
        </w:tc>
      </w:tr>
      <w:tr>
        <w:trPr/>
        <w:tc>
          <w:tcPr>
            <w:tcW w:w="840" w:type="dxa"/>
            <w:tcBorders/>
            <w:shd w:fill="CCEEFF" w:val="clear"/>
            <w:tcMar>
              <w:bottom w:w="0" w:type="dxa"/>
            </w:tcMar>
            <w:vAlign w:val="center"/>
          </w:tcPr>
          <w:p>
            <w:pPr>
              <w:pStyle w:val="TableContents"/>
              <w:bidi w:val="0"/>
              <w:spacing w:before="0" w:after="283"/>
              <w:jc w:val="both"/>
              <w:rPr>
                <w:sz w:val="20"/>
              </w:rPr>
            </w:pPr>
            <w:r>
              <w:rPr>
                <w:sz w:val="20"/>
              </w:rPr>
              <w:t>10.23 (13)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05" w:type="dxa"/>
            <w:tcBorders/>
            <w:shd w:fill="CCEEFF" w:val="clear"/>
            <w:tcMar>
              <w:bottom w:w="0" w:type="dxa"/>
            </w:tcMar>
            <w:vAlign w:val="center"/>
          </w:tcPr>
          <w:p>
            <w:pPr>
              <w:pStyle w:val="TableContents"/>
              <w:bidi w:val="0"/>
              <w:spacing w:before="0" w:after="283"/>
              <w:jc w:val="both"/>
              <w:rPr/>
            </w:pPr>
            <w:hyperlink r:id="rId35">
              <w:r>
                <w:rPr>
                  <w:rStyle w:val="InternetLink"/>
                  <w:sz w:val="20"/>
                </w:rPr>
                <w:t>Letter Agreement between Annie Pham and AuthID Inc. dated April 25, 2022</w:t>
              </w:r>
            </w:hyperlink>
          </w:p>
        </w:tc>
      </w:tr>
      <w:tr>
        <w:trPr/>
        <w:tc>
          <w:tcPr>
            <w:tcW w:w="840" w:type="dxa"/>
            <w:tcBorders/>
            <w:tcMar>
              <w:bottom w:w="0" w:type="dxa"/>
            </w:tcMar>
            <w:vAlign w:val="center"/>
          </w:tcPr>
          <w:p>
            <w:pPr>
              <w:pStyle w:val="TableContents"/>
              <w:bidi w:val="0"/>
              <w:spacing w:before="0" w:after="283"/>
              <w:jc w:val="both"/>
              <w:rPr>
                <w:sz w:val="20"/>
              </w:rPr>
            </w:pPr>
            <w:r>
              <w:rPr>
                <w:sz w:val="20"/>
              </w:rPr>
              <w:t>10.24 (16)</w:t>
            </w:r>
          </w:p>
        </w:tc>
        <w:tc>
          <w:tcPr>
            <w:tcW w:w="60" w:type="dxa"/>
            <w:tcBorders/>
            <w:tcMar>
              <w:bottom w:w="0" w:type="dxa"/>
            </w:tcMar>
            <w:vAlign w:val="center"/>
          </w:tcPr>
          <w:p>
            <w:pPr>
              <w:pStyle w:val="TableContents"/>
              <w:bidi w:val="0"/>
              <w:spacing w:before="0" w:after="283"/>
              <w:jc w:val="left"/>
              <w:rPr/>
            </w:pPr>
            <w:r>
              <w:rPr/>
              <w:t> </w:t>
            </w:r>
          </w:p>
        </w:tc>
        <w:tc>
          <w:tcPr>
            <w:tcW w:w="9305" w:type="dxa"/>
            <w:tcBorders/>
            <w:tcMar>
              <w:bottom w:w="0" w:type="dxa"/>
            </w:tcMar>
            <w:vAlign w:val="center"/>
          </w:tcPr>
          <w:p>
            <w:pPr>
              <w:pStyle w:val="TableContents"/>
              <w:bidi w:val="0"/>
              <w:spacing w:before="0" w:after="283"/>
              <w:jc w:val="both"/>
              <w:rPr/>
            </w:pPr>
            <w:hyperlink r:id="rId36">
              <w:r>
                <w:rPr>
                  <w:rStyle w:val="InternetLink"/>
                  <w:sz w:val="20"/>
                </w:rPr>
                <w:t>Amended and Restated Facility Agreement between the Company and Stephen J. Garchik dated March 8, 2023.</w:t>
              </w:r>
            </w:hyperlink>
          </w:p>
        </w:tc>
      </w:tr>
      <w:tr>
        <w:trPr/>
        <w:tc>
          <w:tcPr>
            <w:tcW w:w="840" w:type="dxa"/>
            <w:tcBorders/>
            <w:shd w:fill="CCEEFF" w:val="clear"/>
            <w:tcMar>
              <w:bottom w:w="0" w:type="dxa"/>
            </w:tcMar>
            <w:vAlign w:val="center"/>
          </w:tcPr>
          <w:p>
            <w:pPr>
              <w:pStyle w:val="TableContents"/>
              <w:bidi w:val="0"/>
              <w:spacing w:before="0" w:after="283"/>
              <w:jc w:val="both"/>
              <w:rPr>
                <w:sz w:val="20"/>
              </w:rPr>
            </w:pPr>
            <w:r>
              <w:rPr>
                <w:sz w:val="20"/>
              </w:rPr>
              <w:t>10.25 (16)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05" w:type="dxa"/>
            <w:tcBorders/>
            <w:shd w:fill="CCEEFF" w:val="clear"/>
            <w:tcMar>
              <w:bottom w:w="0" w:type="dxa"/>
            </w:tcMar>
            <w:vAlign w:val="center"/>
          </w:tcPr>
          <w:p>
            <w:pPr>
              <w:pStyle w:val="TableContents"/>
              <w:bidi w:val="0"/>
              <w:spacing w:before="0" w:after="283"/>
              <w:jc w:val="both"/>
              <w:rPr/>
            </w:pPr>
            <w:hyperlink r:id="rId37">
              <w:r>
                <w:rPr>
                  <w:rStyle w:val="InternetLink"/>
                  <w:sz w:val="20"/>
                </w:rPr>
                <w:t>Promissory Note between the Company and Stephen J. Garchik dated March 9, 2023.</w:t>
              </w:r>
            </w:hyperlink>
          </w:p>
        </w:tc>
      </w:tr>
      <w:tr>
        <w:trPr/>
        <w:tc>
          <w:tcPr>
            <w:tcW w:w="840" w:type="dxa"/>
            <w:tcBorders/>
            <w:tcMar>
              <w:bottom w:w="0" w:type="dxa"/>
            </w:tcMar>
            <w:vAlign w:val="center"/>
          </w:tcPr>
          <w:p>
            <w:pPr>
              <w:pStyle w:val="TableContents"/>
              <w:bidi w:val="0"/>
              <w:spacing w:before="0" w:after="283"/>
              <w:jc w:val="both"/>
              <w:rPr>
                <w:sz w:val="20"/>
              </w:rPr>
            </w:pPr>
            <w:r>
              <w:rPr>
                <w:sz w:val="20"/>
              </w:rPr>
              <w:t>10.26 (16)</w:t>
            </w:r>
          </w:p>
        </w:tc>
        <w:tc>
          <w:tcPr>
            <w:tcW w:w="60" w:type="dxa"/>
            <w:tcBorders/>
            <w:tcMar>
              <w:bottom w:w="0" w:type="dxa"/>
            </w:tcMar>
            <w:vAlign w:val="center"/>
          </w:tcPr>
          <w:p>
            <w:pPr>
              <w:pStyle w:val="TableContents"/>
              <w:bidi w:val="0"/>
              <w:spacing w:before="0" w:after="283"/>
              <w:jc w:val="left"/>
              <w:rPr/>
            </w:pPr>
            <w:r>
              <w:rPr/>
              <w:t> </w:t>
            </w:r>
          </w:p>
        </w:tc>
        <w:tc>
          <w:tcPr>
            <w:tcW w:w="9305" w:type="dxa"/>
            <w:tcBorders/>
            <w:tcMar>
              <w:bottom w:w="0" w:type="dxa"/>
            </w:tcMar>
            <w:vAlign w:val="center"/>
          </w:tcPr>
          <w:p>
            <w:pPr>
              <w:pStyle w:val="TableContents"/>
              <w:bidi w:val="0"/>
              <w:spacing w:before="0" w:after="283"/>
              <w:jc w:val="both"/>
              <w:rPr/>
            </w:pPr>
            <w:hyperlink r:id="rId38">
              <w:r>
                <w:rPr>
                  <w:rStyle w:val="InternetLink"/>
                  <w:sz w:val="20"/>
                </w:rPr>
                <w:t>Guaranty Agreement by FIN Holdings Inc., Innovation in Motion, Inc. and ID Solutions, Inc. in favor of Stephen J. Garchik dated March 9, 2023.</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87"/>
        <w:gridCol w:w="60"/>
        <w:gridCol w:w="9158"/>
      </w:tblGrid>
      <w:tr>
        <w:trPr/>
        <w:tc>
          <w:tcPr>
            <w:tcW w:w="987" w:type="dxa"/>
            <w:tcBorders/>
            <w:shd w:fill="CCEEFF" w:val="clear"/>
            <w:vAlign w:val="center"/>
          </w:tcPr>
          <w:p>
            <w:pPr>
              <w:pStyle w:val="TableContents"/>
              <w:bidi w:val="0"/>
              <w:spacing w:before="0" w:after="283"/>
              <w:jc w:val="both"/>
              <w:rPr>
                <w:sz w:val="20"/>
              </w:rPr>
            </w:pPr>
            <w:r>
              <w:rPr>
                <w:sz w:val="20"/>
              </w:rPr>
              <w:t>10.27 (16)</w:t>
            </w:r>
          </w:p>
        </w:tc>
        <w:tc>
          <w:tcPr>
            <w:tcW w:w="60" w:type="dxa"/>
            <w:tcBorders/>
            <w:shd w:fill="CCEEFF" w:val="clear"/>
            <w:vAlign w:val="center"/>
          </w:tcPr>
          <w:p>
            <w:pPr>
              <w:pStyle w:val="TableContents"/>
              <w:bidi w:val="0"/>
              <w:spacing w:before="0" w:after="283"/>
              <w:jc w:val="left"/>
              <w:rPr/>
            </w:pPr>
            <w:r>
              <w:rPr/>
              <w:t> </w:t>
            </w:r>
          </w:p>
        </w:tc>
        <w:tc>
          <w:tcPr>
            <w:tcW w:w="9158" w:type="dxa"/>
            <w:tcBorders/>
            <w:shd w:fill="CCEEFF" w:val="clear"/>
            <w:vAlign w:val="center"/>
          </w:tcPr>
          <w:p>
            <w:pPr>
              <w:pStyle w:val="TableContents"/>
              <w:bidi w:val="0"/>
              <w:spacing w:before="0" w:after="283"/>
              <w:jc w:val="both"/>
              <w:rPr/>
            </w:pPr>
            <w:hyperlink r:id="rId39">
              <w:r>
                <w:rPr>
                  <w:rStyle w:val="InternetLink"/>
                  <w:sz w:val="20"/>
                </w:rPr>
                <w:t>Release Agreement between the Company and Stephen J. Garchik dated March 9, 2023.</w:t>
              </w:r>
            </w:hyperlink>
          </w:p>
        </w:tc>
      </w:tr>
      <w:tr>
        <w:trPr/>
        <w:tc>
          <w:tcPr>
            <w:tcW w:w="987" w:type="dxa"/>
            <w:tcBorders/>
            <w:vAlign w:val="center"/>
          </w:tcPr>
          <w:p>
            <w:pPr>
              <w:pStyle w:val="TableContents"/>
              <w:bidi w:val="0"/>
              <w:spacing w:before="0" w:after="283"/>
              <w:jc w:val="both"/>
              <w:rPr>
                <w:sz w:val="20"/>
              </w:rPr>
            </w:pPr>
            <w:r>
              <w:rPr>
                <w:sz w:val="20"/>
              </w:rPr>
              <w:t>10.28 (17)</w:t>
            </w:r>
          </w:p>
        </w:tc>
        <w:tc>
          <w:tcPr>
            <w:tcW w:w="60" w:type="dxa"/>
            <w:tcBorders/>
            <w:vAlign w:val="center"/>
          </w:tcPr>
          <w:p>
            <w:pPr>
              <w:pStyle w:val="TableContents"/>
              <w:bidi w:val="0"/>
              <w:spacing w:before="0" w:after="283"/>
              <w:jc w:val="left"/>
              <w:rPr/>
            </w:pPr>
            <w:r>
              <w:rPr/>
              <w:t> </w:t>
            </w:r>
          </w:p>
        </w:tc>
        <w:tc>
          <w:tcPr>
            <w:tcW w:w="9158" w:type="dxa"/>
            <w:tcBorders/>
            <w:vAlign w:val="center"/>
          </w:tcPr>
          <w:p>
            <w:pPr>
              <w:pStyle w:val="TableContents"/>
              <w:bidi w:val="0"/>
              <w:spacing w:before="0" w:after="283"/>
              <w:jc w:val="both"/>
              <w:rPr/>
            </w:pPr>
            <w:hyperlink r:id="rId40">
              <w:r>
                <w:rPr>
                  <w:rStyle w:val="InternetLink"/>
                  <w:sz w:val="20"/>
                </w:rPr>
                <w:t>Letter Agreement between Rhoniel Daguro and AuthID Inc. dated March 23, 2023</w:t>
              </w:r>
            </w:hyperlink>
          </w:p>
        </w:tc>
      </w:tr>
      <w:tr>
        <w:trPr/>
        <w:tc>
          <w:tcPr>
            <w:tcW w:w="987" w:type="dxa"/>
            <w:tcBorders/>
            <w:shd w:fill="CCEEFF" w:val="clear"/>
            <w:vAlign w:val="center"/>
          </w:tcPr>
          <w:p>
            <w:pPr>
              <w:pStyle w:val="TableContents"/>
              <w:bidi w:val="0"/>
              <w:spacing w:before="0" w:after="283"/>
              <w:jc w:val="both"/>
              <w:rPr>
                <w:sz w:val="20"/>
              </w:rPr>
            </w:pPr>
            <w:r>
              <w:rPr>
                <w:sz w:val="20"/>
              </w:rPr>
              <w:t>10.29 (17)</w:t>
            </w:r>
          </w:p>
        </w:tc>
        <w:tc>
          <w:tcPr>
            <w:tcW w:w="60" w:type="dxa"/>
            <w:tcBorders/>
            <w:shd w:fill="CCEEFF" w:val="clear"/>
            <w:vAlign w:val="center"/>
          </w:tcPr>
          <w:p>
            <w:pPr>
              <w:pStyle w:val="TableContents"/>
              <w:bidi w:val="0"/>
              <w:spacing w:before="0" w:after="283"/>
              <w:jc w:val="left"/>
              <w:rPr/>
            </w:pPr>
            <w:r>
              <w:rPr/>
              <w:t> </w:t>
            </w:r>
          </w:p>
        </w:tc>
        <w:tc>
          <w:tcPr>
            <w:tcW w:w="9158" w:type="dxa"/>
            <w:tcBorders/>
            <w:shd w:fill="CCEEFF" w:val="clear"/>
            <w:vAlign w:val="center"/>
          </w:tcPr>
          <w:p>
            <w:pPr>
              <w:pStyle w:val="TableContents"/>
              <w:bidi w:val="0"/>
              <w:spacing w:before="0" w:after="283"/>
              <w:jc w:val="both"/>
              <w:rPr/>
            </w:pPr>
            <w:hyperlink r:id="rId41">
              <w:r>
                <w:rPr>
                  <w:rStyle w:val="InternetLink"/>
                  <w:sz w:val="20"/>
                </w:rPr>
                <w:t>Executive Retention Agreement between Rhoniel Daguro and AuthID Inc. dated March 23, 2023</w:t>
              </w:r>
            </w:hyperlink>
          </w:p>
        </w:tc>
      </w:tr>
      <w:tr>
        <w:trPr/>
        <w:tc>
          <w:tcPr>
            <w:tcW w:w="987" w:type="dxa"/>
            <w:tcBorders/>
            <w:vAlign w:val="center"/>
          </w:tcPr>
          <w:p>
            <w:pPr>
              <w:pStyle w:val="TableContents"/>
              <w:bidi w:val="0"/>
              <w:spacing w:before="0" w:after="283"/>
              <w:jc w:val="both"/>
              <w:rPr>
                <w:sz w:val="20"/>
              </w:rPr>
            </w:pPr>
            <w:r>
              <w:rPr>
                <w:sz w:val="20"/>
              </w:rPr>
              <w:t>10.30 (17)</w:t>
            </w:r>
          </w:p>
        </w:tc>
        <w:tc>
          <w:tcPr>
            <w:tcW w:w="60" w:type="dxa"/>
            <w:tcBorders/>
            <w:vAlign w:val="center"/>
          </w:tcPr>
          <w:p>
            <w:pPr>
              <w:pStyle w:val="TableContents"/>
              <w:bidi w:val="0"/>
              <w:spacing w:before="0" w:after="283"/>
              <w:jc w:val="left"/>
              <w:rPr/>
            </w:pPr>
            <w:r>
              <w:rPr/>
              <w:t> </w:t>
            </w:r>
          </w:p>
        </w:tc>
        <w:tc>
          <w:tcPr>
            <w:tcW w:w="9158" w:type="dxa"/>
            <w:tcBorders/>
            <w:vAlign w:val="center"/>
          </w:tcPr>
          <w:p>
            <w:pPr>
              <w:pStyle w:val="TableContents"/>
              <w:bidi w:val="0"/>
              <w:spacing w:before="0" w:after="283"/>
              <w:jc w:val="both"/>
              <w:rPr/>
            </w:pPr>
            <w:hyperlink r:id="rId42">
              <w:r>
                <w:rPr>
                  <w:rStyle w:val="InternetLink"/>
                  <w:sz w:val="20"/>
                </w:rPr>
                <w:t>Confidential Separation Agreement and General Release between Thomas Thimot and authID Inc. Dated March 23, 2023</w:t>
              </w:r>
            </w:hyperlink>
          </w:p>
        </w:tc>
      </w:tr>
      <w:tr>
        <w:trPr/>
        <w:tc>
          <w:tcPr>
            <w:tcW w:w="987" w:type="dxa"/>
            <w:tcBorders/>
            <w:shd w:fill="CCEEFF" w:val="clear"/>
            <w:vAlign w:val="center"/>
          </w:tcPr>
          <w:p>
            <w:pPr>
              <w:pStyle w:val="TableContents"/>
              <w:bidi w:val="0"/>
              <w:spacing w:before="0" w:after="283"/>
              <w:jc w:val="both"/>
              <w:rPr>
                <w:sz w:val="20"/>
              </w:rPr>
            </w:pPr>
            <w:r>
              <w:rPr>
                <w:sz w:val="20"/>
              </w:rPr>
              <w:t>10.31 (19)</w:t>
            </w:r>
          </w:p>
        </w:tc>
        <w:tc>
          <w:tcPr>
            <w:tcW w:w="60" w:type="dxa"/>
            <w:tcBorders/>
            <w:shd w:fill="CCEEFF" w:val="clear"/>
            <w:vAlign w:val="center"/>
          </w:tcPr>
          <w:p>
            <w:pPr>
              <w:pStyle w:val="TableContents"/>
              <w:bidi w:val="0"/>
              <w:spacing w:before="0" w:after="283"/>
              <w:jc w:val="left"/>
              <w:rPr/>
            </w:pPr>
            <w:r>
              <w:rPr/>
              <w:t> </w:t>
            </w:r>
          </w:p>
        </w:tc>
        <w:tc>
          <w:tcPr>
            <w:tcW w:w="9158" w:type="dxa"/>
            <w:tcBorders/>
            <w:shd w:fill="CCEEFF" w:val="clear"/>
            <w:vAlign w:val="center"/>
          </w:tcPr>
          <w:p>
            <w:pPr>
              <w:pStyle w:val="TableContents"/>
              <w:bidi w:val="0"/>
              <w:spacing w:before="0" w:after="283"/>
              <w:jc w:val="both"/>
              <w:rPr/>
            </w:pPr>
            <w:hyperlink r:id="rId43">
              <w:r>
                <w:rPr>
                  <w:rStyle w:val="InternetLink"/>
                  <w:sz w:val="20"/>
                </w:rPr>
                <w:t>Letter Agreement between Thomas Szoke and AuthID Inc. dated April 12, 2023</w:t>
              </w:r>
            </w:hyperlink>
          </w:p>
        </w:tc>
      </w:tr>
      <w:tr>
        <w:trPr/>
        <w:tc>
          <w:tcPr>
            <w:tcW w:w="987" w:type="dxa"/>
            <w:tcBorders/>
            <w:vAlign w:val="center"/>
          </w:tcPr>
          <w:p>
            <w:pPr>
              <w:pStyle w:val="TableContents"/>
              <w:bidi w:val="0"/>
              <w:spacing w:before="0" w:after="283"/>
              <w:jc w:val="both"/>
              <w:rPr>
                <w:sz w:val="20"/>
              </w:rPr>
            </w:pPr>
            <w:r>
              <w:rPr>
                <w:sz w:val="20"/>
              </w:rPr>
              <w:t>10.32 (19)</w:t>
            </w:r>
          </w:p>
        </w:tc>
        <w:tc>
          <w:tcPr>
            <w:tcW w:w="60" w:type="dxa"/>
            <w:tcBorders/>
            <w:vAlign w:val="center"/>
          </w:tcPr>
          <w:p>
            <w:pPr>
              <w:pStyle w:val="TableContents"/>
              <w:bidi w:val="0"/>
              <w:spacing w:before="0" w:after="283"/>
              <w:jc w:val="left"/>
              <w:rPr/>
            </w:pPr>
            <w:r>
              <w:rPr/>
              <w:t> </w:t>
            </w:r>
          </w:p>
        </w:tc>
        <w:tc>
          <w:tcPr>
            <w:tcW w:w="9158" w:type="dxa"/>
            <w:tcBorders/>
            <w:vAlign w:val="center"/>
          </w:tcPr>
          <w:p>
            <w:pPr>
              <w:pStyle w:val="TableContents"/>
              <w:bidi w:val="0"/>
              <w:spacing w:before="0" w:after="283"/>
              <w:jc w:val="both"/>
              <w:rPr/>
            </w:pPr>
            <w:hyperlink r:id="rId44">
              <w:r>
                <w:rPr>
                  <w:rStyle w:val="InternetLink"/>
                  <w:sz w:val="20"/>
                </w:rPr>
                <w:t>Executive Retention Agreement between Thomas Szoke and AuthID Inc. dated April 12, 2023</w:t>
              </w:r>
            </w:hyperlink>
          </w:p>
        </w:tc>
      </w:tr>
      <w:tr>
        <w:trPr/>
        <w:tc>
          <w:tcPr>
            <w:tcW w:w="987" w:type="dxa"/>
            <w:tcBorders/>
            <w:shd w:fill="CCEEFF" w:val="clear"/>
            <w:vAlign w:val="center"/>
          </w:tcPr>
          <w:p>
            <w:pPr>
              <w:pStyle w:val="TableContents"/>
              <w:bidi w:val="0"/>
              <w:spacing w:before="0" w:after="283"/>
              <w:jc w:val="both"/>
              <w:rPr>
                <w:sz w:val="20"/>
              </w:rPr>
            </w:pPr>
            <w:r>
              <w:rPr>
                <w:sz w:val="20"/>
              </w:rPr>
              <w:t>10.33 (21)</w:t>
            </w:r>
          </w:p>
        </w:tc>
        <w:tc>
          <w:tcPr>
            <w:tcW w:w="60" w:type="dxa"/>
            <w:tcBorders/>
            <w:shd w:fill="CCEEFF" w:val="clear"/>
            <w:vAlign w:val="center"/>
          </w:tcPr>
          <w:p>
            <w:pPr>
              <w:pStyle w:val="TableContents"/>
              <w:bidi w:val="0"/>
              <w:spacing w:before="0" w:after="283"/>
              <w:jc w:val="left"/>
              <w:rPr/>
            </w:pPr>
            <w:r>
              <w:rPr/>
              <w:t> </w:t>
            </w:r>
          </w:p>
        </w:tc>
        <w:tc>
          <w:tcPr>
            <w:tcW w:w="9158" w:type="dxa"/>
            <w:tcBorders/>
            <w:shd w:fill="CCEEFF" w:val="clear"/>
            <w:vAlign w:val="center"/>
          </w:tcPr>
          <w:p>
            <w:pPr>
              <w:pStyle w:val="TableContents"/>
              <w:bidi w:val="0"/>
              <w:spacing w:before="0" w:after="283"/>
              <w:jc w:val="both"/>
              <w:rPr/>
            </w:pPr>
            <w:hyperlink r:id="rId45">
              <w:r>
                <w:rPr>
                  <w:rStyle w:val="InternetLink"/>
                  <w:sz w:val="20"/>
                </w:rPr>
                <w:t>Executive Retention Agreement between Annie Pham and AuthID Inc. dated May 11, 2023</w:t>
              </w:r>
            </w:hyperlink>
          </w:p>
        </w:tc>
      </w:tr>
      <w:tr>
        <w:trPr/>
        <w:tc>
          <w:tcPr>
            <w:tcW w:w="987" w:type="dxa"/>
            <w:tcBorders/>
            <w:vAlign w:val="center"/>
          </w:tcPr>
          <w:p>
            <w:pPr>
              <w:pStyle w:val="TableContents"/>
              <w:bidi w:val="0"/>
              <w:spacing w:before="0" w:after="283"/>
              <w:jc w:val="both"/>
              <w:rPr>
                <w:sz w:val="20"/>
              </w:rPr>
            </w:pPr>
            <w:r>
              <w:rPr>
                <w:sz w:val="20"/>
              </w:rPr>
              <w:t>10.34 (22)**</w:t>
            </w:r>
          </w:p>
        </w:tc>
        <w:tc>
          <w:tcPr>
            <w:tcW w:w="60" w:type="dxa"/>
            <w:tcBorders/>
            <w:vAlign w:val="center"/>
          </w:tcPr>
          <w:p>
            <w:pPr>
              <w:pStyle w:val="TableContents"/>
              <w:bidi w:val="0"/>
              <w:spacing w:before="0" w:after="283"/>
              <w:jc w:val="left"/>
              <w:rPr/>
            </w:pPr>
            <w:r>
              <w:rPr/>
              <w:t> </w:t>
            </w:r>
          </w:p>
        </w:tc>
        <w:tc>
          <w:tcPr>
            <w:tcW w:w="9158" w:type="dxa"/>
            <w:tcBorders/>
            <w:vAlign w:val="center"/>
          </w:tcPr>
          <w:p>
            <w:pPr>
              <w:pStyle w:val="TableContents"/>
              <w:bidi w:val="0"/>
              <w:spacing w:before="0" w:after="283"/>
              <w:jc w:val="both"/>
              <w:rPr/>
            </w:pPr>
            <w:hyperlink r:id="rId46">
              <w:r>
                <w:rPr>
                  <w:rStyle w:val="InternetLink"/>
                  <w:sz w:val="20"/>
                </w:rPr>
                <w:t>Form of Securities Purchase Agreement dated as of May 23, 2023 between the Company and accredited investors</w:t>
              </w:r>
            </w:hyperlink>
          </w:p>
        </w:tc>
      </w:tr>
      <w:tr>
        <w:trPr/>
        <w:tc>
          <w:tcPr>
            <w:tcW w:w="987" w:type="dxa"/>
            <w:tcBorders/>
            <w:shd w:fill="CCEEFF" w:val="clear"/>
            <w:vAlign w:val="center"/>
          </w:tcPr>
          <w:p>
            <w:pPr>
              <w:pStyle w:val="TableContents"/>
              <w:bidi w:val="0"/>
              <w:spacing w:before="0" w:after="283"/>
              <w:jc w:val="both"/>
              <w:rPr>
                <w:sz w:val="20"/>
              </w:rPr>
            </w:pPr>
            <w:r>
              <w:rPr>
                <w:sz w:val="20"/>
              </w:rPr>
              <w:t>10.35 (22)</w:t>
            </w:r>
          </w:p>
        </w:tc>
        <w:tc>
          <w:tcPr>
            <w:tcW w:w="60" w:type="dxa"/>
            <w:tcBorders/>
            <w:shd w:fill="CCEEFF" w:val="clear"/>
            <w:vAlign w:val="center"/>
          </w:tcPr>
          <w:p>
            <w:pPr>
              <w:pStyle w:val="TableContents"/>
              <w:bidi w:val="0"/>
              <w:spacing w:before="0" w:after="283"/>
              <w:jc w:val="left"/>
              <w:rPr/>
            </w:pPr>
            <w:r>
              <w:rPr/>
              <w:t> </w:t>
            </w:r>
          </w:p>
        </w:tc>
        <w:tc>
          <w:tcPr>
            <w:tcW w:w="9158" w:type="dxa"/>
            <w:tcBorders/>
            <w:shd w:fill="CCEEFF" w:val="clear"/>
            <w:vAlign w:val="center"/>
          </w:tcPr>
          <w:p>
            <w:pPr>
              <w:pStyle w:val="TableContents"/>
              <w:bidi w:val="0"/>
              <w:spacing w:before="0" w:after="283"/>
              <w:jc w:val="both"/>
              <w:rPr/>
            </w:pPr>
            <w:hyperlink r:id="rId47">
              <w:r>
                <w:rPr>
                  <w:rStyle w:val="InternetLink"/>
                  <w:sz w:val="20"/>
                </w:rPr>
                <w:t>Engagement Agreement dated as of April 20, 2023 between the Company and Madison Global Partners LLC</w:t>
              </w:r>
            </w:hyperlink>
          </w:p>
        </w:tc>
      </w:tr>
      <w:tr>
        <w:trPr/>
        <w:tc>
          <w:tcPr>
            <w:tcW w:w="987" w:type="dxa"/>
            <w:tcBorders/>
            <w:vAlign w:val="center"/>
          </w:tcPr>
          <w:p>
            <w:pPr>
              <w:pStyle w:val="TableContents"/>
              <w:bidi w:val="0"/>
              <w:spacing w:before="0" w:after="283"/>
              <w:jc w:val="both"/>
              <w:rPr>
                <w:sz w:val="20"/>
              </w:rPr>
            </w:pPr>
            <w:r>
              <w:rPr>
                <w:sz w:val="20"/>
              </w:rPr>
              <w:t>10.36 (22)</w:t>
            </w:r>
          </w:p>
        </w:tc>
        <w:tc>
          <w:tcPr>
            <w:tcW w:w="60" w:type="dxa"/>
            <w:tcBorders/>
            <w:vAlign w:val="center"/>
          </w:tcPr>
          <w:p>
            <w:pPr>
              <w:pStyle w:val="TableContents"/>
              <w:bidi w:val="0"/>
              <w:spacing w:before="0" w:after="283"/>
              <w:jc w:val="left"/>
              <w:rPr/>
            </w:pPr>
            <w:r>
              <w:rPr/>
              <w:t> </w:t>
            </w:r>
          </w:p>
        </w:tc>
        <w:tc>
          <w:tcPr>
            <w:tcW w:w="9158" w:type="dxa"/>
            <w:tcBorders/>
            <w:vAlign w:val="center"/>
          </w:tcPr>
          <w:p>
            <w:pPr>
              <w:pStyle w:val="TableContents"/>
              <w:bidi w:val="0"/>
              <w:spacing w:before="0" w:after="283"/>
              <w:jc w:val="both"/>
              <w:rPr/>
            </w:pPr>
            <w:hyperlink r:id="rId48">
              <w:r>
                <w:rPr>
                  <w:rStyle w:val="InternetLink"/>
                  <w:sz w:val="20"/>
                </w:rPr>
                <w:t>Stock Purchase Warrant dated May 26, 2023 issued to Madison Global Partners LLC</w:t>
              </w:r>
            </w:hyperlink>
          </w:p>
        </w:tc>
      </w:tr>
      <w:tr>
        <w:trPr/>
        <w:tc>
          <w:tcPr>
            <w:tcW w:w="987" w:type="dxa"/>
            <w:tcBorders/>
            <w:shd w:fill="CCEEFF" w:val="clear"/>
            <w:vAlign w:val="center"/>
          </w:tcPr>
          <w:p>
            <w:pPr>
              <w:pStyle w:val="TableContents"/>
              <w:bidi w:val="0"/>
              <w:spacing w:before="0" w:after="283"/>
              <w:jc w:val="both"/>
              <w:rPr>
                <w:sz w:val="20"/>
              </w:rPr>
            </w:pPr>
            <w:r>
              <w:rPr>
                <w:sz w:val="20"/>
              </w:rPr>
              <w:t>10.37 (22)**</w:t>
            </w:r>
          </w:p>
        </w:tc>
        <w:tc>
          <w:tcPr>
            <w:tcW w:w="60" w:type="dxa"/>
            <w:tcBorders/>
            <w:shd w:fill="CCEEFF" w:val="clear"/>
            <w:vAlign w:val="center"/>
          </w:tcPr>
          <w:p>
            <w:pPr>
              <w:pStyle w:val="TableContents"/>
              <w:bidi w:val="0"/>
              <w:spacing w:before="0" w:after="283"/>
              <w:jc w:val="left"/>
              <w:rPr/>
            </w:pPr>
            <w:r>
              <w:rPr/>
              <w:t> </w:t>
            </w:r>
          </w:p>
        </w:tc>
        <w:tc>
          <w:tcPr>
            <w:tcW w:w="9158" w:type="dxa"/>
            <w:tcBorders/>
            <w:shd w:fill="CCEEFF" w:val="clear"/>
            <w:vAlign w:val="center"/>
          </w:tcPr>
          <w:p>
            <w:pPr>
              <w:pStyle w:val="TableContents"/>
              <w:bidi w:val="0"/>
              <w:spacing w:before="0" w:after="283"/>
              <w:jc w:val="both"/>
              <w:rPr/>
            </w:pPr>
            <w:hyperlink r:id="rId49">
              <w:r>
                <w:rPr>
                  <w:rStyle w:val="InternetLink"/>
                  <w:sz w:val="20"/>
                </w:rPr>
                <w:t>Form of Exchange Agreement dated as of May 23, 2023 between the Company and certain Holders</w:t>
              </w:r>
            </w:hyperlink>
          </w:p>
        </w:tc>
      </w:tr>
      <w:tr>
        <w:trPr/>
        <w:tc>
          <w:tcPr>
            <w:tcW w:w="987" w:type="dxa"/>
            <w:tcBorders/>
            <w:vAlign w:val="center"/>
          </w:tcPr>
          <w:p>
            <w:pPr>
              <w:pStyle w:val="TableContents"/>
              <w:bidi w:val="0"/>
              <w:spacing w:before="0" w:after="283"/>
              <w:jc w:val="both"/>
              <w:rPr>
                <w:sz w:val="20"/>
              </w:rPr>
            </w:pPr>
            <w:r>
              <w:rPr>
                <w:sz w:val="20"/>
              </w:rPr>
              <w:t>10.38 (24)</w:t>
            </w:r>
          </w:p>
        </w:tc>
        <w:tc>
          <w:tcPr>
            <w:tcW w:w="60" w:type="dxa"/>
            <w:tcBorders/>
            <w:vAlign w:val="center"/>
          </w:tcPr>
          <w:p>
            <w:pPr>
              <w:pStyle w:val="TableContents"/>
              <w:bidi w:val="0"/>
              <w:spacing w:before="0" w:after="283"/>
              <w:jc w:val="left"/>
              <w:rPr/>
            </w:pPr>
            <w:r>
              <w:rPr/>
              <w:t> </w:t>
            </w:r>
          </w:p>
        </w:tc>
        <w:tc>
          <w:tcPr>
            <w:tcW w:w="9158" w:type="dxa"/>
            <w:tcBorders/>
            <w:vAlign w:val="center"/>
          </w:tcPr>
          <w:p>
            <w:pPr>
              <w:pStyle w:val="TableContents"/>
              <w:bidi w:val="0"/>
              <w:spacing w:before="0" w:after="283"/>
              <w:jc w:val="both"/>
              <w:rPr/>
            </w:pPr>
            <w:hyperlink r:id="rId50">
              <w:r>
                <w:rPr>
                  <w:rStyle w:val="InternetLink"/>
                  <w:sz w:val="20"/>
                </w:rPr>
                <w:t>Letter Agreement between Edward Sellitto and authID Inc. dated July 31, 2023</w:t>
              </w:r>
            </w:hyperlink>
          </w:p>
        </w:tc>
      </w:tr>
      <w:tr>
        <w:trPr/>
        <w:tc>
          <w:tcPr>
            <w:tcW w:w="987" w:type="dxa"/>
            <w:tcBorders/>
            <w:shd w:fill="CCEEFF" w:val="clear"/>
            <w:vAlign w:val="center"/>
          </w:tcPr>
          <w:p>
            <w:pPr>
              <w:pStyle w:val="TableContents"/>
              <w:bidi w:val="0"/>
              <w:spacing w:before="0" w:after="283"/>
              <w:jc w:val="both"/>
              <w:rPr>
                <w:sz w:val="20"/>
              </w:rPr>
            </w:pPr>
            <w:r>
              <w:rPr>
                <w:sz w:val="20"/>
              </w:rPr>
              <w:t>10.39 (25)</w:t>
            </w:r>
          </w:p>
        </w:tc>
        <w:tc>
          <w:tcPr>
            <w:tcW w:w="60" w:type="dxa"/>
            <w:tcBorders/>
            <w:shd w:fill="CCEEFF" w:val="clear"/>
            <w:vAlign w:val="center"/>
          </w:tcPr>
          <w:p>
            <w:pPr>
              <w:pStyle w:val="TableContents"/>
              <w:bidi w:val="0"/>
              <w:spacing w:before="0" w:after="283"/>
              <w:jc w:val="left"/>
              <w:rPr/>
            </w:pPr>
            <w:r>
              <w:rPr/>
              <w:t> </w:t>
            </w:r>
          </w:p>
        </w:tc>
        <w:tc>
          <w:tcPr>
            <w:tcW w:w="9158" w:type="dxa"/>
            <w:tcBorders/>
            <w:shd w:fill="CCEEFF" w:val="clear"/>
            <w:vAlign w:val="center"/>
          </w:tcPr>
          <w:p>
            <w:pPr>
              <w:pStyle w:val="TableContents"/>
              <w:bidi w:val="0"/>
              <w:spacing w:before="0" w:after="283"/>
              <w:jc w:val="both"/>
              <w:rPr/>
            </w:pPr>
            <w:hyperlink r:id="rId51">
              <w:r>
                <w:rPr>
                  <w:rStyle w:val="InternetLink"/>
                  <w:sz w:val="20"/>
                </w:rPr>
                <w:t>Agreement dated October 25, 2023 between The Pipeline Group, Inc. and authID Inc.</w:t>
              </w:r>
            </w:hyperlink>
          </w:p>
        </w:tc>
      </w:tr>
      <w:tr>
        <w:trPr/>
        <w:tc>
          <w:tcPr>
            <w:tcW w:w="987" w:type="dxa"/>
            <w:tcBorders/>
            <w:vAlign w:val="center"/>
          </w:tcPr>
          <w:p>
            <w:pPr>
              <w:pStyle w:val="TableContents"/>
              <w:bidi w:val="0"/>
              <w:spacing w:before="0" w:after="283"/>
              <w:jc w:val="both"/>
              <w:rPr>
                <w:sz w:val="20"/>
              </w:rPr>
            </w:pPr>
            <w:r>
              <w:rPr>
                <w:sz w:val="20"/>
              </w:rPr>
              <w:t>10.40 (27)</w:t>
            </w:r>
          </w:p>
        </w:tc>
        <w:tc>
          <w:tcPr>
            <w:tcW w:w="60" w:type="dxa"/>
            <w:tcBorders/>
            <w:vAlign w:val="center"/>
          </w:tcPr>
          <w:p>
            <w:pPr>
              <w:pStyle w:val="TableContents"/>
              <w:bidi w:val="0"/>
              <w:spacing w:before="0" w:after="283"/>
              <w:jc w:val="left"/>
              <w:rPr/>
            </w:pPr>
            <w:r>
              <w:rPr/>
              <w:t> </w:t>
            </w:r>
          </w:p>
        </w:tc>
        <w:tc>
          <w:tcPr>
            <w:tcW w:w="9158" w:type="dxa"/>
            <w:tcBorders/>
            <w:vAlign w:val="center"/>
          </w:tcPr>
          <w:p>
            <w:pPr>
              <w:pStyle w:val="TableContents"/>
              <w:bidi w:val="0"/>
              <w:spacing w:before="0" w:after="283"/>
              <w:jc w:val="both"/>
              <w:rPr/>
            </w:pPr>
            <w:hyperlink r:id="rId52">
              <w:r>
                <w:rPr>
                  <w:rStyle w:val="InternetLink"/>
                  <w:sz w:val="20"/>
                </w:rPr>
                <w:t>Form of Securities Purchase Agreement dated as of November 20, 2023 between the Company and accredited investor</w:t>
              </w:r>
            </w:hyperlink>
          </w:p>
        </w:tc>
      </w:tr>
      <w:tr>
        <w:trPr/>
        <w:tc>
          <w:tcPr>
            <w:tcW w:w="987" w:type="dxa"/>
            <w:tcBorders/>
            <w:shd w:fill="CCEEFF" w:val="clear"/>
            <w:vAlign w:val="center"/>
          </w:tcPr>
          <w:p>
            <w:pPr>
              <w:pStyle w:val="TableContents"/>
              <w:bidi w:val="0"/>
              <w:spacing w:before="0" w:after="283"/>
              <w:jc w:val="both"/>
              <w:rPr>
                <w:sz w:val="20"/>
              </w:rPr>
            </w:pPr>
            <w:r>
              <w:rPr>
                <w:sz w:val="20"/>
              </w:rPr>
              <w:t>10.41 (27)</w:t>
            </w:r>
          </w:p>
        </w:tc>
        <w:tc>
          <w:tcPr>
            <w:tcW w:w="60" w:type="dxa"/>
            <w:tcBorders/>
            <w:shd w:fill="CCEEFF" w:val="clear"/>
            <w:vAlign w:val="center"/>
          </w:tcPr>
          <w:p>
            <w:pPr>
              <w:pStyle w:val="TableContents"/>
              <w:bidi w:val="0"/>
              <w:spacing w:before="0" w:after="283"/>
              <w:jc w:val="left"/>
              <w:rPr/>
            </w:pPr>
            <w:r>
              <w:rPr/>
              <w:t> </w:t>
            </w:r>
          </w:p>
        </w:tc>
        <w:tc>
          <w:tcPr>
            <w:tcW w:w="9158" w:type="dxa"/>
            <w:tcBorders/>
            <w:shd w:fill="CCEEFF" w:val="clear"/>
            <w:vAlign w:val="center"/>
          </w:tcPr>
          <w:p>
            <w:pPr>
              <w:pStyle w:val="TableContents"/>
              <w:bidi w:val="0"/>
              <w:spacing w:before="0" w:after="283"/>
              <w:jc w:val="both"/>
              <w:rPr/>
            </w:pPr>
            <w:hyperlink r:id="rId53">
              <w:r>
                <w:rPr>
                  <w:rStyle w:val="InternetLink"/>
                  <w:sz w:val="20"/>
                </w:rPr>
                <w:t>Engagement Agreement dated as of November 2, 2023 between the Company and Madison Global Partners, LLC</w:t>
              </w:r>
            </w:hyperlink>
          </w:p>
        </w:tc>
      </w:tr>
      <w:tr>
        <w:trPr/>
        <w:tc>
          <w:tcPr>
            <w:tcW w:w="987" w:type="dxa"/>
            <w:tcBorders/>
            <w:vAlign w:val="center"/>
          </w:tcPr>
          <w:p>
            <w:pPr>
              <w:pStyle w:val="TableContents"/>
              <w:bidi w:val="0"/>
              <w:spacing w:before="0" w:after="283"/>
              <w:jc w:val="both"/>
              <w:rPr>
                <w:sz w:val="20"/>
              </w:rPr>
            </w:pPr>
            <w:r>
              <w:rPr>
                <w:sz w:val="20"/>
              </w:rPr>
              <w:t>10.42 (27)</w:t>
            </w:r>
          </w:p>
        </w:tc>
        <w:tc>
          <w:tcPr>
            <w:tcW w:w="60" w:type="dxa"/>
            <w:tcBorders/>
            <w:vAlign w:val="center"/>
          </w:tcPr>
          <w:p>
            <w:pPr>
              <w:pStyle w:val="TableContents"/>
              <w:bidi w:val="0"/>
              <w:spacing w:before="0" w:after="283"/>
              <w:jc w:val="left"/>
              <w:rPr/>
            </w:pPr>
            <w:r>
              <w:rPr/>
              <w:t> </w:t>
            </w:r>
          </w:p>
        </w:tc>
        <w:tc>
          <w:tcPr>
            <w:tcW w:w="9158" w:type="dxa"/>
            <w:tcBorders/>
            <w:vAlign w:val="center"/>
          </w:tcPr>
          <w:p>
            <w:pPr>
              <w:pStyle w:val="TableContents"/>
              <w:bidi w:val="0"/>
              <w:spacing w:before="0" w:after="283"/>
              <w:jc w:val="both"/>
              <w:rPr/>
            </w:pPr>
            <w:hyperlink r:id="rId54">
              <w:r>
                <w:rPr>
                  <w:rStyle w:val="InternetLink"/>
                  <w:sz w:val="20"/>
                </w:rPr>
                <w:t>Stock Purchase Warrant dated November 22, 2023 issued to Madison Global Partners, LLC</w:t>
              </w:r>
            </w:hyperlink>
          </w:p>
        </w:tc>
      </w:tr>
      <w:tr>
        <w:trPr/>
        <w:tc>
          <w:tcPr>
            <w:tcW w:w="987" w:type="dxa"/>
            <w:tcBorders/>
            <w:shd w:fill="CCEEFF" w:val="clear"/>
            <w:vAlign w:val="center"/>
          </w:tcPr>
          <w:p>
            <w:pPr>
              <w:pStyle w:val="TableContents"/>
              <w:bidi w:val="0"/>
              <w:spacing w:before="0" w:after="283"/>
              <w:jc w:val="both"/>
              <w:rPr>
                <w:sz w:val="20"/>
              </w:rPr>
            </w:pPr>
            <w:r>
              <w:rPr>
                <w:sz w:val="20"/>
              </w:rPr>
              <w:t>10.42 (28)**</w:t>
            </w:r>
          </w:p>
        </w:tc>
        <w:tc>
          <w:tcPr>
            <w:tcW w:w="60" w:type="dxa"/>
            <w:tcBorders/>
            <w:shd w:fill="CCEEFF" w:val="clear"/>
            <w:vAlign w:val="center"/>
          </w:tcPr>
          <w:p>
            <w:pPr>
              <w:pStyle w:val="TableContents"/>
              <w:bidi w:val="0"/>
              <w:spacing w:before="0" w:after="283"/>
              <w:jc w:val="left"/>
              <w:rPr/>
            </w:pPr>
            <w:r>
              <w:rPr/>
              <w:t> </w:t>
            </w:r>
          </w:p>
        </w:tc>
        <w:tc>
          <w:tcPr>
            <w:tcW w:w="9158" w:type="dxa"/>
            <w:tcBorders/>
            <w:shd w:fill="CCEEFF" w:val="clear"/>
            <w:vAlign w:val="center"/>
          </w:tcPr>
          <w:p>
            <w:pPr>
              <w:pStyle w:val="TableContents"/>
              <w:bidi w:val="0"/>
              <w:spacing w:before="0" w:after="283"/>
              <w:jc w:val="both"/>
              <w:rPr/>
            </w:pPr>
            <w:hyperlink r:id="rId55">
              <w:r>
                <w:rPr>
                  <w:rStyle w:val="InternetLink"/>
                  <w:sz w:val="20"/>
                </w:rPr>
                <w:t>Agreement dated December 19, 2023 between The Pipeline Group, Inc and authID Inc.</w:t>
              </w:r>
            </w:hyperlink>
          </w:p>
        </w:tc>
      </w:tr>
      <w:tr>
        <w:trPr/>
        <w:tc>
          <w:tcPr>
            <w:tcW w:w="987" w:type="dxa"/>
            <w:tcBorders/>
            <w:vAlign w:val="center"/>
          </w:tcPr>
          <w:p>
            <w:pPr>
              <w:pStyle w:val="TableContents"/>
              <w:bidi w:val="0"/>
              <w:spacing w:before="0" w:after="283"/>
              <w:jc w:val="both"/>
              <w:rPr>
                <w:sz w:val="20"/>
              </w:rPr>
            </w:pPr>
            <w:r>
              <w:rPr>
                <w:sz w:val="20"/>
              </w:rPr>
              <w:t>10.43 (29)</w:t>
            </w:r>
          </w:p>
        </w:tc>
        <w:tc>
          <w:tcPr>
            <w:tcW w:w="60" w:type="dxa"/>
            <w:tcBorders/>
            <w:vAlign w:val="center"/>
          </w:tcPr>
          <w:p>
            <w:pPr>
              <w:pStyle w:val="TableContents"/>
              <w:bidi w:val="0"/>
              <w:spacing w:before="0" w:after="283"/>
              <w:jc w:val="left"/>
              <w:rPr/>
            </w:pPr>
            <w:r>
              <w:rPr/>
              <w:t> </w:t>
            </w:r>
          </w:p>
        </w:tc>
        <w:tc>
          <w:tcPr>
            <w:tcW w:w="9158" w:type="dxa"/>
            <w:tcBorders/>
            <w:vAlign w:val="center"/>
          </w:tcPr>
          <w:p>
            <w:pPr>
              <w:pStyle w:val="TableContents"/>
              <w:bidi w:val="0"/>
              <w:spacing w:before="0" w:after="283"/>
              <w:jc w:val="both"/>
              <w:rPr/>
            </w:pPr>
            <w:hyperlink r:id="rId56">
              <w:r>
                <w:rPr>
                  <w:rStyle w:val="InternetLink"/>
                  <w:sz w:val="20"/>
                </w:rPr>
                <w:t>Letter Agreement between Kunal Mehta and authID Inc.</w:t>
              </w:r>
            </w:hyperlink>
          </w:p>
        </w:tc>
      </w:tr>
      <w:tr>
        <w:trPr/>
        <w:tc>
          <w:tcPr>
            <w:tcW w:w="987" w:type="dxa"/>
            <w:tcBorders/>
            <w:shd w:fill="CCEEFF" w:val="clear"/>
            <w:vAlign w:val="center"/>
          </w:tcPr>
          <w:p>
            <w:pPr>
              <w:pStyle w:val="TableContents"/>
              <w:bidi w:val="0"/>
              <w:spacing w:before="0" w:after="283"/>
              <w:jc w:val="both"/>
              <w:rPr>
                <w:sz w:val="20"/>
              </w:rPr>
            </w:pPr>
            <w:r>
              <w:rPr>
                <w:sz w:val="20"/>
              </w:rPr>
              <w:t>10.44(31)**</w:t>
            </w:r>
          </w:p>
        </w:tc>
        <w:tc>
          <w:tcPr>
            <w:tcW w:w="60" w:type="dxa"/>
            <w:tcBorders/>
            <w:shd w:fill="CCEEFF" w:val="clear"/>
            <w:vAlign w:val="center"/>
          </w:tcPr>
          <w:p>
            <w:pPr>
              <w:pStyle w:val="TableContents"/>
              <w:bidi w:val="0"/>
              <w:spacing w:before="0" w:after="283"/>
              <w:jc w:val="left"/>
              <w:rPr/>
            </w:pPr>
            <w:r>
              <w:rPr/>
              <w:t> </w:t>
            </w:r>
          </w:p>
        </w:tc>
        <w:tc>
          <w:tcPr>
            <w:tcW w:w="9158" w:type="dxa"/>
            <w:tcBorders/>
            <w:shd w:fill="CCEEFF" w:val="clear"/>
            <w:vAlign w:val="center"/>
          </w:tcPr>
          <w:p>
            <w:pPr>
              <w:pStyle w:val="TableContents"/>
              <w:bidi w:val="0"/>
              <w:spacing w:before="0" w:after="283"/>
              <w:jc w:val="both"/>
              <w:rPr/>
            </w:pPr>
            <w:hyperlink r:id="rId57">
              <w:r>
                <w:rPr>
                  <w:rStyle w:val="InternetLink"/>
                  <w:sz w:val="20"/>
                </w:rPr>
                <w:t>Form of Securities Purchase Agreement dated as of June 24, 2024 between the Company and accredited investors</w:t>
              </w:r>
            </w:hyperlink>
          </w:p>
        </w:tc>
      </w:tr>
      <w:tr>
        <w:trPr/>
        <w:tc>
          <w:tcPr>
            <w:tcW w:w="987" w:type="dxa"/>
            <w:tcBorders/>
            <w:vAlign w:val="center"/>
          </w:tcPr>
          <w:p>
            <w:pPr>
              <w:pStyle w:val="TableContents"/>
              <w:bidi w:val="0"/>
              <w:spacing w:before="0" w:after="283"/>
              <w:jc w:val="both"/>
              <w:rPr>
                <w:sz w:val="20"/>
              </w:rPr>
            </w:pPr>
            <w:r>
              <w:rPr>
                <w:sz w:val="20"/>
              </w:rPr>
              <w:t>10.45(31)</w:t>
            </w:r>
          </w:p>
        </w:tc>
        <w:tc>
          <w:tcPr>
            <w:tcW w:w="60" w:type="dxa"/>
            <w:tcBorders/>
            <w:vAlign w:val="center"/>
          </w:tcPr>
          <w:p>
            <w:pPr>
              <w:pStyle w:val="TableContents"/>
              <w:bidi w:val="0"/>
              <w:spacing w:before="0" w:after="283"/>
              <w:jc w:val="left"/>
              <w:rPr/>
            </w:pPr>
            <w:r>
              <w:rPr/>
              <w:t> </w:t>
            </w:r>
          </w:p>
        </w:tc>
        <w:tc>
          <w:tcPr>
            <w:tcW w:w="9158" w:type="dxa"/>
            <w:tcBorders/>
            <w:vAlign w:val="center"/>
          </w:tcPr>
          <w:p>
            <w:pPr>
              <w:pStyle w:val="TableContents"/>
              <w:bidi w:val="0"/>
              <w:spacing w:before="0" w:after="283"/>
              <w:jc w:val="both"/>
              <w:rPr/>
            </w:pPr>
            <w:hyperlink r:id="rId58">
              <w:r>
                <w:rPr>
                  <w:rStyle w:val="InternetLink"/>
                  <w:sz w:val="20"/>
                </w:rPr>
                <w:t>Engagement Agreement, dated as of June 24, 2024 between the Company and Madison Global Partners, LLC</w:t>
              </w:r>
            </w:hyperlink>
          </w:p>
        </w:tc>
      </w:tr>
      <w:tr>
        <w:trPr/>
        <w:tc>
          <w:tcPr>
            <w:tcW w:w="987" w:type="dxa"/>
            <w:tcBorders/>
            <w:shd w:fill="CCEEFF" w:val="clear"/>
            <w:vAlign w:val="center"/>
          </w:tcPr>
          <w:p>
            <w:pPr>
              <w:pStyle w:val="TableContents"/>
              <w:bidi w:val="0"/>
              <w:spacing w:before="0" w:after="283"/>
              <w:jc w:val="both"/>
              <w:rPr>
                <w:sz w:val="20"/>
              </w:rPr>
            </w:pPr>
            <w:r>
              <w:rPr>
                <w:sz w:val="20"/>
              </w:rPr>
              <w:t>10.46(31)</w:t>
            </w:r>
          </w:p>
        </w:tc>
        <w:tc>
          <w:tcPr>
            <w:tcW w:w="60" w:type="dxa"/>
            <w:tcBorders/>
            <w:shd w:fill="CCEEFF" w:val="clear"/>
            <w:vAlign w:val="center"/>
          </w:tcPr>
          <w:p>
            <w:pPr>
              <w:pStyle w:val="TableContents"/>
              <w:bidi w:val="0"/>
              <w:spacing w:before="0" w:after="283"/>
              <w:jc w:val="left"/>
              <w:rPr/>
            </w:pPr>
            <w:r>
              <w:rPr/>
              <w:t> </w:t>
            </w:r>
          </w:p>
        </w:tc>
        <w:tc>
          <w:tcPr>
            <w:tcW w:w="9158" w:type="dxa"/>
            <w:tcBorders/>
            <w:shd w:fill="CCEEFF" w:val="clear"/>
            <w:vAlign w:val="center"/>
          </w:tcPr>
          <w:p>
            <w:pPr>
              <w:pStyle w:val="TableContents"/>
              <w:bidi w:val="0"/>
              <w:spacing w:before="0" w:after="283"/>
              <w:jc w:val="both"/>
              <w:rPr/>
            </w:pPr>
            <w:hyperlink r:id="rId59">
              <w:r>
                <w:rPr>
                  <w:rStyle w:val="InternetLink"/>
                  <w:sz w:val="20"/>
                </w:rPr>
                <w:t>Stock Purchase Warrant issued to Madison Global Partners LLC</w:t>
              </w:r>
            </w:hyperlink>
          </w:p>
        </w:tc>
      </w:tr>
      <w:tr>
        <w:trPr/>
        <w:tc>
          <w:tcPr>
            <w:tcW w:w="987" w:type="dxa"/>
            <w:tcBorders/>
            <w:vAlign w:val="center"/>
          </w:tcPr>
          <w:p>
            <w:pPr>
              <w:pStyle w:val="TableContents"/>
              <w:bidi w:val="0"/>
              <w:spacing w:before="0" w:after="283"/>
              <w:jc w:val="both"/>
              <w:rPr>
                <w:sz w:val="20"/>
              </w:rPr>
            </w:pPr>
            <w:r>
              <w:rPr>
                <w:sz w:val="20"/>
              </w:rPr>
              <w:t>14.1 (26)</w:t>
            </w:r>
          </w:p>
        </w:tc>
        <w:tc>
          <w:tcPr>
            <w:tcW w:w="60" w:type="dxa"/>
            <w:tcBorders/>
            <w:vAlign w:val="center"/>
          </w:tcPr>
          <w:p>
            <w:pPr>
              <w:pStyle w:val="TableContents"/>
              <w:bidi w:val="0"/>
              <w:spacing w:before="0" w:after="283"/>
              <w:jc w:val="left"/>
              <w:rPr/>
            </w:pPr>
            <w:r>
              <w:rPr/>
              <w:t> </w:t>
            </w:r>
          </w:p>
        </w:tc>
        <w:tc>
          <w:tcPr>
            <w:tcW w:w="9158" w:type="dxa"/>
            <w:tcBorders/>
            <w:vAlign w:val="center"/>
          </w:tcPr>
          <w:p>
            <w:pPr>
              <w:pStyle w:val="TableContents"/>
              <w:bidi w:val="0"/>
              <w:spacing w:before="0" w:after="283"/>
              <w:jc w:val="both"/>
              <w:rPr/>
            </w:pPr>
            <w:hyperlink r:id="rId60">
              <w:r>
                <w:rPr>
                  <w:rStyle w:val="InternetLink"/>
                  <w:sz w:val="20"/>
                </w:rPr>
                <w:t>Code of Ethics</w:t>
              </w:r>
            </w:hyperlink>
          </w:p>
        </w:tc>
      </w:tr>
      <w:tr>
        <w:trPr/>
        <w:tc>
          <w:tcPr>
            <w:tcW w:w="987" w:type="dxa"/>
            <w:tcBorders/>
            <w:shd w:fill="CCEEFF" w:val="clear"/>
            <w:vAlign w:val="center"/>
          </w:tcPr>
          <w:p>
            <w:pPr>
              <w:pStyle w:val="TableContents"/>
              <w:bidi w:val="0"/>
              <w:spacing w:before="0" w:after="283"/>
              <w:jc w:val="both"/>
              <w:rPr>
                <w:sz w:val="20"/>
              </w:rPr>
            </w:pPr>
            <w:r>
              <w:rPr>
                <w:sz w:val="20"/>
              </w:rPr>
              <w:t>21.1 (20)</w:t>
            </w:r>
          </w:p>
        </w:tc>
        <w:tc>
          <w:tcPr>
            <w:tcW w:w="60" w:type="dxa"/>
            <w:tcBorders/>
            <w:shd w:fill="CCEEFF" w:val="clear"/>
            <w:vAlign w:val="center"/>
          </w:tcPr>
          <w:p>
            <w:pPr>
              <w:pStyle w:val="TableContents"/>
              <w:bidi w:val="0"/>
              <w:spacing w:before="0" w:after="283"/>
              <w:jc w:val="left"/>
              <w:rPr/>
            </w:pPr>
            <w:r>
              <w:rPr/>
              <w:t> </w:t>
            </w:r>
          </w:p>
        </w:tc>
        <w:tc>
          <w:tcPr>
            <w:tcW w:w="9158" w:type="dxa"/>
            <w:tcBorders/>
            <w:shd w:fill="CCEEFF" w:val="clear"/>
            <w:vAlign w:val="center"/>
          </w:tcPr>
          <w:p>
            <w:pPr>
              <w:pStyle w:val="TableContents"/>
              <w:bidi w:val="0"/>
              <w:spacing w:before="0" w:after="283"/>
              <w:jc w:val="both"/>
              <w:rPr/>
            </w:pPr>
            <w:hyperlink r:id="rId61">
              <w:r>
                <w:rPr>
                  <w:rStyle w:val="InternetLink"/>
                  <w:sz w:val="20"/>
                </w:rPr>
                <w:t>List of Subsidiaries</w:t>
              </w:r>
            </w:hyperlink>
          </w:p>
        </w:tc>
      </w:tr>
      <w:tr>
        <w:trPr/>
        <w:tc>
          <w:tcPr>
            <w:tcW w:w="987" w:type="dxa"/>
            <w:tcBorders/>
            <w:vAlign w:val="center"/>
          </w:tcPr>
          <w:p>
            <w:pPr>
              <w:pStyle w:val="TableContents"/>
              <w:bidi w:val="0"/>
              <w:spacing w:before="0" w:after="283"/>
              <w:jc w:val="both"/>
              <w:rPr>
                <w:sz w:val="20"/>
              </w:rPr>
            </w:pPr>
            <w:r>
              <w:rPr>
                <w:sz w:val="20"/>
              </w:rPr>
              <w:t>31.1*</w:t>
            </w:r>
          </w:p>
        </w:tc>
        <w:tc>
          <w:tcPr>
            <w:tcW w:w="60" w:type="dxa"/>
            <w:tcBorders/>
            <w:vAlign w:val="center"/>
          </w:tcPr>
          <w:p>
            <w:pPr>
              <w:pStyle w:val="TableContents"/>
              <w:bidi w:val="0"/>
              <w:spacing w:before="0" w:after="283"/>
              <w:jc w:val="left"/>
              <w:rPr/>
            </w:pPr>
            <w:r>
              <w:rPr/>
              <w:t> </w:t>
            </w:r>
          </w:p>
        </w:tc>
        <w:tc>
          <w:tcPr>
            <w:tcW w:w="9158" w:type="dxa"/>
            <w:tcBorders/>
            <w:vAlign w:val="center"/>
          </w:tcPr>
          <w:p>
            <w:pPr>
              <w:pStyle w:val="TableContents"/>
              <w:bidi w:val="0"/>
              <w:spacing w:before="0" w:after="283"/>
              <w:jc w:val="both"/>
              <w:rPr/>
            </w:pPr>
            <w:hyperlink w:anchor="ea021013501ex31-1_authid.htm">
              <w:r>
                <w:rPr>
                  <w:rStyle w:val="InternetLink"/>
                  <w:sz w:val="20"/>
                </w:rPr>
                <w:t>Certification of Chief Executive Officer pursuant to Rule 13a-14(a)/15d-14(a) of the Securities Exchange Act</w:t>
              </w:r>
            </w:hyperlink>
          </w:p>
        </w:tc>
      </w:tr>
      <w:tr>
        <w:trPr/>
        <w:tc>
          <w:tcPr>
            <w:tcW w:w="987" w:type="dxa"/>
            <w:tcBorders/>
            <w:shd w:fill="CCEEFF" w:val="clear"/>
            <w:vAlign w:val="center"/>
          </w:tcPr>
          <w:p>
            <w:pPr>
              <w:pStyle w:val="TableContents"/>
              <w:bidi w:val="0"/>
              <w:spacing w:before="0" w:after="283"/>
              <w:jc w:val="both"/>
              <w:rPr>
                <w:sz w:val="20"/>
              </w:rPr>
            </w:pPr>
            <w:r>
              <w:rPr>
                <w:sz w:val="20"/>
              </w:rPr>
              <w:t>31.2*</w:t>
            </w:r>
          </w:p>
        </w:tc>
        <w:tc>
          <w:tcPr>
            <w:tcW w:w="60" w:type="dxa"/>
            <w:tcBorders/>
            <w:shd w:fill="CCEEFF" w:val="clear"/>
            <w:vAlign w:val="center"/>
          </w:tcPr>
          <w:p>
            <w:pPr>
              <w:pStyle w:val="TableContents"/>
              <w:bidi w:val="0"/>
              <w:spacing w:before="0" w:after="283"/>
              <w:jc w:val="left"/>
              <w:rPr/>
            </w:pPr>
            <w:r>
              <w:rPr/>
              <w:t> </w:t>
            </w:r>
          </w:p>
        </w:tc>
        <w:tc>
          <w:tcPr>
            <w:tcW w:w="9158" w:type="dxa"/>
            <w:tcBorders/>
            <w:shd w:fill="CCEEFF" w:val="clear"/>
            <w:vAlign w:val="center"/>
          </w:tcPr>
          <w:p>
            <w:pPr>
              <w:pStyle w:val="TableContents"/>
              <w:bidi w:val="0"/>
              <w:spacing w:before="0" w:after="283"/>
              <w:jc w:val="both"/>
              <w:rPr/>
            </w:pPr>
            <w:hyperlink w:anchor="ea021013501ex31-2_authid.htm">
              <w:r>
                <w:rPr>
                  <w:rStyle w:val="InternetLink"/>
                  <w:sz w:val="20"/>
                </w:rPr>
                <w:t>Certification of Chief Financial Officer pursuant to Rule 13a-14(a)/15d-14(a) of the Securities Exchange Act</w:t>
              </w:r>
            </w:hyperlink>
          </w:p>
        </w:tc>
      </w:tr>
      <w:tr>
        <w:trPr/>
        <w:tc>
          <w:tcPr>
            <w:tcW w:w="987" w:type="dxa"/>
            <w:tcBorders/>
            <w:vAlign w:val="center"/>
          </w:tcPr>
          <w:p>
            <w:pPr>
              <w:pStyle w:val="TableContents"/>
              <w:bidi w:val="0"/>
              <w:spacing w:before="0" w:after="283"/>
              <w:jc w:val="both"/>
              <w:rPr>
                <w:sz w:val="20"/>
              </w:rPr>
            </w:pPr>
            <w:r>
              <w:rPr>
                <w:sz w:val="20"/>
              </w:rPr>
              <w:t>32.1*</w:t>
            </w:r>
          </w:p>
        </w:tc>
        <w:tc>
          <w:tcPr>
            <w:tcW w:w="60" w:type="dxa"/>
            <w:tcBorders/>
            <w:vAlign w:val="center"/>
          </w:tcPr>
          <w:p>
            <w:pPr>
              <w:pStyle w:val="TableContents"/>
              <w:bidi w:val="0"/>
              <w:spacing w:before="0" w:after="283"/>
              <w:jc w:val="left"/>
              <w:rPr/>
            </w:pPr>
            <w:r>
              <w:rPr/>
              <w:t> </w:t>
            </w:r>
          </w:p>
        </w:tc>
        <w:tc>
          <w:tcPr>
            <w:tcW w:w="9158" w:type="dxa"/>
            <w:tcBorders/>
            <w:vAlign w:val="center"/>
          </w:tcPr>
          <w:p>
            <w:pPr>
              <w:pStyle w:val="TableContents"/>
              <w:bidi w:val="0"/>
              <w:spacing w:before="0" w:after="283"/>
              <w:jc w:val="both"/>
              <w:rPr/>
            </w:pPr>
            <w:hyperlink w:anchor="ea021013501ex32-1_authid.htm">
              <w:r>
                <w:rPr>
                  <w:rStyle w:val="InternetLink"/>
                  <w:sz w:val="20"/>
                </w:rPr>
                <w:t>Certification of Chief Executive Officer and Chief Financial Officer pursuant to 18 U.S.C. §1350, as adopted pursuant to Section 906 of the Sarbanes-Oxley Act of 2002</w:t>
              </w:r>
            </w:hyperlink>
          </w:p>
        </w:tc>
      </w:tr>
      <w:tr>
        <w:trPr/>
        <w:tc>
          <w:tcPr>
            <w:tcW w:w="987" w:type="dxa"/>
            <w:tcBorders/>
            <w:shd w:fill="CCEEFF" w:val="clear"/>
            <w:vAlign w:val="center"/>
          </w:tcPr>
          <w:p>
            <w:pPr>
              <w:pStyle w:val="TableContents"/>
              <w:bidi w:val="0"/>
              <w:spacing w:before="0" w:after="283"/>
              <w:jc w:val="both"/>
              <w:rPr>
                <w:sz w:val="20"/>
              </w:rPr>
            </w:pPr>
            <w:r>
              <w:rPr>
                <w:sz w:val="20"/>
              </w:rPr>
              <w:t>97.1 (26)</w:t>
            </w:r>
          </w:p>
        </w:tc>
        <w:tc>
          <w:tcPr>
            <w:tcW w:w="60" w:type="dxa"/>
            <w:tcBorders/>
            <w:shd w:fill="CCEEFF" w:val="clear"/>
            <w:vAlign w:val="center"/>
          </w:tcPr>
          <w:p>
            <w:pPr>
              <w:pStyle w:val="TableContents"/>
              <w:bidi w:val="0"/>
              <w:spacing w:before="0" w:after="283"/>
              <w:jc w:val="left"/>
              <w:rPr/>
            </w:pPr>
            <w:r>
              <w:rPr/>
              <w:t> </w:t>
            </w:r>
          </w:p>
        </w:tc>
        <w:tc>
          <w:tcPr>
            <w:tcW w:w="9158" w:type="dxa"/>
            <w:tcBorders/>
            <w:shd w:fill="CCEEFF" w:val="clear"/>
            <w:vAlign w:val="center"/>
          </w:tcPr>
          <w:p>
            <w:pPr>
              <w:pStyle w:val="TableContents"/>
              <w:bidi w:val="0"/>
              <w:spacing w:before="0" w:after="283"/>
              <w:jc w:val="both"/>
              <w:rPr/>
            </w:pPr>
            <w:hyperlink r:id="rId62">
              <w:r>
                <w:rPr>
                  <w:rStyle w:val="InternetLink"/>
                  <w:sz w:val="20"/>
                </w:rPr>
                <w:t>Policy for the Recovery of Erroneously Awarded Compensation adopted October 6, 2023</w:t>
              </w:r>
            </w:hyperlink>
          </w:p>
        </w:tc>
      </w:tr>
      <w:tr>
        <w:trPr/>
        <w:tc>
          <w:tcPr>
            <w:tcW w:w="987" w:type="dxa"/>
            <w:tcBorders/>
            <w:vAlign w:val="center"/>
          </w:tcPr>
          <w:p>
            <w:pPr>
              <w:pStyle w:val="TableContents"/>
              <w:bidi w:val="0"/>
              <w:spacing w:before="0" w:after="283"/>
              <w:jc w:val="both"/>
              <w:rPr>
                <w:sz w:val="20"/>
              </w:rPr>
            </w:pPr>
            <w:r>
              <w:rPr>
                <w:sz w:val="20"/>
              </w:rPr>
              <w:t>99.1 (30)</w:t>
            </w:r>
          </w:p>
        </w:tc>
        <w:tc>
          <w:tcPr>
            <w:tcW w:w="60" w:type="dxa"/>
            <w:tcBorders/>
            <w:vAlign w:val="center"/>
          </w:tcPr>
          <w:p>
            <w:pPr>
              <w:pStyle w:val="TableContents"/>
              <w:bidi w:val="0"/>
              <w:spacing w:before="0" w:after="283"/>
              <w:jc w:val="both"/>
              <w:rPr/>
            </w:pPr>
            <w:r>
              <w:rPr/>
              <w:t> </w:t>
            </w:r>
          </w:p>
        </w:tc>
        <w:tc>
          <w:tcPr>
            <w:tcW w:w="9158" w:type="dxa"/>
            <w:tcBorders/>
            <w:vAlign w:val="center"/>
          </w:tcPr>
          <w:p>
            <w:pPr>
              <w:pStyle w:val="TableContents"/>
              <w:bidi w:val="0"/>
              <w:spacing w:before="0" w:after="283"/>
              <w:jc w:val="both"/>
              <w:rPr/>
            </w:pPr>
            <w:hyperlink r:id="rId63">
              <w:r>
                <w:rPr>
                  <w:rStyle w:val="InternetLink"/>
                  <w:sz w:val="20"/>
                </w:rPr>
                <w:t>Policy on Granting Equity Awards</w:t>
              </w:r>
            </w:hyperlink>
          </w:p>
        </w:tc>
      </w:tr>
      <w:tr>
        <w:trPr/>
        <w:tc>
          <w:tcPr>
            <w:tcW w:w="987" w:type="dxa"/>
            <w:tcBorders/>
            <w:shd w:fill="CCEEFF" w:val="clear"/>
            <w:vAlign w:val="center"/>
          </w:tcPr>
          <w:p>
            <w:pPr>
              <w:pStyle w:val="TableContents"/>
              <w:bidi w:val="0"/>
              <w:spacing w:before="0" w:after="283"/>
              <w:jc w:val="both"/>
              <w:rPr>
                <w:sz w:val="20"/>
              </w:rPr>
            </w:pPr>
            <w:r>
              <w:rPr>
                <w:sz w:val="20"/>
              </w:rPr>
              <w:t>101.INS*</w:t>
            </w:r>
          </w:p>
        </w:tc>
        <w:tc>
          <w:tcPr>
            <w:tcW w:w="60" w:type="dxa"/>
            <w:tcBorders/>
            <w:shd w:fill="CCEEFF" w:val="clear"/>
            <w:vAlign w:val="center"/>
          </w:tcPr>
          <w:p>
            <w:pPr>
              <w:pStyle w:val="TableContents"/>
              <w:bidi w:val="0"/>
              <w:spacing w:before="0" w:after="283"/>
              <w:jc w:val="left"/>
              <w:rPr/>
            </w:pPr>
            <w:r>
              <w:rPr/>
              <w:t> </w:t>
            </w:r>
          </w:p>
        </w:tc>
        <w:tc>
          <w:tcPr>
            <w:tcW w:w="9158" w:type="dxa"/>
            <w:tcBorders/>
            <w:shd w:fill="CCEEFF" w:val="clear"/>
            <w:vAlign w:val="center"/>
          </w:tcPr>
          <w:p>
            <w:pPr>
              <w:pStyle w:val="TableContents"/>
              <w:bidi w:val="0"/>
              <w:spacing w:before="0" w:after="283"/>
              <w:jc w:val="both"/>
              <w:rPr>
                <w:sz w:val="20"/>
              </w:rPr>
            </w:pPr>
            <w:r>
              <w:rPr>
                <w:sz w:val="20"/>
              </w:rPr>
              <w:t xml:space="preserve">Inline XBRL Instance Document </w:t>
            </w:r>
          </w:p>
        </w:tc>
      </w:tr>
      <w:tr>
        <w:trPr/>
        <w:tc>
          <w:tcPr>
            <w:tcW w:w="987" w:type="dxa"/>
            <w:tcBorders/>
            <w:vAlign w:val="center"/>
          </w:tcPr>
          <w:p>
            <w:pPr>
              <w:pStyle w:val="TableContents"/>
              <w:bidi w:val="0"/>
              <w:spacing w:before="0" w:after="283"/>
              <w:jc w:val="both"/>
              <w:rPr>
                <w:sz w:val="20"/>
              </w:rPr>
            </w:pPr>
            <w:r>
              <w:rPr>
                <w:sz w:val="20"/>
              </w:rPr>
              <w:t>101.SCH*</w:t>
            </w:r>
          </w:p>
        </w:tc>
        <w:tc>
          <w:tcPr>
            <w:tcW w:w="60" w:type="dxa"/>
            <w:tcBorders/>
            <w:vAlign w:val="center"/>
          </w:tcPr>
          <w:p>
            <w:pPr>
              <w:pStyle w:val="TableContents"/>
              <w:bidi w:val="0"/>
              <w:spacing w:before="0" w:after="283"/>
              <w:jc w:val="left"/>
              <w:rPr/>
            </w:pPr>
            <w:r>
              <w:rPr/>
              <w:t> </w:t>
            </w:r>
          </w:p>
        </w:tc>
        <w:tc>
          <w:tcPr>
            <w:tcW w:w="9158" w:type="dxa"/>
            <w:tcBorders/>
            <w:vAlign w:val="center"/>
          </w:tcPr>
          <w:p>
            <w:pPr>
              <w:pStyle w:val="TableContents"/>
              <w:bidi w:val="0"/>
              <w:spacing w:before="0" w:after="283"/>
              <w:jc w:val="both"/>
              <w:rPr>
                <w:sz w:val="20"/>
              </w:rPr>
            </w:pPr>
            <w:r>
              <w:rPr>
                <w:sz w:val="20"/>
              </w:rPr>
              <w:t xml:space="preserve">Inline XBRL Taxonomy Extension Schema Document </w:t>
            </w:r>
          </w:p>
        </w:tc>
      </w:tr>
      <w:tr>
        <w:trPr/>
        <w:tc>
          <w:tcPr>
            <w:tcW w:w="987" w:type="dxa"/>
            <w:tcBorders/>
            <w:shd w:fill="CCEEFF" w:val="clear"/>
            <w:vAlign w:val="center"/>
          </w:tcPr>
          <w:p>
            <w:pPr>
              <w:pStyle w:val="TableContents"/>
              <w:bidi w:val="0"/>
              <w:spacing w:before="0" w:after="283"/>
              <w:jc w:val="both"/>
              <w:rPr>
                <w:sz w:val="20"/>
              </w:rPr>
            </w:pPr>
            <w:r>
              <w:rPr>
                <w:sz w:val="20"/>
              </w:rPr>
              <w:t>101.CAL*</w:t>
            </w:r>
          </w:p>
        </w:tc>
        <w:tc>
          <w:tcPr>
            <w:tcW w:w="60" w:type="dxa"/>
            <w:tcBorders/>
            <w:shd w:fill="CCEEFF" w:val="clear"/>
            <w:vAlign w:val="center"/>
          </w:tcPr>
          <w:p>
            <w:pPr>
              <w:pStyle w:val="TableContents"/>
              <w:bidi w:val="0"/>
              <w:spacing w:before="0" w:after="283"/>
              <w:jc w:val="left"/>
              <w:rPr/>
            </w:pPr>
            <w:r>
              <w:rPr/>
              <w:t> </w:t>
            </w:r>
          </w:p>
        </w:tc>
        <w:tc>
          <w:tcPr>
            <w:tcW w:w="9158" w:type="dxa"/>
            <w:tcBorders/>
            <w:shd w:fill="CCEEFF" w:val="clear"/>
            <w:vAlign w:val="center"/>
          </w:tcPr>
          <w:p>
            <w:pPr>
              <w:pStyle w:val="TableContents"/>
              <w:bidi w:val="0"/>
              <w:spacing w:before="0" w:after="283"/>
              <w:jc w:val="both"/>
              <w:rPr>
                <w:sz w:val="20"/>
              </w:rPr>
            </w:pPr>
            <w:r>
              <w:rPr>
                <w:sz w:val="20"/>
              </w:rPr>
              <w:t xml:space="preserve">Inline XBRL Taxonomy Extension Calculation Linkbase Document </w:t>
            </w:r>
          </w:p>
        </w:tc>
      </w:tr>
      <w:tr>
        <w:trPr/>
        <w:tc>
          <w:tcPr>
            <w:tcW w:w="987" w:type="dxa"/>
            <w:tcBorders/>
            <w:vAlign w:val="center"/>
          </w:tcPr>
          <w:p>
            <w:pPr>
              <w:pStyle w:val="TableContents"/>
              <w:bidi w:val="0"/>
              <w:spacing w:before="0" w:after="283"/>
              <w:jc w:val="both"/>
              <w:rPr>
                <w:sz w:val="20"/>
              </w:rPr>
            </w:pPr>
            <w:r>
              <w:rPr>
                <w:sz w:val="20"/>
              </w:rPr>
              <w:t>101.DEF*</w:t>
            </w:r>
          </w:p>
        </w:tc>
        <w:tc>
          <w:tcPr>
            <w:tcW w:w="60" w:type="dxa"/>
            <w:tcBorders/>
            <w:vAlign w:val="center"/>
          </w:tcPr>
          <w:p>
            <w:pPr>
              <w:pStyle w:val="TableContents"/>
              <w:bidi w:val="0"/>
              <w:spacing w:before="0" w:after="283"/>
              <w:jc w:val="left"/>
              <w:rPr/>
            </w:pPr>
            <w:r>
              <w:rPr/>
              <w:t> </w:t>
            </w:r>
          </w:p>
        </w:tc>
        <w:tc>
          <w:tcPr>
            <w:tcW w:w="9158" w:type="dxa"/>
            <w:tcBorders/>
            <w:vAlign w:val="center"/>
          </w:tcPr>
          <w:p>
            <w:pPr>
              <w:pStyle w:val="TableContents"/>
              <w:bidi w:val="0"/>
              <w:spacing w:before="0" w:after="283"/>
              <w:jc w:val="both"/>
              <w:rPr>
                <w:sz w:val="20"/>
              </w:rPr>
            </w:pPr>
            <w:r>
              <w:rPr>
                <w:sz w:val="20"/>
              </w:rPr>
              <w:t xml:space="preserve">Inline XBRL Taxonomy Extension Definition Linkbase Document </w:t>
            </w:r>
          </w:p>
        </w:tc>
      </w:tr>
      <w:tr>
        <w:trPr/>
        <w:tc>
          <w:tcPr>
            <w:tcW w:w="987" w:type="dxa"/>
            <w:tcBorders/>
            <w:shd w:fill="CCEEFF" w:val="clear"/>
            <w:vAlign w:val="center"/>
          </w:tcPr>
          <w:p>
            <w:pPr>
              <w:pStyle w:val="TableContents"/>
              <w:bidi w:val="0"/>
              <w:spacing w:before="0" w:after="283"/>
              <w:jc w:val="both"/>
              <w:rPr>
                <w:sz w:val="20"/>
              </w:rPr>
            </w:pPr>
            <w:r>
              <w:rPr>
                <w:sz w:val="20"/>
              </w:rPr>
              <w:t>101.LAB*</w:t>
            </w:r>
          </w:p>
        </w:tc>
        <w:tc>
          <w:tcPr>
            <w:tcW w:w="60" w:type="dxa"/>
            <w:tcBorders/>
            <w:shd w:fill="CCEEFF" w:val="clear"/>
            <w:vAlign w:val="center"/>
          </w:tcPr>
          <w:p>
            <w:pPr>
              <w:pStyle w:val="TableContents"/>
              <w:bidi w:val="0"/>
              <w:spacing w:before="0" w:after="283"/>
              <w:jc w:val="left"/>
              <w:rPr/>
            </w:pPr>
            <w:r>
              <w:rPr/>
              <w:t> </w:t>
            </w:r>
          </w:p>
        </w:tc>
        <w:tc>
          <w:tcPr>
            <w:tcW w:w="9158" w:type="dxa"/>
            <w:tcBorders/>
            <w:shd w:fill="CCEEFF" w:val="clear"/>
            <w:vAlign w:val="center"/>
          </w:tcPr>
          <w:p>
            <w:pPr>
              <w:pStyle w:val="TableContents"/>
              <w:bidi w:val="0"/>
              <w:spacing w:before="0" w:after="283"/>
              <w:jc w:val="both"/>
              <w:rPr>
                <w:sz w:val="20"/>
              </w:rPr>
            </w:pPr>
            <w:r>
              <w:rPr>
                <w:sz w:val="20"/>
              </w:rPr>
              <w:t xml:space="preserve">Inline XBRL Taxonomy Extension Label Linkbase Document </w:t>
            </w:r>
          </w:p>
        </w:tc>
      </w:tr>
      <w:tr>
        <w:trPr/>
        <w:tc>
          <w:tcPr>
            <w:tcW w:w="987" w:type="dxa"/>
            <w:tcBorders/>
            <w:vAlign w:val="center"/>
          </w:tcPr>
          <w:p>
            <w:pPr>
              <w:pStyle w:val="TableContents"/>
              <w:bidi w:val="0"/>
              <w:spacing w:before="0" w:after="283"/>
              <w:jc w:val="both"/>
              <w:rPr>
                <w:sz w:val="20"/>
              </w:rPr>
            </w:pPr>
            <w:r>
              <w:rPr>
                <w:sz w:val="20"/>
              </w:rPr>
              <w:t>101.PRE*</w:t>
            </w:r>
          </w:p>
        </w:tc>
        <w:tc>
          <w:tcPr>
            <w:tcW w:w="60" w:type="dxa"/>
            <w:tcBorders/>
            <w:vAlign w:val="center"/>
          </w:tcPr>
          <w:p>
            <w:pPr>
              <w:pStyle w:val="TableContents"/>
              <w:bidi w:val="0"/>
              <w:spacing w:before="0" w:after="283"/>
              <w:jc w:val="left"/>
              <w:rPr/>
            </w:pPr>
            <w:r>
              <w:rPr/>
              <w:t> </w:t>
            </w:r>
          </w:p>
        </w:tc>
        <w:tc>
          <w:tcPr>
            <w:tcW w:w="9158" w:type="dxa"/>
            <w:tcBorders/>
            <w:vAlign w:val="center"/>
          </w:tcPr>
          <w:p>
            <w:pPr>
              <w:pStyle w:val="TableContents"/>
              <w:bidi w:val="0"/>
              <w:spacing w:before="0" w:after="283"/>
              <w:jc w:val="both"/>
              <w:rPr>
                <w:sz w:val="20"/>
              </w:rPr>
            </w:pPr>
            <w:r>
              <w:rPr>
                <w:sz w:val="20"/>
              </w:rPr>
              <w:t xml:space="preserve">Inline XBRL Taxonomy Extension Presentation Linkbase Document </w:t>
            </w:r>
          </w:p>
        </w:tc>
      </w:tr>
      <w:tr>
        <w:trPr/>
        <w:tc>
          <w:tcPr>
            <w:tcW w:w="987" w:type="dxa"/>
            <w:tcBorders/>
            <w:shd w:fill="CCEEFF" w:val="clear"/>
            <w:vAlign w:val="center"/>
          </w:tcPr>
          <w:p>
            <w:pPr>
              <w:pStyle w:val="TableContents"/>
              <w:bidi w:val="0"/>
              <w:spacing w:before="0" w:after="283"/>
              <w:jc w:val="both"/>
              <w:rPr>
                <w:sz w:val="20"/>
              </w:rPr>
            </w:pPr>
            <w:r>
              <w:rPr>
                <w:sz w:val="20"/>
              </w:rPr>
              <w:t>104</w:t>
            </w:r>
          </w:p>
        </w:tc>
        <w:tc>
          <w:tcPr>
            <w:tcW w:w="60" w:type="dxa"/>
            <w:tcBorders/>
            <w:shd w:fill="CCEEFF" w:val="clear"/>
            <w:vAlign w:val="center"/>
          </w:tcPr>
          <w:p>
            <w:pPr>
              <w:pStyle w:val="TableContents"/>
              <w:bidi w:val="0"/>
              <w:spacing w:before="0" w:after="283"/>
              <w:jc w:val="left"/>
              <w:rPr/>
            </w:pPr>
            <w:r>
              <w:rPr/>
              <w:t> </w:t>
            </w:r>
          </w:p>
        </w:tc>
        <w:tc>
          <w:tcPr>
            <w:tcW w:w="9158" w:type="dxa"/>
            <w:tcBorders/>
            <w:shd w:fill="CCEEFF" w:val="clear"/>
            <w:vAlign w:val="center"/>
          </w:tcPr>
          <w:p>
            <w:pPr>
              <w:pStyle w:val="TableContents"/>
              <w:bidi w:val="0"/>
              <w:spacing w:before="0" w:after="283"/>
              <w:jc w:val="both"/>
              <w:rPr>
                <w:sz w:val="20"/>
              </w:rPr>
            </w:pPr>
            <w:r>
              <w:rPr>
                <w:sz w:val="20"/>
              </w:rPr>
              <w:t>Cover Page Interactive Data File (formatted as Inline 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tbl>
      <w:tblPr>
        <w:tblW w:w="1368" w:type="dxa"/>
        <w:jc w:val="left"/>
        <w:tblInd w:w="0" w:type="dxa"/>
        <w:tblLayout w:type="fixed"/>
        <w:tblCellMar>
          <w:top w:w="0" w:type="dxa"/>
          <w:left w:w="0" w:type="dxa"/>
          <w:bottom w:w="0" w:type="dxa"/>
          <w:right w:w="0" w:type="dxa"/>
        </w:tblCellMar>
      </w:tblPr>
      <w:tblGrid>
        <w:gridCol w:w="38"/>
        <w:gridCol w:w="125"/>
        <w:gridCol w:w="120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20"/>
              </w:rPr>
            </w:pPr>
            <w:r>
              <w:rPr>
                <w:sz w:val="20"/>
              </w:rPr>
              <w:t>*</w:t>
            </w:r>
          </w:p>
        </w:tc>
        <w:tc>
          <w:tcPr>
            <w:tcW w:w="1205" w:type="dxa"/>
            <w:tcBorders/>
            <w:vAlign w:val="center"/>
          </w:tcPr>
          <w:p>
            <w:pPr>
              <w:pStyle w:val="TableContents"/>
              <w:bidi w:val="0"/>
              <w:spacing w:before="0" w:after="283"/>
              <w:jc w:val="both"/>
              <w:rPr>
                <w:sz w:val="20"/>
              </w:rPr>
            </w:pPr>
            <w:r>
              <w:rPr>
                <w:sz w:val="20"/>
              </w:rPr>
              <w:t>Filed herewith</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4"/>
        <w:gridCol w:w="10003"/>
      </w:tblGrid>
      <w:tr>
        <w:trPr/>
        <w:tc>
          <w:tcPr>
            <w:tcW w:w="3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20"/>
              </w:rPr>
            </w:pPr>
            <w:r>
              <w:rPr>
                <w:sz w:val="20"/>
              </w:rPr>
              <w:t>**</w:t>
            </w:r>
          </w:p>
        </w:tc>
        <w:tc>
          <w:tcPr>
            <w:tcW w:w="10003" w:type="dxa"/>
            <w:tcBorders/>
            <w:vAlign w:val="center"/>
          </w:tcPr>
          <w:p>
            <w:pPr>
              <w:pStyle w:val="TableContents"/>
              <w:bidi w:val="0"/>
              <w:spacing w:before="0" w:after="283"/>
              <w:jc w:val="both"/>
              <w:rPr>
                <w:sz w:val="20"/>
              </w:rPr>
            </w:pPr>
            <w:r>
              <w:rPr>
                <w:sz w:val="20"/>
              </w:rPr>
              <w:t>Certain confidential portions of this exhibit were omitted by means of marking such portions with asterisks because the identified confidential portions (i) are not material and (ii) would be competitively harmful if publicly disclosed. A copy of any omitted portions will be furnished to the SEC upon request.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both"/>
              <w:rPr>
                <w:sz w:val="20"/>
              </w:rPr>
            </w:pPr>
            <w:r>
              <w:rPr>
                <w:sz w:val="20"/>
              </w:rPr>
              <w:t>(1)</w:t>
            </w:r>
          </w:p>
        </w:tc>
        <w:tc>
          <w:tcPr>
            <w:tcW w:w="9949" w:type="dxa"/>
            <w:tcBorders/>
            <w:vAlign w:val="center"/>
          </w:tcPr>
          <w:p>
            <w:pPr>
              <w:pStyle w:val="TableContents"/>
              <w:bidi w:val="0"/>
              <w:spacing w:before="0" w:after="283"/>
              <w:jc w:val="both"/>
              <w:rPr>
                <w:sz w:val="20"/>
              </w:rPr>
            </w:pPr>
            <w:r>
              <w:rPr>
                <w:sz w:val="20"/>
              </w:rPr>
              <w:t>Incorporated by reference to the Form 8-K Current Report filed with the Securities Exchange Commission on March 23, 2021.</w:t>
            </w:r>
          </w:p>
        </w:tc>
      </w:tr>
      <w:tr>
        <w:trPr/>
        <w:tc>
          <w:tcPr>
            <w:tcW w:w="256" w:type="dxa"/>
            <w:tcBorders/>
            <w:vAlign w:val="center"/>
          </w:tcPr>
          <w:p>
            <w:pPr>
              <w:pStyle w:val="TableContents"/>
              <w:bidi w:val="0"/>
              <w:spacing w:before="0" w:after="283"/>
              <w:jc w:val="both"/>
              <w:rPr>
                <w:sz w:val="20"/>
              </w:rPr>
            </w:pPr>
            <w:r>
              <w:rPr>
                <w:sz w:val="20"/>
              </w:rPr>
              <w:t>(2)</w:t>
            </w:r>
          </w:p>
        </w:tc>
        <w:tc>
          <w:tcPr>
            <w:tcW w:w="9949" w:type="dxa"/>
            <w:tcBorders/>
            <w:vAlign w:val="center"/>
          </w:tcPr>
          <w:p>
            <w:pPr>
              <w:pStyle w:val="TableContents"/>
              <w:bidi w:val="0"/>
              <w:spacing w:before="0" w:after="283"/>
              <w:jc w:val="both"/>
              <w:rPr>
                <w:sz w:val="20"/>
              </w:rPr>
            </w:pPr>
            <w:r>
              <w:rPr>
                <w:sz w:val="20"/>
              </w:rPr>
              <w:t>Incorporated by reference to the Form 8-K Current Report filed with the Securities Exchange Commission on June 15, 2021.</w:t>
            </w:r>
          </w:p>
        </w:tc>
      </w:tr>
      <w:tr>
        <w:trPr/>
        <w:tc>
          <w:tcPr>
            <w:tcW w:w="256" w:type="dxa"/>
            <w:tcBorders/>
            <w:vAlign w:val="center"/>
          </w:tcPr>
          <w:p>
            <w:pPr>
              <w:pStyle w:val="TableContents"/>
              <w:bidi w:val="0"/>
              <w:spacing w:before="0" w:after="283"/>
              <w:jc w:val="both"/>
              <w:rPr>
                <w:sz w:val="20"/>
              </w:rPr>
            </w:pPr>
            <w:r>
              <w:rPr>
                <w:sz w:val="20"/>
              </w:rPr>
              <w:t>(3)</w:t>
            </w:r>
          </w:p>
        </w:tc>
        <w:tc>
          <w:tcPr>
            <w:tcW w:w="9949" w:type="dxa"/>
            <w:tcBorders/>
            <w:vAlign w:val="center"/>
          </w:tcPr>
          <w:p>
            <w:pPr>
              <w:pStyle w:val="TableContents"/>
              <w:bidi w:val="0"/>
              <w:spacing w:before="0" w:after="283"/>
              <w:jc w:val="both"/>
              <w:rPr>
                <w:sz w:val="20"/>
              </w:rPr>
            </w:pPr>
            <w:r>
              <w:rPr>
                <w:sz w:val="20"/>
              </w:rPr>
              <w:t>Incorporated by reference to the Form 8-K Current Report filed with the Securities Exchange Commission on December 16, 2019.</w:t>
            </w:r>
          </w:p>
        </w:tc>
      </w:tr>
      <w:tr>
        <w:trPr/>
        <w:tc>
          <w:tcPr>
            <w:tcW w:w="256" w:type="dxa"/>
            <w:tcBorders/>
            <w:vAlign w:val="center"/>
          </w:tcPr>
          <w:p>
            <w:pPr>
              <w:pStyle w:val="TableContents"/>
              <w:bidi w:val="0"/>
              <w:spacing w:before="0" w:after="283"/>
              <w:jc w:val="both"/>
              <w:rPr>
                <w:sz w:val="20"/>
              </w:rPr>
            </w:pPr>
            <w:r>
              <w:rPr>
                <w:sz w:val="20"/>
              </w:rPr>
              <w:t>(4)</w:t>
            </w:r>
          </w:p>
        </w:tc>
        <w:tc>
          <w:tcPr>
            <w:tcW w:w="9949" w:type="dxa"/>
            <w:tcBorders/>
            <w:vAlign w:val="center"/>
          </w:tcPr>
          <w:p>
            <w:pPr>
              <w:pStyle w:val="TableContents"/>
              <w:bidi w:val="0"/>
              <w:spacing w:before="0" w:after="283"/>
              <w:jc w:val="both"/>
              <w:rPr>
                <w:sz w:val="20"/>
              </w:rPr>
            </w:pPr>
            <w:r>
              <w:rPr>
                <w:sz w:val="20"/>
              </w:rPr>
              <w:t>Incorporated by reference to the Form 8-K Current Report filed with the Securities Exchange Commission on February 18, 2020.</w:t>
            </w:r>
          </w:p>
        </w:tc>
      </w:tr>
      <w:tr>
        <w:trPr/>
        <w:tc>
          <w:tcPr>
            <w:tcW w:w="256" w:type="dxa"/>
            <w:tcBorders/>
            <w:vAlign w:val="center"/>
          </w:tcPr>
          <w:p>
            <w:pPr>
              <w:pStyle w:val="TableContents"/>
              <w:bidi w:val="0"/>
              <w:spacing w:before="0" w:after="283"/>
              <w:jc w:val="both"/>
              <w:rPr>
                <w:sz w:val="20"/>
              </w:rPr>
            </w:pPr>
            <w:r>
              <w:rPr>
                <w:sz w:val="20"/>
              </w:rPr>
              <w:t>(5)</w:t>
            </w:r>
          </w:p>
        </w:tc>
        <w:tc>
          <w:tcPr>
            <w:tcW w:w="9949" w:type="dxa"/>
            <w:tcBorders/>
            <w:vAlign w:val="center"/>
          </w:tcPr>
          <w:p>
            <w:pPr>
              <w:pStyle w:val="TableContents"/>
              <w:bidi w:val="0"/>
              <w:spacing w:before="0" w:after="283"/>
              <w:jc w:val="both"/>
              <w:rPr>
                <w:sz w:val="20"/>
              </w:rPr>
            </w:pPr>
            <w:r>
              <w:rPr>
                <w:sz w:val="20"/>
              </w:rPr>
              <w:t>Incorporated by reference to the Form 8-K Current Report filed with the Securities Exchange Commission on May 13, 2020.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08"/>
        <w:gridCol w:w="9797"/>
      </w:tblGrid>
      <w:tr>
        <w:trPr/>
        <w:tc>
          <w:tcPr>
            <w:tcW w:w="408" w:type="dxa"/>
            <w:tcBorders/>
            <w:vAlign w:val="center"/>
          </w:tcPr>
          <w:p>
            <w:pPr>
              <w:pStyle w:val="TableContents"/>
              <w:bidi w:val="0"/>
              <w:spacing w:before="0" w:after="283"/>
              <w:jc w:val="both"/>
              <w:rPr>
                <w:sz w:val="20"/>
              </w:rPr>
            </w:pPr>
            <w:r>
              <w:rPr>
                <w:sz w:val="20"/>
              </w:rPr>
              <w:t>(6)</w:t>
            </w:r>
          </w:p>
        </w:tc>
        <w:tc>
          <w:tcPr>
            <w:tcW w:w="9797" w:type="dxa"/>
            <w:tcBorders/>
            <w:vAlign w:val="center"/>
          </w:tcPr>
          <w:p>
            <w:pPr>
              <w:pStyle w:val="TableContents"/>
              <w:bidi w:val="0"/>
              <w:spacing w:before="0" w:after="283"/>
              <w:jc w:val="both"/>
              <w:rPr>
                <w:sz w:val="20"/>
              </w:rPr>
            </w:pPr>
            <w:r>
              <w:rPr>
                <w:sz w:val="20"/>
              </w:rPr>
              <w:t>Incorporated by reference to the Form 10-Q Quarterly Report filed with the Securities Exchange Commission on May 6, 2021.</w:t>
            </w:r>
          </w:p>
        </w:tc>
      </w:tr>
      <w:tr>
        <w:trPr/>
        <w:tc>
          <w:tcPr>
            <w:tcW w:w="408" w:type="dxa"/>
            <w:tcBorders/>
            <w:vAlign w:val="center"/>
          </w:tcPr>
          <w:p>
            <w:pPr>
              <w:pStyle w:val="TableContents"/>
              <w:bidi w:val="0"/>
              <w:spacing w:before="0" w:after="283"/>
              <w:jc w:val="both"/>
              <w:rPr>
                <w:sz w:val="20"/>
              </w:rPr>
            </w:pPr>
            <w:r>
              <w:rPr>
                <w:sz w:val="20"/>
              </w:rPr>
              <w:t>(7)</w:t>
            </w:r>
          </w:p>
        </w:tc>
        <w:tc>
          <w:tcPr>
            <w:tcW w:w="9797" w:type="dxa"/>
            <w:tcBorders/>
            <w:vAlign w:val="center"/>
          </w:tcPr>
          <w:p>
            <w:pPr>
              <w:pStyle w:val="TableContents"/>
              <w:bidi w:val="0"/>
              <w:spacing w:before="0" w:after="283"/>
              <w:jc w:val="both"/>
              <w:rPr>
                <w:sz w:val="20"/>
              </w:rPr>
            </w:pPr>
            <w:r>
              <w:rPr>
                <w:sz w:val="20"/>
              </w:rPr>
              <w:t>Incorporated by reference to the Form 10-Q Quarterly Report filed with the Securities Exchange Commission on May 4, 2018.</w:t>
            </w:r>
          </w:p>
        </w:tc>
      </w:tr>
      <w:tr>
        <w:trPr/>
        <w:tc>
          <w:tcPr>
            <w:tcW w:w="408" w:type="dxa"/>
            <w:tcBorders/>
            <w:vAlign w:val="center"/>
          </w:tcPr>
          <w:p>
            <w:pPr>
              <w:pStyle w:val="TableContents"/>
              <w:bidi w:val="0"/>
              <w:spacing w:before="0" w:after="283"/>
              <w:jc w:val="both"/>
              <w:rPr>
                <w:sz w:val="20"/>
              </w:rPr>
            </w:pPr>
            <w:r>
              <w:rPr>
                <w:sz w:val="20"/>
              </w:rPr>
              <w:t>(8)</w:t>
            </w:r>
          </w:p>
        </w:tc>
        <w:tc>
          <w:tcPr>
            <w:tcW w:w="9797" w:type="dxa"/>
            <w:tcBorders/>
            <w:vAlign w:val="center"/>
          </w:tcPr>
          <w:p>
            <w:pPr>
              <w:pStyle w:val="TableContents"/>
              <w:bidi w:val="0"/>
              <w:spacing w:before="0" w:after="283"/>
              <w:jc w:val="both"/>
              <w:rPr>
                <w:sz w:val="20"/>
              </w:rPr>
            </w:pPr>
            <w:r>
              <w:rPr>
                <w:sz w:val="20"/>
              </w:rPr>
              <w:t>Incorporated by reference to the Form 10-Q Quarterly Report filed with the Securities Exchange Commission on November 8, 2021.</w:t>
            </w:r>
          </w:p>
        </w:tc>
      </w:tr>
      <w:tr>
        <w:trPr/>
        <w:tc>
          <w:tcPr>
            <w:tcW w:w="408" w:type="dxa"/>
            <w:tcBorders/>
            <w:vAlign w:val="center"/>
          </w:tcPr>
          <w:p>
            <w:pPr>
              <w:pStyle w:val="TableContents"/>
              <w:bidi w:val="0"/>
              <w:spacing w:before="0" w:after="283"/>
              <w:jc w:val="both"/>
              <w:rPr>
                <w:sz w:val="20"/>
              </w:rPr>
            </w:pPr>
            <w:r>
              <w:rPr>
                <w:sz w:val="20"/>
              </w:rPr>
              <w:t>(9)</w:t>
            </w:r>
          </w:p>
        </w:tc>
        <w:tc>
          <w:tcPr>
            <w:tcW w:w="9797" w:type="dxa"/>
            <w:tcBorders/>
            <w:vAlign w:val="center"/>
          </w:tcPr>
          <w:p>
            <w:pPr>
              <w:pStyle w:val="TableContents"/>
              <w:bidi w:val="0"/>
              <w:spacing w:before="0" w:after="283"/>
              <w:jc w:val="both"/>
              <w:rPr>
                <w:sz w:val="20"/>
              </w:rPr>
            </w:pPr>
            <w:r>
              <w:rPr>
                <w:sz w:val="20"/>
              </w:rPr>
              <w:t>Incorporated by reference to the Form S-8 Registration Statement filed with the Securities Exchange Commission on February 1, 2022.</w:t>
            </w:r>
          </w:p>
        </w:tc>
      </w:tr>
      <w:tr>
        <w:trPr/>
        <w:tc>
          <w:tcPr>
            <w:tcW w:w="408" w:type="dxa"/>
            <w:tcBorders/>
            <w:vAlign w:val="center"/>
          </w:tcPr>
          <w:p>
            <w:pPr>
              <w:pStyle w:val="TableContents"/>
              <w:bidi w:val="0"/>
              <w:spacing w:before="0" w:after="283"/>
              <w:jc w:val="both"/>
              <w:rPr>
                <w:sz w:val="20"/>
              </w:rPr>
            </w:pPr>
            <w:r>
              <w:rPr>
                <w:sz w:val="20"/>
              </w:rPr>
              <w:t>(10)</w:t>
            </w:r>
          </w:p>
        </w:tc>
        <w:tc>
          <w:tcPr>
            <w:tcW w:w="9797" w:type="dxa"/>
            <w:tcBorders/>
            <w:vAlign w:val="center"/>
          </w:tcPr>
          <w:p>
            <w:pPr>
              <w:pStyle w:val="TableContents"/>
              <w:bidi w:val="0"/>
              <w:spacing w:before="0" w:after="283"/>
              <w:jc w:val="both"/>
              <w:rPr>
                <w:sz w:val="20"/>
              </w:rPr>
            </w:pPr>
            <w:r>
              <w:rPr>
                <w:sz w:val="20"/>
              </w:rPr>
              <w:t>Incorporated by reference to the Form 8-K Current Report filed with the Securities Exchange Commission on March 21, 2022.</w:t>
            </w:r>
          </w:p>
        </w:tc>
      </w:tr>
      <w:tr>
        <w:trPr/>
        <w:tc>
          <w:tcPr>
            <w:tcW w:w="408" w:type="dxa"/>
            <w:tcBorders/>
            <w:vAlign w:val="center"/>
          </w:tcPr>
          <w:p>
            <w:pPr>
              <w:pStyle w:val="TableContents"/>
              <w:bidi w:val="0"/>
              <w:spacing w:before="0" w:after="283"/>
              <w:jc w:val="both"/>
              <w:rPr>
                <w:sz w:val="20"/>
              </w:rPr>
            </w:pPr>
            <w:r>
              <w:rPr>
                <w:sz w:val="20"/>
              </w:rPr>
              <w:t>(11)</w:t>
            </w:r>
          </w:p>
        </w:tc>
        <w:tc>
          <w:tcPr>
            <w:tcW w:w="9797" w:type="dxa"/>
            <w:tcBorders/>
            <w:vAlign w:val="center"/>
          </w:tcPr>
          <w:p>
            <w:pPr>
              <w:pStyle w:val="TableContents"/>
              <w:bidi w:val="0"/>
              <w:spacing w:before="0" w:after="283"/>
              <w:jc w:val="both"/>
              <w:rPr>
                <w:sz w:val="20"/>
              </w:rPr>
            </w:pPr>
            <w:r>
              <w:rPr>
                <w:sz w:val="20"/>
              </w:rPr>
              <w:t>Incorporated by reference to the Form 10-K Annual Report filed with the Securities Exchange Commission on March 22, 2022.</w:t>
            </w:r>
          </w:p>
        </w:tc>
      </w:tr>
      <w:tr>
        <w:trPr/>
        <w:tc>
          <w:tcPr>
            <w:tcW w:w="408" w:type="dxa"/>
            <w:tcBorders/>
            <w:vAlign w:val="center"/>
          </w:tcPr>
          <w:p>
            <w:pPr>
              <w:pStyle w:val="TableContents"/>
              <w:bidi w:val="0"/>
              <w:spacing w:before="0" w:after="283"/>
              <w:jc w:val="both"/>
              <w:rPr>
                <w:sz w:val="20"/>
              </w:rPr>
            </w:pPr>
            <w:r>
              <w:rPr>
                <w:sz w:val="20"/>
              </w:rPr>
              <w:t>(12)</w:t>
            </w:r>
          </w:p>
        </w:tc>
        <w:tc>
          <w:tcPr>
            <w:tcW w:w="9797" w:type="dxa"/>
            <w:tcBorders/>
            <w:vAlign w:val="center"/>
          </w:tcPr>
          <w:p>
            <w:pPr>
              <w:pStyle w:val="TableContents"/>
              <w:bidi w:val="0"/>
              <w:spacing w:before="0" w:after="283"/>
              <w:jc w:val="both"/>
              <w:rPr>
                <w:sz w:val="20"/>
              </w:rPr>
            </w:pPr>
            <w:r>
              <w:rPr>
                <w:sz w:val="20"/>
              </w:rPr>
              <w:t>Incorporated by reference to the Form 8-K Current Report filed with the Securities Exchange Commission on April 18, 2022.</w:t>
            </w:r>
          </w:p>
        </w:tc>
      </w:tr>
      <w:tr>
        <w:trPr/>
        <w:tc>
          <w:tcPr>
            <w:tcW w:w="408" w:type="dxa"/>
            <w:tcBorders/>
            <w:vAlign w:val="center"/>
          </w:tcPr>
          <w:p>
            <w:pPr>
              <w:pStyle w:val="TableContents"/>
              <w:bidi w:val="0"/>
              <w:spacing w:before="0" w:after="283"/>
              <w:jc w:val="both"/>
              <w:rPr>
                <w:sz w:val="20"/>
              </w:rPr>
            </w:pPr>
            <w:r>
              <w:rPr>
                <w:sz w:val="20"/>
              </w:rPr>
              <w:t>(13)</w:t>
            </w:r>
          </w:p>
        </w:tc>
        <w:tc>
          <w:tcPr>
            <w:tcW w:w="9797" w:type="dxa"/>
            <w:tcBorders/>
            <w:vAlign w:val="center"/>
          </w:tcPr>
          <w:p>
            <w:pPr>
              <w:pStyle w:val="TableContents"/>
              <w:bidi w:val="0"/>
              <w:spacing w:before="0" w:after="283"/>
              <w:jc w:val="both"/>
              <w:rPr>
                <w:sz w:val="20"/>
              </w:rPr>
            </w:pPr>
            <w:r>
              <w:rPr>
                <w:sz w:val="20"/>
              </w:rPr>
              <w:t xml:space="preserve">Incorporated by reference to the Form 8-K Current Report filed with the Securities Exchange Commission on April 27, 2022. </w:t>
            </w:r>
          </w:p>
        </w:tc>
      </w:tr>
      <w:tr>
        <w:trPr/>
        <w:tc>
          <w:tcPr>
            <w:tcW w:w="408" w:type="dxa"/>
            <w:tcBorders/>
            <w:vAlign w:val="center"/>
          </w:tcPr>
          <w:p>
            <w:pPr>
              <w:pStyle w:val="TableContents"/>
              <w:bidi w:val="0"/>
              <w:spacing w:before="0" w:after="283"/>
              <w:jc w:val="both"/>
              <w:rPr>
                <w:sz w:val="20"/>
              </w:rPr>
            </w:pPr>
            <w:r>
              <w:rPr>
                <w:sz w:val="20"/>
              </w:rPr>
              <w:t>(14)</w:t>
            </w:r>
          </w:p>
        </w:tc>
        <w:tc>
          <w:tcPr>
            <w:tcW w:w="9797" w:type="dxa"/>
            <w:tcBorders/>
            <w:vAlign w:val="center"/>
          </w:tcPr>
          <w:p>
            <w:pPr>
              <w:pStyle w:val="TableContents"/>
              <w:bidi w:val="0"/>
              <w:spacing w:before="0" w:after="283"/>
              <w:jc w:val="both"/>
              <w:rPr>
                <w:sz w:val="20"/>
              </w:rPr>
            </w:pPr>
            <w:r>
              <w:rPr>
                <w:sz w:val="20"/>
              </w:rPr>
              <w:t xml:space="preserve">Incorporated by reference to the Form 8-K Current Report filed with the Securities Exchange Commission on July 19, 2022. </w:t>
            </w:r>
          </w:p>
        </w:tc>
      </w:tr>
      <w:tr>
        <w:trPr/>
        <w:tc>
          <w:tcPr>
            <w:tcW w:w="408" w:type="dxa"/>
            <w:tcBorders/>
            <w:vAlign w:val="center"/>
          </w:tcPr>
          <w:p>
            <w:pPr>
              <w:pStyle w:val="TableContents"/>
              <w:bidi w:val="0"/>
              <w:spacing w:before="0" w:after="283"/>
              <w:jc w:val="both"/>
              <w:rPr>
                <w:sz w:val="20"/>
              </w:rPr>
            </w:pPr>
            <w:r>
              <w:rPr>
                <w:sz w:val="20"/>
              </w:rPr>
              <w:t>(15)</w:t>
            </w:r>
          </w:p>
        </w:tc>
        <w:tc>
          <w:tcPr>
            <w:tcW w:w="9797" w:type="dxa"/>
            <w:tcBorders/>
            <w:vAlign w:val="center"/>
          </w:tcPr>
          <w:p>
            <w:pPr>
              <w:pStyle w:val="TableContents"/>
              <w:bidi w:val="0"/>
              <w:spacing w:before="0" w:after="283"/>
              <w:jc w:val="both"/>
              <w:rPr>
                <w:sz w:val="20"/>
              </w:rPr>
            </w:pPr>
            <w:r>
              <w:rPr>
                <w:sz w:val="20"/>
              </w:rPr>
              <w:t>Incorporated by reference to the Form 8-K Current Report filed with the Securities Exchange Commission on September 21, 2022.</w:t>
            </w:r>
          </w:p>
        </w:tc>
      </w:tr>
      <w:tr>
        <w:trPr/>
        <w:tc>
          <w:tcPr>
            <w:tcW w:w="408" w:type="dxa"/>
            <w:tcBorders/>
            <w:vAlign w:val="center"/>
          </w:tcPr>
          <w:p>
            <w:pPr>
              <w:pStyle w:val="TableContents"/>
              <w:bidi w:val="0"/>
              <w:spacing w:before="0" w:after="283"/>
              <w:jc w:val="both"/>
              <w:rPr>
                <w:sz w:val="20"/>
              </w:rPr>
            </w:pPr>
            <w:r>
              <w:rPr>
                <w:sz w:val="20"/>
              </w:rPr>
              <w:t>(16)</w:t>
            </w:r>
          </w:p>
        </w:tc>
        <w:tc>
          <w:tcPr>
            <w:tcW w:w="9797" w:type="dxa"/>
            <w:tcBorders/>
            <w:vAlign w:val="center"/>
          </w:tcPr>
          <w:p>
            <w:pPr>
              <w:pStyle w:val="TableContents"/>
              <w:bidi w:val="0"/>
              <w:spacing w:before="0" w:after="283"/>
              <w:jc w:val="both"/>
              <w:rPr>
                <w:sz w:val="20"/>
              </w:rPr>
            </w:pPr>
            <w:r>
              <w:rPr>
                <w:sz w:val="20"/>
              </w:rPr>
              <w:t>Incorporated by reference to the Form 8-K Current Report filed with the Securities Exchange Commission on March 10, 2023.</w:t>
            </w:r>
          </w:p>
        </w:tc>
      </w:tr>
      <w:tr>
        <w:trPr/>
        <w:tc>
          <w:tcPr>
            <w:tcW w:w="408" w:type="dxa"/>
            <w:tcBorders/>
            <w:vAlign w:val="center"/>
          </w:tcPr>
          <w:p>
            <w:pPr>
              <w:pStyle w:val="TableContents"/>
              <w:bidi w:val="0"/>
              <w:spacing w:before="0" w:after="283"/>
              <w:jc w:val="both"/>
              <w:rPr>
                <w:sz w:val="20"/>
              </w:rPr>
            </w:pPr>
            <w:r>
              <w:rPr>
                <w:sz w:val="20"/>
              </w:rPr>
              <w:t>(17)</w:t>
            </w:r>
          </w:p>
        </w:tc>
        <w:tc>
          <w:tcPr>
            <w:tcW w:w="9797" w:type="dxa"/>
            <w:tcBorders/>
            <w:vAlign w:val="center"/>
          </w:tcPr>
          <w:p>
            <w:pPr>
              <w:pStyle w:val="TableContents"/>
              <w:bidi w:val="0"/>
              <w:spacing w:before="0" w:after="283"/>
              <w:jc w:val="both"/>
              <w:rPr>
                <w:sz w:val="20"/>
              </w:rPr>
            </w:pPr>
            <w:r>
              <w:rPr>
                <w:sz w:val="20"/>
              </w:rPr>
              <w:t>Incorporated by reference to the Form 8-K Current Report filed with the Securities Exchange Commission on March 28, 2023.</w:t>
            </w:r>
          </w:p>
        </w:tc>
      </w:tr>
      <w:tr>
        <w:trPr/>
        <w:tc>
          <w:tcPr>
            <w:tcW w:w="408" w:type="dxa"/>
            <w:tcBorders/>
            <w:vAlign w:val="center"/>
          </w:tcPr>
          <w:p>
            <w:pPr>
              <w:pStyle w:val="TableContents"/>
              <w:bidi w:val="0"/>
              <w:spacing w:before="0" w:after="283"/>
              <w:jc w:val="both"/>
              <w:rPr>
                <w:sz w:val="20"/>
              </w:rPr>
            </w:pPr>
            <w:r>
              <w:rPr>
                <w:sz w:val="20"/>
              </w:rPr>
              <w:t>(18)</w:t>
            </w:r>
          </w:p>
        </w:tc>
        <w:tc>
          <w:tcPr>
            <w:tcW w:w="9797" w:type="dxa"/>
            <w:tcBorders/>
            <w:vAlign w:val="center"/>
          </w:tcPr>
          <w:p>
            <w:pPr>
              <w:pStyle w:val="TableContents"/>
              <w:bidi w:val="0"/>
              <w:spacing w:before="0" w:after="283"/>
              <w:jc w:val="both"/>
              <w:rPr>
                <w:sz w:val="20"/>
              </w:rPr>
            </w:pPr>
            <w:r>
              <w:rPr>
                <w:sz w:val="20"/>
              </w:rPr>
              <w:t>Incorporated by reference to the Form 10-K Annual Report filed with the Securities Exchange Commission on March 30, 2023.</w:t>
            </w:r>
          </w:p>
        </w:tc>
      </w:tr>
      <w:tr>
        <w:trPr/>
        <w:tc>
          <w:tcPr>
            <w:tcW w:w="408" w:type="dxa"/>
            <w:tcBorders/>
            <w:vAlign w:val="center"/>
          </w:tcPr>
          <w:p>
            <w:pPr>
              <w:pStyle w:val="TableContents"/>
              <w:bidi w:val="0"/>
              <w:spacing w:before="0" w:after="283"/>
              <w:jc w:val="both"/>
              <w:rPr>
                <w:sz w:val="20"/>
              </w:rPr>
            </w:pPr>
            <w:r>
              <w:rPr>
                <w:sz w:val="20"/>
              </w:rPr>
              <w:t>(19)</w:t>
            </w:r>
          </w:p>
        </w:tc>
        <w:tc>
          <w:tcPr>
            <w:tcW w:w="9797" w:type="dxa"/>
            <w:tcBorders/>
            <w:vAlign w:val="center"/>
          </w:tcPr>
          <w:p>
            <w:pPr>
              <w:pStyle w:val="TableContents"/>
              <w:bidi w:val="0"/>
              <w:spacing w:before="0" w:after="283"/>
              <w:jc w:val="both"/>
              <w:rPr>
                <w:sz w:val="20"/>
              </w:rPr>
            </w:pPr>
            <w:r>
              <w:rPr>
                <w:sz w:val="20"/>
              </w:rPr>
              <w:t>Incorporated by reference to the Form 8-K Current Report filed with the Securities Exchange Commission on April 18, 2023.</w:t>
            </w:r>
          </w:p>
        </w:tc>
      </w:tr>
      <w:tr>
        <w:trPr/>
        <w:tc>
          <w:tcPr>
            <w:tcW w:w="408" w:type="dxa"/>
            <w:tcBorders/>
            <w:vAlign w:val="center"/>
          </w:tcPr>
          <w:p>
            <w:pPr>
              <w:pStyle w:val="TableContents"/>
              <w:bidi w:val="0"/>
              <w:spacing w:before="0" w:after="283"/>
              <w:jc w:val="both"/>
              <w:rPr>
                <w:sz w:val="20"/>
              </w:rPr>
            </w:pPr>
            <w:r>
              <w:rPr>
                <w:sz w:val="20"/>
              </w:rPr>
              <w:t>(20)</w:t>
            </w:r>
          </w:p>
        </w:tc>
        <w:tc>
          <w:tcPr>
            <w:tcW w:w="9797" w:type="dxa"/>
            <w:tcBorders/>
            <w:vAlign w:val="center"/>
          </w:tcPr>
          <w:p>
            <w:pPr>
              <w:pStyle w:val="TableContents"/>
              <w:bidi w:val="0"/>
              <w:spacing w:before="0" w:after="283"/>
              <w:jc w:val="both"/>
              <w:rPr>
                <w:sz w:val="20"/>
              </w:rPr>
            </w:pPr>
            <w:r>
              <w:rPr>
                <w:sz w:val="20"/>
              </w:rPr>
              <w:t>Incorporated by reference to the Form 10-Q Quarterly Report filed with the Securities Exchange Commission on May 11, 2023.</w:t>
            </w:r>
          </w:p>
        </w:tc>
      </w:tr>
      <w:tr>
        <w:trPr/>
        <w:tc>
          <w:tcPr>
            <w:tcW w:w="408" w:type="dxa"/>
            <w:tcBorders/>
            <w:vAlign w:val="center"/>
          </w:tcPr>
          <w:p>
            <w:pPr>
              <w:pStyle w:val="TableContents"/>
              <w:bidi w:val="0"/>
              <w:spacing w:before="0" w:after="283"/>
              <w:jc w:val="both"/>
              <w:rPr>
                <w:sz w:val="20"/>
              </w:rPr>
            </w:pPr>
            <w:r>
              <w:rPr>
                <w:sz w:val="20"/>
              </w:rPr>
              <w:t>(21)</w:t>
            </w:r>
          </w:p>
        </w:tc>
        <w:tc>
          <w:tcPr>
            <w:tcW w:w="9797" w:type="dxa"/>
            <w:tcBorders/>
            <w:vAlign w:val="center"/>
          </w:tcPr>
          <w:p>
            <w:pPr>
              <w:pStyle w:val="TableContents"/>
              <w:bidi w:val="0"/>
              <w:spacing w:before="0" w:after="283"/>
              <w:jc w:val="both"/>
              <w:rPr>
                <w:sz w:val="20"/>
              </w:rPr>
            </w:pPr>
            <w:r>
              <w:rPr>
                <w:sz w:val="20"/>
              </w:rPr>
              <w:t>Incorporated by reference to the Form 8-K Current Report filed with the Securities Exchange Commission on May 16, 2023.</w:t>
            </w:r>
          </w:p>
        </w:tc>
      </w:tr>
      <w:tr>
        <w:trPr/>
        <w:tc>
          <w:tcPr>
            <w:tcW w:w="408" w:type="dxa"/>
            <w:tcBorders/>
            <w:vAlign w:val="center"/>
          </w:tcPr>
          <w:p>
            <w:pPr>
              <w:pStyle w:val="TableContents"/>
              <w:bidi w:val="0"/>
              <w:spacing w:before="0" w:after="283"/>
              <w:jc w:val="both"/>
              <w:rPr>
                <w:sz w:val="20"/>
              </w:rPr>
            </w:pPr>
            <w:r>
              <w:rPr>
                <w:sz w:val="20"/>
              </w:rPr>
              <w:t>(22)</w:t>
            </w:r>
          </w:p>
        </w:tc>
        <w:tc>
          <w:tcPr>
            <w:tcW w:w="9797" w:type="dxa"/>
            <w:tcBorders/>
            <w:vAlign w:val="center"/>
          </w:tcPr>
          <w:p>
            <w:pPr>
              <w:pStyle w:val="TableContents"/>
              <w:bidi w:val="0"/>
              <w:spacing w:before="0" w:after="283"/>
              <w:jc w:val="both"/>
              <w:rPr>
                <w:sz w:val="20"/>
              </w:rPr>
            </w:pPr>
            <w:r>
              <w:rPr>
                <w:sz w:val="20"/>
              </w:rPr>
              <w:t>Incorporated by reference to the Form 8-K Current Report filed with the Securities Exchange Commission on May 26, 2023.</w:t>
            </w:r>
          </w:p>
        </w:tc>
      </w:tr>
      <w:tr>
        <w:trPr/>
        <w:tc>
          <w:tcPr>
            <w:tcW w:w="408" w:type="dxa"/>
            <w:tcBorders/>
            <w:vAlign w:val="center"/>
          </w:tcPr>
          <w:p>
            <w:pPr>
              <w:pStyle w:val="TableContents"/>
              <w:bidi w:val="0"/>
              <w:spacing w:before="0" w:after="283"/>
              <w:jc w:val="both"/>
              <w:rPr>
                <w:sz w:val="20"/>
              </w:rPr>
            </w:pPr>
            <w:r>
              <w:rPr>
                <w:sz w:val="20"/>
              </w:rPr>
              <w:t>(23)</w:t>
            </w:r>
          </w:p>
        </w:tc>
        <w:tc>
          <w:tcPr>
            <w:tcW w:w="9797" w:type="dxa"/>
            <w:tcBorders/>
            <w:vAlign w:val="center"/>
          </w:tcPr>
          <w:p>
            <w:pPr>
              <w:pStyle w:val="TableContents"/>
              <w:bidi w:val="0"/>
              <w:spacing w:before="0" w:after="283"/>
              <w:jc w:val="both"/>
              <w:rPr>
                <w:sz w:val="20"/>
              </w:rPr>
            </w:pPr>
            <w:r>
              <w:rPr>
                <w:sz w:val="20"/>
              </w:rPr>
              <w:t>Incorporated by reference to the Form 8-K Current Report filed with the Securities Exchange Commission on June 27, 2023.</w:t>
            </w:r>
          </w:p>
        </w:tc>
      </w:tr>
      <w:tr>
        <w:trPr/>
        <w:tc>
          <w:tcPr>
            <w:tcW w:w="408" w:type="dxa"/>
            <w:tcBorders/>
            <w:vAlign w:val="center"/>
          </w:tcPr>
          <w:p>
            <w:pPr>
              <w:pStyle w:val="TableContents"/>
              <w:bidi w:val="0"/>
              <w:spacing w:before="0" w:after="283"/>
              <w:jc w:val="both"/>
              <w:rPr>
                <w:sz w:val="20"/>
              </w:rPr>
            </w:pPr>
            <w:r>
              <w:rPr>
                <w:sz w:val="20"/>
              </w:rPr>
              <w:t>(24)</w:t>
            </w:r>
          </w:p>
        </w:tc>
        <w:tc>
          <w:tcPr>
            <w:tcW w:w="9797" w:type="dxa"/>
            <w:tcBorders/>
            <w:vAlign w:val="center"/>
          </w:tcPr>
          <w:p>
            <w:pPr>
              <w:pStyle w:val="TableContents"/>
              <w:bidi w:val="0"/>
              <w:spacing w:before="0" w:after="283"/>
              <w:jc w:val="both"/>
              <w:rPr>
                <w:sz w:val="20"/>
              </w:rPr>
            </w:pPr>
            <w:r>
              <w:rPr>
                <w:sz w:val="20"/>
              </w:rPr>
              <w:t>Incorporated by reference to the Form 8-K Current Report filed with the Securities Exchange Commission on August 3, 2023.</w:t>
            </w:r>
          </w:p>
        </w:tc>
      </w:tr>
      <w:tr>
        <w:trPr/>
        <w:tc>
          <w:tcPr>
            <w:tcW w:w="408" w:type="dxa"/>
            <w:tcBorders/>
            <w:vAlign w:val="center"/>
          </w:tcPr>
          <w:p>
            <w:pPr>
              <w:pStyle w:val="TableContents"/>
              <w:bidi w:val="0"/>
              <w:spacing w:before="0" w:after="283"/>
              <w:jc w:val="both"/>
              <w:rPr>
                <w:sz w:val="20"/>
              </w:rPr>
            </w:pPr>
            <w:r>
              <w:rPr>
                <w:sz w:val="20"/>
              </w:rPr>
              <w:t>(25)</w:t>
            </w:r>
          </w:p>
        </w:tc>
        <w:tc>
          <w:tcPr>
            <w:tcW w:w="9797" w:type="dxa"/>
            <w:tcBorders/>
            <w:vAlign w:val="center"/>
          </w:tcPr>
          <w:p>
            <w:pPr>
              <w:pStyle w:val="TableContents"/>
              <w:bidi w:val="0"/>
              <w:spacing w:before="0" w:after="283"/>
              <w:jc w:val="both"/>
              <w:rPr>
                <w:sz w:val="20"/>
              </w:rPr>
            </w:pPr>
            <w:r>
              <w:rPr>
                <w:sz w:val="20"/>
              </w:rPr>
              <w:t>Incorporated by reference to the Form 8-K Current Report filed with the Securities Exchange Commission on October 26, 2023.</w:t>
            </w:r>
          </w:p>
        </w:tc>
      </w:tr>
      <w:tr>
        <w:trPr/>
        <w:tc>
          <w:tcPr>
            <w:tcW w:w="408" w:type="dxa"/>
            <w:tcBorders/>
            <w:vAlign w:val="center"/>
          </w:tcPr>
          <w:p>
            <w:pPr>
              <w:pStyle w:val="TableContents"/>
              <w:bidi w:val="0"/>
              <w:spacing w:before="0" w:after="283"/>
              <w:jc w:val="both"/>
              <w:rPr>
                <w:sz w:val="20"/>
              </w:rPr>
            </w:pPr>
            <w:r>
              <w:rPr>
                <w:sz w:val="20"/>
              </w:rPr>
              <w:t>(26)</w:t>
            </w:r>
          </w:p>
        </w:tc>
        <w:tc>
          <w:tcPr>
            <w:tcW w:w="9797" w:type="dxa"/>
            <w:tcBorders/>
            <w:vAlign w:val="center"/>
          </w:tcPr>
          <w:p>
            <w:pPr>
              <w:pStyle w:val="TableContents"/>
              <w:bidi w:val="0"/>
              <w:spacing w:before="0" w:after="283"/>
              <w:jc w:val="both"/>
              <w:rPr>
                <w:sz w:val="20"/>
              </w:rPr>
            </w:pPr>
            <w:r>
              <w:rPr>
                <w:sz w:val="20"/>
              </w:rPr>
              <w:t>Incorporated by reference to the Form 10-Q Quarterly Report filed with the Securities Exchange Commission on November 8, 2023.</w:t>
            </w:r>
          </w:p>
        </w:tc>
      </w:tr>
      <w:tr>
        <w:trPr/>
        <w:tc>
          <w:tcPr>
            <w:tcW w:w="408" w:type="dxa"/>
            <w:tcBorders/>
            <w:vAlign w:val="center"/>
          </w:tcPr>
          <w:p>
            <w:pPr>
              <w:pStyle w:val="TableContents"/>
              <w:bidi w:val="0"/>
              <w:spacing w:before="0" w:after="283"/>
              <w:jc w:val="both"/>
              <w:rPr>
                <w:sz w:val="20"/>
              </w:rPr>
            </w:pPr>
            <w:r>
              <w:rPr>
                <w:sz w:val="20"/>
              </w:rPr>
              <w:t>(27)</w:t>
            </w:r>
          </w:p>
        </w:tc>
        <w:tc>
          <w:tcPr>
            <w:tcW w:w="9797" w:type="dxa"/>
            <w:tcBorders/>
            <w:vAlign w:val="center"/>
          </w:tcPr>
          <w:p>
            <w:pPr>
              <w:pStyle w:val="TableContents"/>
              <w:bidi w:val="0"/>
              <w:spacing w:before="0" w:after="283"/>
              <w:jc w:val="both"/>
              <w:rPr>
                <w:sz w:val="20"/>
              </w:rPr>
            </w:pPr>
            <w:r>
              <w:rPr>
                <w:sz w:val="20"/>
              </w:rPr>
              <w:t>Incorporated by reference to the Form 8-K Current Report filed with the Securities Exchange Commission on November 27, 2023.</w:t>
            </w:r>
          </w:p>
        </w:tc>
      </w:tr>
      <w:tr>
        <w:trPr/>
        <w:tc>
          <w:tcPr>
            <w:tcW w:w="408" w:type="dxa"/>
            <w:tcBorders/>
            <w:vAlign w:val="center"/>
          </w:tcPr>
          <w:p>
            <w:pPr>
              <w:pStyle w:val="TableContents"/>
              <w:bidi w:val="0"/>
              <w:spacing w:before="0" w:after="283"/>
              <w:jc w:val="both"/>
              <w:rPr>
                <w:sz w:val="20"/>
              </w:rPr>
            </w:pPr>
            <w:r>
              <w:rPr>
                <w:sz w:val="20"/>
              </w:rPr>
              <w:t>(28)</w:t>
            </w:r>
          </w:p>
        </w:tc>
        <w:tc>
          <w:tcPr>
            <w:tcW w:w="9797" w:type="dxa"/>
            <w:tcBorders/>
            <w:vAlign w:val="center"/>
          </w:tcPr>
          <w:p>
            <w:pPr>
              <w:pStyle w:val="TableContents"/>
              <w:bidi w:val="0"/>
              <w:spacing w:before="0" w:after="283"/>
              <w:jc w:val="both"/>
              <w:rPr>
                <w:sz w:val="20"/>
              </w:rPr>
            </w:pPr>
            <w:r>
              <w:rPr>
                <w:sz w:val="20"/>
              </w:rPr>
              <w:t>Incorporated by reference to the Form 8-K Current Report filed with the Securities Exchange Commission on December 21, 2023.</w:t>
            </w:r>
          </w:p>
        </w:tc>
      </w:tr>
      <w:tr>
        <w:trPr/>
        <w:tc>
          <w:tcPr>
            <w:tcW w:w="408" w:type="dxa"/>
            <w:tcBorders/>
            <w:vAlign w:val="center"/>
          </w:tcPr>
          <w:p>
            <w:pPr>
              <w:pStyle w:val="TableContents"/>
              <w:bidi w:val="0"/>
              <w:spacing w:before="0" w:after="283"/>
              <w:jc w:val="left"/>
              <w:rPr/>
            </w:pPr>
            <w:r>
              <w:rPr/>
              <w:t>(29)</w:t>
            </w:r>
          </w:p>
        </w:tc>
        <w:tc>
          <w:tcPr>
            <w:tcW w:w="9797" w:type="dxa"/>
            <w:tcBorders/>
            <w:vAlign w:val="center"/>
          </w:tcPr>
          <w:p>
            <w:pPr>
              <w:pStyle w:val="TableContents"/>
              <w:bidi w:val="0"/>
              <w:spacing w:before="0" w:after="283"/>
              <w:jc w:val="left"/>
              <w:rPr/>
            </w:pPr>
            <w:r>
              <w:rPr/>
              <w:t>Incorporated by reference to the Form 8-K Current Report filed with the Securities Exchange Commission on March 26, 2024.</w:t>
            </w:r>
          </w:p>
        </w:tc>
      </w:tr>
      <w:tr>
        <w:trPr/>
        <w:tc>
          <w:tcPr>
            <w:tcW w:w="408" w:type="dxa"/>
            <w:tcBorders/>
            <w:vAlign w:val="center"/>
          </w:tcPr>
          <w:p>
            <w:pPr>
              <w:pStyle w:val="TableContents"/>
              <w:bidi w:val="0"/>
              <w:spacing w:before="0" w:after="283"/>
              <w:jc w:val="left"/>
              <w:rPr/>
            </w:pPr>
            <w:r>
              <w:rPr/>
              <w:t>(30)</w:t>
            </w:r>
          </w:p>
        </w:tc>
        <w:tc>
          <w:tcPr>
            <w:tcW w:w="9797" w:type="dxa"/>
            <w:tcBorders/>
            <w:vAlign w:val="center"/>
          </w:tcPr>
          <w:p>
            <w:pPr>
              <w:pStyle w:val="TableContents"/>
              <w:bidi w:val="0"/>
              <w:spacing w:before="0" w:after="283"/>
              <w:jc w:val="left"/>
              <w:rPr/>
            </w:pPr>
            <w:r>
              <w:rPr/>
              <w:t>Incorporated by reference to the Form 10-Q Quarterly Report filed with the Securities Exchange Commission on May 15, 2024.</w:t>
            </w:r>
          </w:p>
        </w:tc>
      </w:tr>
      <w:tr>
        <w:trPr/>
        <w:tc>
          <w:tcPr>
            <w:tcW w:w="408" w:type="dxa"/>
            <w:tcBorders/>
            <w:vAlign w:val="center"/>
          </w:tcPr>
          <w:p>
            <w:pPr>
              <w:pStyle w:val="TableContents"/>
              <w:bidi w:val="0"/>
              <w:spacing w:before="0" w:after="283"/>
              <w:jc w:val="left"/>
              <w:rPr/>
            </w:pPr>
            <w:r>
              <w:rPr/>
              <w:t>(31)</w:t>
            </w:r>
          </w:p>
        </w:tc>
        <w:tc>
          <w:tcPr>
            <w:tcW w:w="9797" w:type="dxa"/>
            <w:tcBorders/>
            <w:vAlign w:val="center"/>
          </w:tcPr>
          <w:p>
            <w:pPr>
              <w:pStyle w:val="TableContents"/>
              <w:bidi w:val="0"/>
              <w:spacing w:before="0" w:after="283"/>
              <w:jc w:val="left"/>
              <w:rPr/>
            </w:pPr>
            <w:r>
              <w:rPr/>
              <w:t>Incorporated by reference to the Form 8-K Current Report filed with the Securities Exchange Commission on June 27,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648"/>
        <w:jc w:val="left"/>
        <w:rPr>
          <w:caps w:val="false"/>
          <w:smallCaps w:val="false"/>
        </w:rPr>
      </w:pPr>
      <w:r>
        <w:rPr>
          <w:caps w:val="false"/>
          <w:smallCaps w:val="false"/>
        </w:rPr>
        <w:t> </w:t>
      </w:r>
    </w:p>
    <w:tbl>
      <w:tblPr>
        <w:tblW w:w="1055" w:type="dxa"/>
        <w:jc w:val="left"/>
        <w:tblInd w:w="0" w:type="dxa"/>
        <w:tblLayout w:type="fixed"/>
        <w:tblCellMar>
          <w:top w:w="0" w:type="dxa"/>
          <w:left w:w="0" w:type="dxa"/>
          <w:bottom w:w="0" w:type="dxa"/>
          <w:right w:w="0" w:type="dxa"/>
        </w:tblCellMar>
      </w:tblPr>
      <w:tblGrid>
        <w:gridCol w:w="75"/>
        <w:gridCol w:w="980"/>
      </w:tblGrid>
      <w:tr>
        <w:trPr/>
        <w:tc>
          <w:tcPr>
            <w:tcW w:w="7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b/>
                <w:sz w:val="20"/>
              </w:rPr>
            </w:pPr>
            <w:r>
              <w:rPr>
                <w:b/>
                <w:sz w:val="20"/>
              </w:rPr>
              <w:t>authID Inc.</w:t>
            </w:r>
          </w:p>
        </w:tc>
      </w:tr>
    </w:tbl>
    <w:p>
      <w:pPr>
        <w:pStyle w:val="TextBody"/>
        <w:bidi w:val="0"/>
        <w:spacing w:before="0" w:after="0"/>
        <w:ind w:left="0" w:right="0" w:hanging="0"/>
        <w:jc w:val="left"/>
        <w:rPr>
          <w:caps w:val="false"/>
          <w:smallCaps w:val="false"/>
        </w:rPr>
      </w:pPr>
      <w:r>
        <w:rPr>
          <w:caps w:val="false"/>
          <w:smallCaps w:val="false"/>
        </w:rPr>
        <w:t> </w:t>
      </w:r>
    </w:p>
    <w:tbl>
      <w:tblPr>
        <w:tblW w:w="5835" w:type="dxa"/>
        <w:jc w:val="left"/>
        <w:tblInd w:w="0" w:type="dxa"/>
        <w:tblLayout w:type="fixed"/>
        <w:tblCellMar>
          <w:top w:w="0" w:type="dxa"/>
          <w:left w:w="0" w:type="dxa"/>
          <w:bottom w:w="0" w:type="dxa"/>
          <w:right w:w="0" w:type="dxa"/>
        </w:tblCellMar>
      </w:tblPr>
      <w:tblGrid>
        <w:gridCol w:w="1865"/>
        <w:gridCol w:w="320"/>
        <w:gridCol w:w="3650"/>
      </w:tblGrid>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3650"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Rhoniel Daguro</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sz w:val="20"/>
              </w:rPr>
            </w:pPr>
            <w:r>
              <w:rPr>
                <w:sz w:val="20"/>
              </w:rPr>
              <w:t xml:space="preserve">Rhoniel A. Daguro </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sz w:val="20"/>
              </w:rPr>
            </w:pPr>
            <w:r>
              <w:rPr>
                <w:sz w:val="20"/>
              </w:rPr>
              <w:t>Chief Executive Officer</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sz w:val="20"/>
              </w:rPr>
            </w:pPr>
            <w:r>
              <w:rPr>
                <w:sz w:val="20"/>
              </w:rPr>
              <w:t>(Principal Executive Officer)</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3650"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Ed Sellitto</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sz w:val="20"/>
              </w:rPr>
            </w:pPr>
            <w:r>
              <w:rPr>
                <w:sz w:val="20"/>
              </w:rPr>
              <w:t>Ed Sellitto</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sz w:val="20"/>
              </w:rPr>
            </w:pPr>
            <w:r>
              <w:rPr>
                <w:sz w:val="20"/>
              </w:rPr>
              <w:t>Chief Financial Officer,</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sz w:val="20"/>
              </w:rPr>
            </w:pPr>
            <w:r>
              <w:rPr>
                <w:sz w:val="20"/>
              </w:rPr>
              <w:t>(Principal Financial and Accounting Officer)</w:t>
            </w:r>
          </w:p>
        </w:tc>
      </w:tr>
      <w:tr>
        <w:trPr/>
        <w:tc>
          <w:tcPr>
            <w:tcW w:w="1865" w:type="dxa"/>
            <w:tcBorders/>
            <w:vAlign w:val="center"/>
          </w:tcPr>
          <w:p>
            <w:pPr>
              <w:pStyle w:val="TableContents"/>
              <w:bidi w:val="0"/>
              <w:spacing w:before="0" w:after="283"/>
              <w:jc w:val="left"/>
              <w:rPr>
                <w:sz w:val="20"/>
              </w:rPr>
            </w:pPr>
            <w:r>
              <w:rPr>
                <w:sz w:val="20"/>
              </w:rPr>
              <w:t>Dated: August 8, 2024</w:t>
            </w:r>
          </w:p>
        </w:tc>
        <w:tc>
          <w:tcPr>
            <w:tcW w:w="32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p>
      <w:pPr>
        <w:pStyle w:val="TextBody"/>
        <w:bidi w:val="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1" w:name="ea021013501ex31-1_authid.htm"/>
      <w:bookmarkStart w:id="22" w:name="ksea021013501ex311_authid"/>
      <w:bookmarkEnd w:id="21"/>
      <w:bookmarkEnd w:id="22"/>
      <w:r>
        <w:rPr>
          <w:rFonts w:ascii="Times New Roman;Times;Serif" w:hAnsi="Times New Roman;Times;Serif"/>
          <w:b/>
          <w:i w:val="false"/>
          <w:caps w:val="false"/>
          <w:smallCaps w:val="false"/>
          <w:sz w:val="20"/>
        </w:rPr>
        <w:t>Exhibit 31.1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EXECUTIVE OFFICER</w:t>
        <w:br/>
        <w:t>PURSUANT TO SECTION 302 OF THE</w:t>
        <w:br/>
        <w:t>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Rhoniel Daguro, Chief Executive Officer certify that:</w:t>
      </w:r>
    </w:p>
    <w:p>
      <w:pPr>
        <w:pStyle w:val="TextBody"/>
        <w:bidi w:val="0"/>
        <w:spacing w:before="0" w:after="0"/>
        <w:ind w:left="0" w:right="0" w:hanging="0"/>
        <w:jc w:val="both"/>
        <w:rPr>
          <w:caps w:val="false"/>
          <w:smallCaps w:val="false"/>
        </w:rPr>
      </w:pPr>
      <w:r>
        <w:rPr>
          <w:caps w:val="false"/>
          <w:smallCaps w:val="false"/>
        </w:rPr>
        <w:t> </w:t>
      </w:r>
    </w:p>
    <w:tbl>
      <w:tblPr>
        <w:tblW w:w="5485" w:type="dxa"/>
        <w:jc w:val="left"/>
        <w:tblInd w:w="0" w:type="dxa"/>
        <w:tblLayout w:type="fixed"/>
        <w:tblCellMar>
          <w:top w:w="0" w:type="dxa"/>
          <w:left w:w="0" w:type="dxa"/>
          <w:bottom w:w="0" w:type="dxa"/>
          <w:right w:w="0" w:type="dxa"/>
        </w:tblCellMar>
      </w:tblPr>
      <w:tblGrid>
        <w:gridCol w:w="185"/>
        <w:gridCol w:w="5300"/>
      </w:tblGrid>
      <w:tr>
        <w:trPr/>
        <w:tc>
          <w:tcPr>
            <w:tcW w:w="185" w:type="dxa"/>
            <w:tcBorders/>
            <w:vAlign w:val="center"/>
          </w:tcPr>
          <w:p>
            <w:pPr>
              <w:pStyle w:val="TableContents"/>
              <w:bidi w:val="0"/>
              <w:spacing w:before="0" w:after="283"/>
              <w:jc w:val="left"/>
              <w:rPr>
                <w:sz w:val="20"/>
              </w:rPr>
            </w:pPr>
            <w:r>
              <w:rPr>
                <w:sz w:val="20"/>
              </w:rPr>
              <w:t>1.</w:t>
            </w:r>
          </w:p>
        </w:tc>
        <w:tc>
          <w:tcPr>
            <w:tcW w:w="5300" w:type="dxa"/>
            <w:tcBorders/>
            <w:vAlign w:val="center"/>
          </w:tcPr>
          <w:p>
            <w:pPr>
              <w:pStyle w:val="TableContents"/>
              <w:bidi w:val="0"/>
              <w:spacing w:before="0" w:after="283"/>
              <w:jc w:val="both"/>
              <w:rPr>
                <w:sz w:val="20"/>
              </w:rPr>
            </w:pPr>
            <w:r>
              <w:rPr>
                <w:sz w:val="20"/>
              </w:rPr>
              <w:t>I have reviewed this quarterly report on Form 10-Q of authID Inc;</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left"/>
              <w:rPr>
                <w:sz w:val="20"/>
              </w:rPr>
            </w:pPr>
            <w:r>
              <w:rPr>
                <w:sz w:val="20"/>
              </w:rPr>
              <w:t>2.</w:t>
            </w:r>
          </w:p>
        </w:tc>
        <w:tc>
          <w:tcPr>
            <w:tcW w:w="10048" w:type="dxa"/>
            <w:tcBorders/>
            <w:vAlign w:val="center"/>
          </w:tcPr>
          <w:p>
            <w:pPr>
              <w:pStyle w:val="TableContents"/>
              <w:bidi w:val="0"/>
              <w:spacing w:before="0" w:after="283"/>
              <w:jc w:val="both"/>
              <w:rPr>
                <w:sz w:val="20"/>
              </w:rPr>
            </w:pPr>
            <w:r>
              <w:rPr>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sz w:val="20"/>
              </w:rPr>
            </w:pPr>
            <w:r>
              <w:rPr>
                <w:sz w:val="20"/>
              </w:rPr>
              <w:t>3.</w:t>
            </w:r>
          </w:p>
        </w:tc>
        <w:tc>
          <w:tcPr>
            <w:tcW w:w="10046" w:type="dxa"/>
            <w:tcBorders/>
            <w:vAlign w:val="center"/>
          </w:tcPr>
          <w:p>
            <w:pPr>
              <w:pStyle w:val="TableContents"/>
              <w:bidi w:val="0"/>
              <w:spacing w:before="0" w:after="283"/>
              <w:jc w:val="both"/>
              <w:rPr>
                <w:sz w:val="20"/>
              </w:rPr>
            </w:pPr>
            <w:r>
              <w:rPr>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left"/>
              <w:rPr>
                <w:sz w:val="20"/>
              </w:rPr>
            </w:pPr>
            <w:r>
              <w:rPr>
                <w:sz w:val="20"/>
              </w:rPr>
              <w:t>4.</w:t>
            </w:r>
          </w:p>
        </w:tc>
        <w:tc>
          <w:tcPr>
            <w:tcW w:w="10049" w:type="dxa"/>
            <w:tcBorders/>
            <w:vAlign w:val="center"/>
          </w:tcPr>
          <w:p>
            <w:pPr>
              <w:pStyle w:val="TableContents"/>
              <w:bidi w:val="0"/>
              <w:spacing w:before="0" w:after="283"/>
              <w:jc w:val="both"/>
              <w:rPr>
                <w:sz w:val="20"/>
              </w:rPr>
            </w:pPr>
            <w:r>
              <w:rPr>
                <w:sz w:val="20"/>
              </w:rPr>
              <w:t>The registrant’s other certifying officers and I are responsible for establishing and maintaining disclosure controls and procedures (as defined in Exchange Act Rules 13a-15(e) and 15d-15(e)) and internal controls over financial reporting (as defined in Exchange Act Rules 13a-15(f) and 15d-15(f)) for the registrant)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9"/>
        <w:gridCol w:w="10001"/>
      </w:tblGrid>
      <w:tr>
        <w:trPr/>
        <w:tc>
          <w:tcPr>
            <w:tcW w:w="75"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sz w:val="20"/>
              </w:rPr>
            </w:pPr>
            <w:r>
              <w:rPr>
                <w:sz w:val="20"/>
              </w:rPr>
              <w:t>a)</w:t>
            </w:r>
          </w:p>
        </w:tc>
        <w:tc>
          <w:tcPr>
            <w:tcW w:w="10001" w:type="dxa"/>
            <w:tcBorders/>
            <w:vAlign w:val="center"/>
          </w:tcPr>
          <w:p>
            <w:pPr>
              <w:pStyle w:val="TableContents"/>
              <w:bidi w:val="0"/>
              <w:spacing w:before="0" w:after="283"/>
              <w:jc w:val="both"/>
              <w:rPr>
                <w:sz w:val="20"/>
              </w:rPr>
            </w:pPr>
            <w:r>
              <w:rPr>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4"/>
        <w:gridCol w:w="9986"/>
      </w:tblGrid>
      <w:tr>
        <w:trPr/>
        <w:tc>
          <w:tcPr>
            <w:tcW w:w="75"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sz w:val="20"/>
              </w:rPr>
            </w:pPr>
            <w:r>
              <w:rPr>
                <w:sz w:val="20"/>
              </w:rPr>
              <w:t>b)</w:t>
            </w:r>
          </w:p>
        </w:tc>
        <w:tc>
          <w:tcPr>
            <w:tcW w:w="9986" w:type="dxa"/>
            <w:tcBorders/>
            <w:vAlign w:val="center"/>
          </w:tcPr>
          <w:p>
            <w:pPr>
              <w:pStyle w:val="TableContents"/>
              <w:bidi w:val="0"/>
              <w:spacing w:before="0" w:after="283"/>
              <w:jc w:val="both"/>
              <w:rPr>
                <w:sz w:val="20"/>
              </w:rPr>
            </w:pPr>
            <w:r>
              <w:rPr>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5"/>
        <w:gridCol w:w="9995"/>
      </w:tblGrid>
      <w:tr>
        <w:trPr/>
        <w:tc>
          <w:tcPr>
            <w:tcW w:w="7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sz w:val="20"/>
              </w:rPr>
            </w:pPr>
            <w:r>
              <w:rPr>
                <w:sz w:val="20"/>
              </w:rPr>
              <w:t>c)</w:t>
            </w:r>
          </w:p>
        </w:tc>
        <w:tc>
          <w:tcPr>
            <w:tcW w:w="9995" w:type="dxa"/>
            <w:tcBorders/>
            <w:vAlign w:val="center"/>
          </w:tcPr>
          <w:p>
            <w:pPr>
              <w:pStyle w:val="TableContents"/>
              <w:bidi w:val="0"/>
              <w:spacing w:before="0" w:after="283"/>
              <w:jc w:val="both"/>
              <w:rPr>
                <w:sz w:val="20"/>
              </w:rPr>
            </w:pPr>
            <w:r>
              <w:rPr>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9"/>
        <w:gridCol w:w="9981"/>
      </w:tblGrid>
      <w:tr>
        <w:trPr/>
        <w:tc>
          <w:tcPr>
            <w:tcW w:w="75"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sz w:val="20"/>
              </w:rPr>
            </w:pPr>
            <w:r>
              <w:rPr>
                <w:sz w:val="20"/>
              </w:rPr>
              <w:t>d)</w:t>
            </w:r>
          </w:p>
        </w:tc>
        <w:tc>
          <w:tcPr>
            <w:tcW w:w="9981" w:type="dxa"/>
            <w:tcBorders/>
            <w:vAlign w:val="center"/>
          </w:tcPr>
          <w:p>
            <w:pPr>
              <w:pStyle w:val="TableContents"/>
              <w:bidi w:val="0"/>
              <w:spacing w:before="0" w:after="283"/>
              <w:jc w:val="both"/>
              <w:rPr>
                <w:sz w:val="20"/>
              </w:rPr>
            </w:pPr>
            <w:r>
              <w:rPr>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sz w:val="20"/>
              </w:rPr>
            </w:pPr>
            <w:r>
              <w:rPr>
                <w:sz w:val="20"/>
              </w:rPr>
              <w:t>5.</w:t>
            </w:r>
          </w:p>
        </w:tc>
        <w:tc>
          <w:tcPr>
            <w:tcW w:w="10046" w:type="dxa"/>
            <w:tcBorders/>
            <w:vAlign w:val="center"/>
          </w:tcPr>
          <w:p>
            <w:pPr>
              <w:pStyle w:val="TableContents"/>
              <w:bidi w:val="0"/>
              <w:spacing w:before="0" w:after="283"/>
              <w:jc w:val="both"/>
              <w:rPr>
                <w:sz w:val="20"/>
              </w:rPr>
            </w:pPr>
            <w:r>
              <w:rPr>
                <w:sz w:val="20"/>
              </w:rPr>
              <w:t>The registrant’s other certifying officer and I have disclosed, based on our most recent evaluation of internal controls over financial reporting, to the registrant’s auditors and the audit committee of registrant’s board of directors (or persons performing the equivalent function):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6"/>
        <w:gridCol w:w="9994"/>
      </w:tblGrid>
      <w:tr>
        <w:trPr/>
        <w:tc>
          <w:tcPr>
            <w:tcW w:w="75"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sz w:val="20"/>
              </w:rPr>
            </w:pPr>
            <w:r>
              <w:rPr>
                <w:sz w:val="20"/>
              </w:rPr>
              <w:t>a)</w:t>
            </w:r>
          </w:p>
        </w:tc>
        <w:tc>
          <w:tcPr>
            <w:tcW w:w="9994" w:type="dxa"/>
            <w:tcBorders/>
            <w:vAlign w:val="center"/>
          </w:tcPr>
          <w:p>
            <w:pPr>
              <w:pStyle w:val="TableContents"/>
              <w:bidi w:val="0"/>
              <w:spacing w:before="0" w:after="283"/>
              <w:jc w:val="both"/>
              <w:rPr>
                <w:sz w:val="20"/>
              </w:rPr>
            </w:pPr>
            <w:r>
              <w:rPr>
                <w:sz w:val="20"/>
              </w:rPr>
              <w:t>All significant deficiencies and material weaknesses in the design or operation of internal controls over financial reporting which are reasonably likely to adversely affect the registrant’s ability to record, process, summarize and report financial data information; and</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7"/>
        <w:gridCol w:w="9963"/>
      </w:tblGrid>
      <w:tr>
        <w:trPr/>
        <w:tc>
          <w:tcPr>
            <w:tcW w:w="75"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sz w:val="20"/>
              </w:rPr>
            </w:pPr>
            <w:r>
              <w:rPr>
                <w:sz w:val="20"/>
              </w:rPr>
              <w:t>b)</w:t>
            </w:r>
          </w:p>
        </w:tc>
        <w:tc>
          <w:tcPr>
            <w:tcW w:w="9963" w:type="dxa"/>
            <w:tcBorders/>
            <w:vAlign w:val="center"/>
          </w:tcPr>
          <w:p>
            <w:pPr>
              <w:pStyle w:val="TableContents"/>
              <w:bidi w:val="0"/>
              <w:spacing w:before="0" w:after="283"/>
              <w:jc w:val="both"/>
              <w:rPr>
                <w:sz w:val="20"/>
              </w:rPr>
            </w:pPr>
            <w:r>
              <w:rPr>
                <w:sz w:val="20"/>
              </w:rPr>
              <w:t>Any fraud, whether or not material, that involves management or other employees who have a significant role in the registrant’s internal controls over financial reporting.</w:t>
            </w:r>
          </w:p>
        </w:tc>
      </w:tr>
    </w:tbl>
    <w:p>
      <w:pPr>
        <w:pStyle w:val="TextBody"/>
        <w:bidi w:val="0"/>
        <w:spacing w:before="0" w:after="0"/>
        <w:ind w:left="360" w:right="0" w:hanging="0"/>
        <w:jc w:val="both"/>
        <w:rPr>
          <w:caps w:val="false"/>
          <w:smallCaps w:val="false"/>
        </w:rPr>
      </w:pPr>
      <w:r>
        <w:rPr>
          <w:caps w:val="false"/>
          <w:smallCaps w:val="false"/>
        </w:rPr>
        <w:t> </w:t>
      </w:r>
    </w:p>
    <w:tbl>
      <w:tblPr>
        <w:tblW w:w="4120" w:type="dxa"/>
        <w:jc w:val="left"/>
        <w:tblInd w:w="0" w:type="dxa"/>
        <w:tblLayout w:type="fixed"/>
        <w:tblCellMar>
          <w:top w:w="0" w:type="dxa"/>
          <w:left w:w="0" w:type="dxa"/>
          <w:bottom w:w="0" w:type="dxa"/>
          <w:right w:w="0" w:type="dxa"/>
        </w:tblCellMar>
      </w:tblPr>
      <w:tblGrid>
        <w:gridCol w:w="1760"/>
        <w:gridCol w:w="2360"/>
      </w:tblGrid>
      <w:tr>
        <w:trPr/>
        <w:tc>
          <w:tcPr>
            <w:tcW w:w="1760" w:type="dxa"/>
            <w:tcBorders/>
            <w:shd w:fill="FFFFFF" w:val="clear"/>
            <w:vAlign w:val="center"/>
          </w:tcPr>
          <w:p>
            <w:pPr>
              <w:pStyle w:val="TableContents"/>
              <w:bidi w:val="0"/>
              <w:spacing w:before="0" w:after="283"/>
              <w:jc w:val="left"/>
              <w:rPr>
                <w:sz w:val="20"/>
              </w:rPr>
            </w:pPr>
            <w:r>
              <w:rPr>
                <w:sz w:val="20"/>
              </w:rPr>
              <w:t>Date: August 8, 2024</w:t>
            </w:r>
          </w:p>
        </w:tc>
        <w:tc>
          <w:tcPr>
            <w:tcW w:w="2360" w:type="dxa"/>
            <w:tcBorders>
              <w:bottom w:val="single" w:sz="12" w:space="0" w:color="000000"/>
            </w:tcBorders>
            <w:shd w:fill="FFFFFF" w:val="clear"/>
            <w:tcMar>
              <w:bottom w:w="28" w:type="dxa"/>
            </w:tcMar>
            <w:vAlign w:val="center"/>
          </w:tcPr>
          <w:p>
            <w:pPr>
              <w:pStyle w:val="TableContents"/>
              <w:bidi w:val="0"/>
              <w:spacing w:before="0" w:after="283"/>
              <w:jc w:val="left"/>
              <w:rPr>
                <w:sz w:val="20"/>
              </w:rPr>
            </w:pPr>
            <w:r>
              <w:rPr>
                <w:sz w:val="20"/>
              </w:rPr>
              <w:t>/s/ Rhoniel Daguro</w:t>
            </w:r>
          </w:p>
        </w:tc>
      </w:tr>
      <w:tr>
        <w:trPr/>
        <w:tc>
          <w:tcPr>
            <w:tcW w:w="17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sz w:val="20"/>
              </w:rPr>
            </w:pPr>
            <w:r>
              <w:rPr>
                <w:sz w:val="20"/>
              </w:rPr>
              <w:t>Rhoniel Daguro</w:t>
            </w:r>
          </w:p>
        </w:tc>
      </w:tr>
      <w:tr>
        <w:trPr/>
        <w:tc>
          <w:tcPr>
            <w:tcW w:w="17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3" w:name="ea021013501ex31-2_authid.htm"/>
      <w:bookmarkStart w:id="24" w:name="ksea021013501ex312_authid"/>
      <w:bookmarkEnd w:id="23"/>
      <w:bookmarkEnd w:id="24"/>
      <w:r>
        <w:rPr>
          <w:rFonts w:ascii="Times New Roman;Times;Serif" w:hAnsi="Times New Roman;Times;Serif"/>
          <w:b/>
          <w:i w:val="false"/>
          <w:caps w:val="false"/>
          <w:smallCaps w:val="false"/>
          <w:sz w:val="20"/>
        </w:rPr>
        <w:t>Exhibit 31.2</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FINANCIAL AND ACCOUNTING OFFICER</w:t>
        <w:br/>
        <w:t>PURSUANT TO SECTION 302 OF THE</w:t>
        <w:br/>
        <w:t>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Edward Sellitto Chief Financial Officer, certify that:</w:t>
      </w:r>
    </w:p>
    <w:p>
      <w:pPr>
        <w:pStyle w:val="TextBody"/>
        <w:bidi w:val="0"/>
        <w:spacing w:before="0" w:after="0"/>
        <w:ind w:left="0" w:right="0" w:hanging="0"/>
        <w:jc w:val="both"/>
        <w:rPr>
          <w:caps w:val="false"/>
          <w:smallCaps w:val="false"/>
        </w:rPr>
      </w:pPr>
      <w:r>
        <w:rPr>
          <w:caps w:val="false"/>
          <w:smallCaps w:val="false"/>
        </w:rPr>
        <w:t> </w:t>
      </w:r>
    </w:p>
    <w:tbl>
      <w:tblPr>
        <w:tblW w:w="5530" w:type="dxa"/>
        <w:jc w:val="left"/>
        <w:tblInd w:w="0" w:type="dxa"/>
        <w:tblLayout w:type="fixed"/>
        <w:tblCellMar>
          <w:top w:w="0" w:type="dxa"/>
          <w:left w:w="0" w:type="dxa"/>
          <w:bottom w:w="0" w:type="dxa"/>
          <w:right w:w="0" w:type="dxa"/>
        </w:tblCellMar>
      </w:tblPr>
      <w:tblGrid>
        <w:gridCol w:w="185"/>
        <w:gridCol w:w="5345"/>
      </w:tblGrid>
      <w:tr>
        <w:trPr/>
        <w:tc>
          <w:tcPr>
            <w:tcW w:w="185" w:type="dxa"/>
            <w:tcBorders/>
            <w:vAlign w:val="center"/>
          </w:tcPr>
          <w:p>
            <w:pPr>
              <w:pStyle w:val="TableContents"/>
              <w:bidi w:val="0"/>
              <w:spacing w:before="0" w:after="283"/>
              <w:jc w:val="left"/>
              <w:rPr>
                <w:sz w:val="20"/>
              </w:rPr>
            </w:pPr>
            <w:r>
              <w:rPr>
                <w:sz w:val="20"/>
              </w:rPr>
              <w:t>1.</w:t>
            </w:r>
          </w:p>
        </w:tc>
        <w:tc>
          <w:tcPr>
            <w:tcW w:w="5345" w:type="dxa"/>
            <w:tcBorders/>
            <w:vAlign w:val="center"/>
          </w:tcPr>
          <w:p>
            <w:pPr>
              <w:pStyle w:val="TableContents"/>
              <w:bidi w:val="0"/>
              <w:spacing w:before="0" w:after="283"/>
              <w:jc w:val="both"/>
              <w:rPr>
                <w:sz w:val="20"/>
              </w:rPr>
            </w:pPr>
            <w:r>
              <w:rPr>
                <w:sz w:val="20"/>
              </w:rPr>
              <w:t>I have reviewed this quarterly report on Form 10-Q of authID Inc.;</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left"/>
              <w:rPr>
                <w:sz w:val="20"/>
              </w:rPr>
            </w:pPr>
            <w:r>
              <w:rPr>
                <w:sz w:val="20"/>
              </w:rPr>
              <w:t>2.</w:t>
            </w:r>
          </w:p>
        </w:tc>
        <w:tc>
          <w:tcPr>
            <w:tcW w:w="10048" w:type="dxa"/>
            <w:tcBorders/>
            <w:vAlign w:val="center"/>
          </w:tcPr>
          <w:p>
            <w:pPr>
              <w:pStyle w:val="TableContents"/>
              <w:bidi w:val="0"/>
              <w:spacing w:before="0" w:after="283"/>
              <w:jc w:val="both"/>
              <w:rPr>
                <w:sz w:val="20"/>
              </w:rPr>
            </w:pPr>
            <w:r>
              <w:rPr>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sz w:val="20"/>
              </w:rPr>
            </w:pPr>
            <w:r>
              <w:rPr>
                <w:sz w:val="20"/>
              </w:rPr>
              <w:t>3.</w:t>
            </w:r>
          </w:p>
        </w:tc>
        <w:tc>
          <w:tcPr>
            <w:tcW w:w="10046" w:type="dxa"/>
            <w:tcBorders/>
            <w:vAlign w:val="center"/>
          </w:tcPr>
          <w:p>
            <w:pPr>
              <w:pStyle w:val="TableContents"/>
              <w:bidi w:val="0"/>
              <w:spacing w:before="0" w:after="283"/>
              <w:jc w:val="both"/>
              <w:rPr>
                <w:sz w:val="20"/>
              </w:rPr>
            </w:pPr>
            <w:r>
              <w:rPr>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left"/>
              <w:rPr>
                <w:sz w:val="20"/>
              </w:rPr>
            </w:pPr>
            <w:r>
              <w:rPr>
                <w:sz w:val="20"/>
              </w:rPr>
              <w:t>4.</w:t>
            </w:r>
          </w:p>
        </w:tc>
        <w:tc>
          <w:tcPr>
            <w:tcW w:w="10049" w:type="dxa"/>
            <w:tcBorders/>
            <w:vAlign w:val="center"/>
          </w:tcPr>
          <w:p>
            <w:pPr>
              <w:pStyle w:val="TableContents"/>
              <w:bidi w:val="0"/>
              <w:spacing w:before="0" w:after="283"/>
              <w:jc w:val="both"/>
              <w:rPr>
                <w:sz w:val="20"/>
              </w:rPr>
            </w:pPr>
            <w:r>
              <w:rPr>
                <w:sz w:val="20"/>
              </w:rPr>
              <w:t>The registrant’s other certifying officers and I are responsible for establishing and maintaining disclosure controls and procedures (as defined in Exchange Act Rules 13a-15(e) and 15d-15(e)) and internal controls over financial reporting (as defined in Exchange Act Rules 13a-15(f) and 15d-15(f)) for the registrant)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9"/>
        <w:gridCol w:w="10001"/>
      </w:tblGrid>
      <w:tr>
        <w:trPr/>
        <w:tc>
          <w:tcPr>
            <w:tcW w:w="75"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sz w:val="20"/>
              </w:rPr>
            </w:pPr>
            <w:r>
              <w:rPr>
                <w:sz w:val="20"/>
              </w:rPr>
              <w:t>a)</w:t>
            </w:r>
          </w:p>
        </w:tc>
        <w:tc>
          <w:tcPr>
            <w:tcW w:w="10001" w:type="dxa"/>
            <w:tcBorders/>
            <w:vAlign w:val="center"/>
          </w:tcPr>
          <w:p>
            <w:pPr>
              <w:pStyle w:val="TableContents"/>
              <w:bidi w:val="0"/>
              <w:spacing w:before="0" w:after="283"/>
              <w:jc w:val="both"/>
              <w:rPr>
                <w:sz w:val="20"/>
              </w:rPr>
            </w:pPr>
            <w:r>
              <w:rPr>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4"/>
        <w:gridCol w:w="9986"/>
      </w:tblGrid>
      <w:tr>
        <w:trPr/>
        <w:tc>
          <w:tcPr>
            <w:tcW w:w="75"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sz w:val="20"/>
              </w:rPr>
            </w:pPr>
            <w:r>
              <w:rPr>
                <w:sz w:val="20"/>
              </w:rPr>
              <w:t>b)</w:t>
            </w:r>
          </w:p>
        </w:tc>
        <w:tc>
          <w:tcPr>
            <w:tcW w:w="9986" w:type="dxa"/>
            <w:tcBorders/>
            <w:vAlign w:val="center"/>
          </w:tcPr>
          <w:p>
            <w:pPr>
              <w:pStyle w:val="TableContents"/>
              <w:bidi w:val="0"/>
              <w:spacing w:before="0" w:after="283"/>
              <w:jc w:val="both"/>
              <w:rPr>
                <w:sz w:val="20"/>
              </w:rPr>
            </w:pPr>
            <w:r>
              <w:rPr>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5"/>
        <w:gridCol w:w="9995"/>
      </w:tblGrid>
      <w:tr>
        <w:trPr/>
        <w:tc>
          <w:tcPr>
            <w:tcW w:w="7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sz w:val="20"/>
              </w:rPr>
            </w:pPr>
            <w:r>
              <w:rPr>
                <w:sz w:val="20"/>
              </w:rPr>
              <w:t>c)</w:t>
            </w:r>
          </w:p>
        </w:tc>
        <w:tc>
          <w:tcPr>
            <w:tcW w:w="9995" w:type="dxa"/>
            <w:tcBorders/>
            <w:vAlign w:val="center"/>
          </w:tcPr>
          <w:p>
            <w:pPr>
              <w:pStyle w:val="TableContents"/>
              <w:bidi w:val="0"/>
              <w:spacing w:before="0" w:after="283"/>
              <w:jc w:val="both"/>
              <w:rPr>
                <w:sz w:val="20"/>
              </w:rPr>
            </w:pPr>
            <w:r>
              <w:rPr>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9"/>
        <w:gridCol w:w="9981"/>
      </w:tblGrid>
      <w:tr>
        <w:trPr/>
        <w:tc>
          <w:tcPr>
            <w:tcW w:w="75"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sz w:val="20"/>
              </w:rPr>
            </w:pPr>
            <w:r>
              <w:rPr>
                <w:sz w:val="20"/>
              </w:rPr>
              <w:t>d)</w:t>
            </w:r>
          </w:p>
        </w:tc>
        <w:tc>
          <w:tcPr>
            <w:tcW w:w="9981" w:type="dxa"/>
            <w:tcBorders/>
            <w:vAlign w:val="center"/>
          </w:tcPr>
          <w:p>
            <w:pPr>
              <w:pStyle w:val="TableContents"/>
              <w:bidi w:val="0"/>
              <w:spacing w:before="0" w:after="283"/>
              <w:jc w:val="both"/>
              <w:rPr>
                <w:sz w:val="20"/>
              </w:rPr>
            </w:pPr>
            <w:r>
              <w:rPr>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sz w:val="20"/>
              </w:rPr>
            </w:pPr>
            <w:r>
              <w:rPr>
                <w:sz w:val="20"/>
              </w:rPr>
              <w:t>5.</w:t>
            </w:r>
          </w:p>
        </w:tc>
        <w:tc>
          <w:tcPr>
            <w:tcW w:w="10046" w:type="dxa"/>
            <w:tcBorders/>
            <w:vAlign w:val="center"/>
          </w:tcPr>
          <w:p>
            <w:pPr>
              <w:pStyle w:val="TableContents"/>
              <w:bidi w:val="0"/>
              <w:spacing w:before="0" w:after="283"/>
              <w:jc w:val="both"/>
              <w:rPr>
                <w:sz w:val="20"/>
              </w:rPr>
            </w:pPr>
            <w:r>
              <w:rPr>
                <w:sz w:val="20"/>
              </w:rPr>
              <w:t>The registrant’s other certifying officer and I have disclosed, based on our most recent evaluation of internal controls over financial reporting, to the registrant’s auditors and the audit committee of registrant’s board of directors (or persons performing the equivalent function):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6"/>
        <w:gridCol w:w="9994"/>
      </w:tblGrid>
      <w:tr>
        <w:trPr/>
        <w:tc>
          <w:tcPr>
            <w:tcW w:w="75"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sz w:val="20"/>
              </w:rPr>
            </w:pPr>
            <w:r>
              <w:rPr>
                <w:sz w:val="20"/>
              </w:rPr>
              <w:t>a)</w:t>
            </w:r>
          </w:p>
        </w:tc>
        <w:tc>
          <w:tcPr>
            <w:tcW w:w="9994" w:type="dxa"/>
            <w:tcBorders/>
            <w:vAlign w:val="center"/>
          </w:tcPr>
          <w:p>
            <w:pPr>
              <w:pStyle w:val="TableContents"/>
              <w:bidi w:val="0"/>
              <w:spacing w:before="0" w:after="283"/>
              <w:jc w:val="both"/>
              <w:rPr>
                <w:sz w:val="20"/>
              </w:rPr>
            </w:pPr>
            <w:r>
              <w:rPr>
                <w:sz w:val="20"/>
              </w:rPr>
              <w:t>All significant deficiencies and material weaknesses in the design or operation of internal controls over financial reporting which are reasonably likely to adversely affect the registrant’s ability to record, process, summarize and report financial data information; and</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7"/>
        <w:gridCol w:w="9963"/>
      </w:tblGrid>
      <w:tr>
        <w:trPr/>
        <w:tc>
          <w:tcPr>
            <w:tcW w:w="75"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sz w:val="20"/>
              </w:rPr>
            </w:pPr>
            <w:r>
              <w:rPr>
                <w:sz w:val="20"/>
              </w:rPr>
              <w:t>b)</w:t>
            </w:r>
          </w:p>
        </w:tc>
        <w:tc>
          <w:tcPr>
            <w:tcW w:w="9963" w:type="dxa"/>
            <w:tcBorders/>
            <w:vAlign w:val="center"/>
          </w:tcPr>
          <w:p>
            <w:pPr>
              <w:pStyle w:val="TableContents"/>
              <w:bidi w:val="0"/>
              <w:spacing w:before="0" w:after="283"/>
              <w:jc w:val="both"/>
              <w:rPr>
                <w:sz w:val="20"/>
              </w:rPr>
            </w:pPr>
            <w:r>
              <w:rPr>
                <w:sz w:val="20"/>
              </w:rPr>
              <w:t>Any fraud, whether or not material, that involves management or other employees who have a significant role in the registrant’s internal controls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5410" w:type="dxa"/>
        <w:jc w:val="left"/>
        <w:tblInd w:w="0" w:type="dxa"/>
        <w:tblLayout w:type="fixed"/>
        <w:tblCellMar>
          <w:top w:w="0" w:type="dxa"/>
          <w:left w:w="0" w:type="dxa"/>
          <w:bottom w:w="0" w:type="dxa"/>
          <w:right w:w="0" w:type="dxa"/>
        </w:tblCellMar>
      </w:tblPr>
      <w:tblGrid>
        <w:gridCol w:w="1760"/>
        <w:gridCol w:w="3650"/>
      </w:tblGrid>
      <w:tr>
        <w:trPr/>
        <w:tc>
          <w:tcPr>
            <w:tcW w:w="1760" w:type="dxa"/>
            <w:tcBorders/>
            <w:shd w:fill="FFFFFF" w:val="clear"/>
            <w:vAlign w:val="center"/>
          </w:tcPr>
          <w:p>
            <w:pPr>
              <w:pStyle w:val="TableContents"/>
              <w:bidi w:val="0"/>
              <w:spacing w:before="0" w:after="283"/>
              <w:jc w:val="left"/>
              <w:rPr>
                <w:sz w:val="20"/>
              </w:rPr>
            </w:pPr>
            <w:r>
              <w:rPr>
                <w:sz w:val="20"/>
              </w:rPr>
              <w:t>Date: August 8, 2024</w:t>
            </w:r>
          </w:p>
        </w:tc>
        <w:tc>
          <w:tcPr>
            <w:tcW w:w="3650" w:type="dxa"/>
            <w:tcBorders>
              <w:bottom w:val="single" w:sz="12" w:space="0" w:color="000000"/>
            </w:tcBorders>
            <w:shd w:fill="FFFFFF" w:val="clear"/>
            <w:tcMar>
              <w:bottom w:w="28" w:type="dxa"/>
            </w:tcMar>
            <w:vAlign w:val="center"/>
          </w:tcPr>
          <w:p>
            <w:pPr>
              <w:pStyle w:val="TableContents"/>
              <w:bidi w:val="0"/>
              <w:spacing w:before="0" w:after="283"/>
              <w:jc w:val="left"/>
              <w:rPr>
                <w:sz w:val="20"/>
              </w:rPr>
            </w:pPr>
            <w:r>
              <w:rPr>
                <w:sz w:val="20"/>
              </w:rPr>
              <w:t>/s/ Ed Sellitto</w:t>
            </w:r>
          </w:p>
        </w:tc>
      </w:tr>
      <w:tr>
        <w:trPr/>
        <w:tc>
          <w:tcPr>
            <w:tcW w:w="176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sz w:val="20"/>
              </w:rPr>
            </w:pPr>
            <w:r>
              <w:rPr>
                <w:sz w:val="20"/>
              </w:rPr>
              <w:t>Ed Sellitto</w:t>
            </w:r>
          </w:p>
        </w:tc>
      </w:tr>
      <w:tr>
        <w:trPr/>
        <w:tc>
          <w:tcPr>
            <w:tcW w:w="176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5" w:name="ea021013501ex32-1_authid.htm"/>
      <w:bookmarkStart w:id="26" w:name="ksea021013501ex321_authid"/>
      <w:bookmarkEnd w:id="25"/>
      <w:bookmarkEnd w:id="26"/>
      <w:r>
        <w:rPr>
          <w:rFonts w:ascii="Times New Roman;Times;Serif" w:hAnsi="Times New Roman;Times;Serif"/>
          <w:b/>
          <w:i w:val="false"/>
          <w:caps w:val="false"/>
          <w:smallCaps w:val="false"/>
          <w:sz w:val="20"/>
        </w:rPr>
        <w:t>Exhibit 32.1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 18 U.S.C. SECTION 1350,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of authID Inc. (the “Company”) on Form 10-Q for the quarter ended June 30, 2024 as filed with the Securities and Exchange Commission (the “Report”), I, Rhoniel Daguro, Chief Executive Officer of the Company, and, Edward Sellitto, Chief Financial Officer of the Company, certify, pursuant to 18 U.S.C. SS. 1350, as adopted pursuant to SS. 906 of the Sarbanes-Oxley Act of 2002, that:</w:t>
      </w:r>
    </w:p>
    <w:p>
      <w:pPr>
        <w:pStyle w:val="TextBody"/>
        <w:bidi w:val="0"/>
        <w:spacing w:before="0" w:after="0"/>
        <w:ind w:left="0" w:right="0" w:hanging="0"/>
        <w:jc w:val="both"/>
        <w:rPr>
          <w:caps w:val="false"/>
          <w:smallCaps w:val="false"/>
        </w:rPr>
      </w:pPr>
      <w:r>
        <w:rPr>
          <w:caps w:val="false"/>
          <w:smallCaps w:val="false"/>
        </w:rPr>
        <w:t> </w:t>
      </w:r>
    </w:p>
    <w:tbl>
      <w:tblPr>
        <w:tblW w:w="9850" w:type="dxa"/>
        <w:jc w:val="left"/>
        <w:tblInd w:w="0" w:type="dxa"/>
        <w:tblLayout w:type="fixed"/>
        <w:tblCellMar>
          <w:top w:w="0" w:type="dxa"/>
          <w:left w:w="0" w:type="dxa"/>
          <w:bottom w:w="0" w:type="dxa"/>
          <w:right w:w="0" w:type="dxa"/>
        </w:tblCellMar>
      </w:tblPr>
      <w:tblGrid>
        <w:gridCol w:w="75"/>
        <w:gridCol w:w="170"/>
        <w:gridCol w:w="96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20"/>
              </w:rPr>
            </w:pPr>
            <w:r>
              <w:rPr>
                <w:sz w:val="20"/>
              </w:rPr>
              <w:t>1.</w:t>
            </w:r>
          </w:p>
        </w:tc>
        <w:tc>
          <w:tcPr>
            <w:tcW w:w="9605" w:type="dxa"/>
            <w:tcBorders/>
            <w:vAlign w:val="center"/>
          </w:tcPr>
          <w:p>
            <w:pPr>
              <w:pStyle w:val="TableContents"/>
              <w:bidi w:val="0"/>
              <w:spacing w:before="0" w:after="283"/>
              <w:jc w:val="both"/>
              <w:rPr>
                <w:sz w:val="20"/>
              </w:rPr>
            </w:pPr>
            <w:r>
              <w:rPr>
                <w:sz w:val="20"/>
              </w:rPr>
              <w:t>The Report fully complies with the requirements of Section 13(a) or 15(d) of the Securities Exchange Act of 1934;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2"/>
        <w:gridCol w:w="9968"/>
      </w:tblGrid>
      <w:tr>
        <w:trPr/>
        <w:tc>
          <w:tcPr>
            <w:tcW w:w="75"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sz w:val="20"/>
              </w:rPr>
            </w:pPr>
            <w:r>
              <w:rPr>
                <w:sz w:val="20"/>
              </w:rPr>
              <w:t>2.</w:t>
            </w:r>
          </w:p>
        </w:tc>
        <w:tc>
          <w:tcPr>
            <w:tcW w:w="9968" w:type="dxa"/>
            <w:tcBorders/>
            <w:vAlign w:val="center"/>
          </w:tcPr>
          <w:p>
            <w:pPr>
              <w:pStyle w:val="TableContents"/>
              <w:bidi w:val="0"/>
              <w:spacing w:before="0" w:after="283"/>
              <w:jc w:val="both"/>
              <w:rPr>
                <w:sz w:val="20"/>
              </w:rPr>
            </w:pPr>
            <w:r>
              <w:rPr>
                <w:sz w:val="20"/>
              </w:rPr>
              <w:t>The information contained in the Report fairly presents, in all material respects, the financial condition and result of operations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3640" w:type="dxa"/>
        <w:jc w:val="left"/>
        <w:tblInd w:w="0" w:type="dxa"/>
        <w:tblLayout w:type="fixed"/>
        <w:tblCellMar>
          <w:top w:w="0" w:type="dxa"/>
          <w:left w:w="0" w:type="dxa"/>
          <w:bottom w:w="0" w:type="dxa"/>
          <w:right w:w="0" w:type="dxa"/>
        </w:tblCellMar>
      </w:tblPr>
      <w:tblGrid>
        <w:gridCol w:w="1280"/>
        <w:gridCol w:w="2360"/>
      </w:tblGrid>
      <w:tr>
        <w:trPr/>
        <w:tc>
          <w:tcPr>
            <w:tcW w:w="1280" w:type="dxa"/>
            <w:tcBorders/>
            <w:vAlign w:val="center"/>
          </w:tcPr>
          <w:p>
            <w:pPr>
              <w:pStyle w:val="TableContents"/>
              <w:bidi w:val="0"/>
              <w:spacing w:before="0" w:after="283"/>
              <w:jc w:val="left"/>
              <w:rPr>
                <w:sz w:val="20"/>
              </w:rPr>
            </w:pPr>
            <w:r>
              <w:rPr>
                <w:sz w:val="20"/>
              </w:rPr>
              <w:t>August 8, 2024</w:t>
            </w:r>
          </w:p>
        </w:tc>
        <w:tc>
          <w:tcPr>
            <w:tcW w:w="2360"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Rhoniel Daguro</w:t>
            </w:r>
          </w:p>
        </w:tc>
      </w:tr>
      <w:tr>
        <w:trPr/>
        <w:tc>
          <w:tcPr>
            <w:tcW w:w="128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Rhoniel Daguro</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128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sz w:val="20"/>
              </w:rPr>
            </w:pPr>
            <w:r>
              <w:rPr>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4930" w:type="dxa"/>
        <w:jc w:val="left"/>
        <w:tblInd w:w="0" w:type="dxa"/>
        <w:tblLayout w:type="fixed"/>
        <w:tblCellMar>
          <w:top w:w="0" w:type="dxa"/>
          <w:left w:w="0" w:type="dxa"/>
          <w:bottom w:w="0" w:type="dxa"/>
          <w:right w:w="0" w:type="dxa"/>
        </w:tblCellMar>
      </w:tblPr>
      <w:tblGrid>
        <w:gridCol w:w="1280"/>
        <w:gridCol w:w="3650"/>
      </w:tblGrid>
      <w:tr>
        <w:trPr/>
        <w:tc>
          <w:tcPr>
            <w:tcW w:w="1280" w:type="dxa"/>
            <w:tcBorders/>
            <w:vAlign w:val="center"/>
          </w:tcPr>
          <w:p>
            <w:pPr>
              <w:pStyle w:val="TableContents"/>
              <w:bidi w:val="0"/>
              <w:spacing w:before="0" w:after="283"/>
              <w:jc w:val="left"/>
              <w:rPr>
                <w:sz w:val="20"/>
              </w:rPr>
            </w:pPr>
            <w:r>
              <w:rPr>
                <w:sz w:val="20"/>
              </w:rPr>
              <w:t>August 8, 2024</w:t>
            </w:r>
          </w:p>
        </w:tc>
        <w:tc>
          <w:tcPr>
            <w:tcW w:w="3650"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Ed Sellitto</w:t>
            </w:r>
          </w:p>
        </w:tc>
      </w:tr>
      <w:tr>
        <w:trPr/>
        <w:tc>
          <w:tcPr>
            <w:tcW w:w="128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sz w:val="20"/>
              </w:rPr>
            </w:pPr>
            <w:r>
              <w:rPr>
                <w:sz w:val="20"/>
              </w:rPr>
              <w:t>Ed Sellitto, Chief Financial Officer</w:t>
            </w:r>
          </w:p>
        </w:tc>
      </w:tr>
      <w:tr>
        <w:trPr/>
        <w:tc>
          <w:tcPr>
            <w:tcW w:w="128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sz w:val="20"/>
              </w:rPr>
            </w:pPr>
            <w:r>
              <w:rPr>
                <w:sz w:val="20"/>
              </w:rPr>
              <w:t>(Principal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534154/000121390021017290/ea138222ex3-1_ipsidyinc.htm" TargetMode="External"/><Relationship Id="rId4" Type="http://schemas.openxmlformats.org/officeDocument/2006/relationships/hyperlink" Target="http://www.sec.gov/Archives/edgar/data/1534154/000121390022040296/ea162935ex3-2_authid.htm" TargetMode="External"/><Relationship Id="rId5" Type="http://schemas.openxmlformats.org/officeDocument/2006/relationships/hyperlink" Target="http://www.sec.gov/Archives/edgar/data/1534154/000121390021032569/ea142763ex3-1_ipsidyinc.htm" TargetMode="External"/><Relationship Id="rId6" Type="http://schemas.openxmlformats.org/officeDocument/2006/relationships/hyperlink" Target="http://www.sec.gov/Archives/edgar/data/1534154/000121390022040296/ea162935ex3-1_authid.htm" TargetMode="External"/><Relationship Id="rId7" Type="http://schemas.openxmlformats.org/officeDocument/2006/relationships/hyperlink" Target="http://www.sec.gov/Archives/edgar/data/1534154/000121390022057553/ea166087ex3-1_authid.htm" TargetMode="External"/><Relationship Id="rId8" Type="http://schemas.openxmlformats.org/officeDocument/2006/relationships/hyperlink" Target="http://www.sec.gov/Archives/edgar/data/1534154/000121390023052128/ea180976ex3-1_authidinc.htm" TargetMode="External"/><Relationship Id="rId9" Type="http://schemas.openxmlformats.org/officeDocument/2006/relationships/hyperlink" Target="http://www.sec.gov/Archives/edgar/data/1534154/000121390024056729/ea020866001ex3-1_authid.htm" TargetMode="External"/><Relationship Id="rId10" Type="http://schemas.openxmlformats.org/officeDocument/2006/relationships/hyperlink" Target="http://www.sec.gov/Archives/edgar/data/1534154/000121390021032569/ea142763ex4-1_ipsidyinc.htm" TargetMode="External"/><Relationship Id="rId11" Type="http://schemas.openxmlformats.org/officeDocument/2006/relationships/hyperlink" Target="http://www.sec.gov/Archives/edgar/data/1534154/000121390019026249/f8k121019ex4-3_ipsidy.htm" TargetMode="External"/><Relationship Id="rId12" Type="http://schemas.openxmlformats.org/officeDocument/2006/relationships/hyperlink" Target="http://www.sec.gov/Archives/edgar/data/1534154/000121390020004127/f8k021420ex4-1_ipsidyinc.htm" TargetMode="External"/><Relationship Id="rId13" Type="http://schemas.openxmlformats.org/officeDocument/2006/relationships/hyperlink" Target="http://www.sec.gov/Archives/edgar/data/1534154/000121390020004127/f8k021420ex4-2_ipsidyinc.htm" TargetMode="External"/><Relationship Id="rId14" Type="http://schemas.openxmlformats.org/officeDocument/2006/relationships/hyperlink" Target="http://www.sec.gov/Archives/edgar/data/1534154/000121390020011887/ea121728ex4-1_ipsidyinc.htm" TargetMode="External"/><Relationship Id="rId15" Type="http://schemas.openxmlformats.org/officeDocument/2006/relationships/hyperlink" Target="http://www.sec.gov/Archives/edgar/data/1534154/000121390021024897/f10q0321ex4-15_ipsidyinc.htm" TargetMode="External"/><Relationship Id="rId16" Type="http://schemas.openxmlformats.org/officeDocument/2006/relationships/hyperlink" Target="http://www.sec.gov/Archives/edgar/data/1534154/000121390023024677/f10k2022ex4-7_authidinc.htm" TargetMode="External"/><Relationship Id="rId17" Type="http://schemas.openxmlformats.org/officeDocument/2006/relationships/hyperlink" Target="http://www.sec.gov/Archives/edgar/data/1534154/000121390021032569/ea142763ex10-6_ipsidyinc.htm" TargetMode="External"/><Relationship Id="rId18" Type="http://schemas.openxmlformats.org/officeDocument/2006/relationships/hyperlink" Target="http://www.sec.gov/Archives/edgar/data/1534154/000121390021032569/ea142763ex10-5_ipsidyinc.htm" TargetMode="External"/><Relationship Id="rId19" Type="http://schemas.openxmlformats.org/officeDocument/2006/relationships/hyperlink" Target="http://www.sec.gov/Archives/edgar/data/1534154/000161577418003344/s109839_ex10-27.htm" TargetMode="External"/><Relationship Id="rId20" Type="http://schemas.openxmlformats.org/officeDocument/2006/relationships/hyperlink" Target="http://www.sec.gov/Archives/edgar/data/1534154/000121390021032569/ea142763ex10-1_ipsidyinc.htm" TargetMode="External"/><Relationship Id="rId21" Type="http://schemas.openxmlformats.org/officeDocument/2006/relationships/hyperlink" Target="http://www.sec.gov/Archives/edgar/data/1534154/000121390021032569/ea142763ex10-2_ipsidyinc.htm" TargetMode="External"/><Relationship Id="rId22" Type="http://schemas.openxmlformats.org/officeDocument/2006/relationships/hyperlink" Target="http://www.sec.gov/Archives/edgar/data/1534154/000121390021032569/ea142763ex10-3_ipsidyinc.htm" TargetMode="External"/><Relationship Id="rId23" Type="http://schemas.openxmlformats.org/officeDocument/2006/relationships/hyperlink" Target="http://www.sec.gov/Archives/edgar/data/1534154/000121390021032569/ea142763ex10-4_ipsidyinc.htm" TargetMode="External"/><Relationship Id="rId24" Type="http://schemas.openxmlformats.org/officeDocument/2006/relationships/hyperlink" Target="http://www.sec.gov/Archives/edgar/data/1534154/000121390021057337/f10q0921ex10-11_ipsidyinc.htm" TargetMode="External"/><Relationship Id="rId25" Type="http://schemas.openxmlformats.org/officeDocument/2006/relationships/hyperlink" Target="http://www.sec.gov/Archives/edgar/data/1534154/000121390021057337/f10q0921ex10-12_ipsidyinc.htm" TargetMode="External"/><Relationship Id="rId26" Type="http://schemas.openxmlformats.org/officeDocument/2006/relationships/hyperlink" Target="http://www.sec.gov/Archives/edgar/data/1534154/000121390022004803/ea154748ex4-1_ipsidyinc.htm" TargetMode="External"/><Relationship Id="rId27" Type="http://schemas.openxmlformats.org/officeDocument/2006/relationships/hyperlink" Target="http://www.sec.gov/Archives/edgar/data/1534154/000121390022014214/f10k2021ex10-14_ipsidyinc.htm" TargetMode="External"/><Relationship Id="rId28" Type="http://schemas.openxmlformats.org/officeDocument/2006/relationships/hyperlink" Target="http://www.sec.gov/Archives/edgar/data/1534154/000121390022013739/ea157152ex10-1_ipsidyinc.htm" TargetMode="External"/><Relationship Id="rId29" Type="http://schemas.openxmlformats.org/officeDocument/2006/relationships/hyperlink" Target="http://www.sec.gov/Archives/edgar/data/1534154/000121390022013739/ea157152ex10-2_ipsidyinc.htm" TargetMode="External"/><Relationship Id="rId30" Type="http://schemas.openxmlformats.org/officeDocument/2006/relationships/hyperlink" Target="http://www.sec.gov/Archives/edgar/data/1534154/000121390022013739/ea157152ex10-3_ipsidyinc.htm" TargetMode="External"/><Relationship Id="rId31" Type="http://schemas.openxmlformats.org/officeDocument/2006/relationships/hyperlink" Target="http://www.sec.gov/Archives/edgar/data/1534154/000121390022013739/ea157152ex10-5_ipsidyinc.htm" TargetMode="External"/><Relationship Id="rId32" Type="http://schemas.openxmlformats.org/officeDocument/2006/relationships/hyperlink" Target="http://www.sec.gov/Archives/edgar/data/1534154/000121390022013739/ea157152ex10-6_ipsidyinc.htm" TargetMode="External"/><Relationship Id="rId33" Type="http://schemas.openxmlformats.org/officeDocument/2006/relationships/hyperlink" Target="http://www.sec.gov/Archives/edgar/data/1534154/000121390022013739/ea157152ex10-7_ipsidyinc.htm" TargetMode="External"/><Relationship Id="rId34" Type="http://schemas.openxmlformats.org/officeDocument/2006/relationships/hyperlink" Target="http://www.sec.gov/Archives/edgar/data/1534154/000121390022020476/ea158591ex10-1_ipsidyinc.htm" TargetMode="External"/><Relationship Id="rId35" Type="http://schemas.openxmlformats.org/officeDocument/2006/relationships/hyperlink" Target="http://www.sec.gov/Archives/edgar/data/1534154/000121390022021805/ea158885ex10-1_ipsidyinc.htm" TargetMode="External"/><Relationship Id="rId36" Type="http://schemas.openxmlformats.org/officeDocument/2006/relationships/hyperlink" Target="http://www.sec.gov/Archives/edgar/data/1534154/000121390023018987/ea174977ex10-1_authid.htm" TargetMode="External"/><Relationship Id="rId37" Type="http://schemas.openxmlformats.org/officeDocument/2006/relationships/hyperlink" Target="http://www.sec.gov/Archives/edgar/data/1534154/000121390023018987/ea174977ex10-2_authid.htm" TargetMode="External"/><Relationship Id="rId38" Type="http://schemas.openxmlformats.org/officeDocument/2006/relationships/hyperlink" Target="http://www.sec.gov/Archives/edgar/data/1534154/000121390023018987/ea174977ex10-3_authid.htm" TargetMode="External"/><Relationship Id="rId39" Type="http://schemas.openxmlformats.org/officeDocument/2006/relationships/hyperlink" Target="http://www.sec.gov/Archives/edgar/data/1534154/000121390023018987/ea174977ex10-4_authid.htm" TargetMode="External"/><Relationship Id="rId40" Type="http://schemas.openxmlformats.org/officeDocument/2006/relationships/hyperlink" Target="http://www.sec.gov/Archives/edgar/data/1534154/000121390023023408/ea175837ex10-1_authid.htm" TargetMode="External"/><Relationship Id="rId41" Type="http://schemas.openxmlformats.org/officeDocument/2006/relationships/hyperlink" Target="http://www.sec.gov/Archives/edgar/data/1534154/000121390023023408/ea175837ex10-2_authid.htm" TargetMode="External"/><Relationship Id="rId42" Type="http://schemas.openxmlformats.org/officeDocument/2006/relationships/hyperlink" Target="http://www.sec.gov/Archives/edgar/data/1534154/000121390023023408/ea175837ex10-3_authid.htm" TargetMode="External"/><Relationship Id="rId43" Type="http://schemas.openxmlformats.org/officeDocument/2006/relationships/hyperlink" Target="http://www.sec.gov/Archives/edgar/data/1534154/000121390023030640/ea177091ex10-1_authid.htm" TargetMode="External"/><Relationship Id="rId44" Type="http://schemas.openxmlformats.org/officeDocument/2006/relationships/hyperlink" Target="http://www.sec.gov/Archives/edgar/data/1534154/000121390023030640/ea177091ex10-2_authid.htm" TargetMode="External"/><Relationship Id="rId45" Type="http://schemas.openxmlformats.org/officeDocument/2006/relationships/hyperlink" Target="http://www.sec.gov/Archives/edgar/data/1534154/000121390023040545/ea178743ex10-1_authid.htm" TargetMode="External"/><Relationship Id="rId46" Type="http://schemas.openxmlformats.org/officeDocument/2006/relationships/hyperlink" Target="http://www.sec.gov/Archives/edgar/data/1534154/000121390023043563/ea179371ex10-1_authidinc.htm" TargetMode="External"/><Relationship Id="rId47" Type="http://schemas.openxmlformats.org/officeDocument/2006/relationships/hyperlink" Target="http://www.sec.gov/Archives/edgar/data/1534154/000121390023043563/ea179371ex10-2_authidinc.htm" TargetMode="External"/><Relationship Id="rId48" Type="http://schemas.openxmlformats.org/officeDocument/2006/relationships/hyperlink" Target="http://www.sec.gov/Archives/edgar/data/1534154/000121390023043563/ea179371ex10-3_authidinc.htm" TargetMode="External"/><Relationship Id="rId49" Type="http://schemas.openxmlformats.org/officeDocument/2006/relationships/hyperlink" Target="http://www.sec.gov/Archives/edgar/data/1534154/000121390023043563/ea179371ex10-4_authidinc.htm" TargetMode="External"/><Relationship Id="rId50" Type="http://schemas.openxmlformats.org/officeDocument/2006/relationships/hyperlink" Target="http://www.sec.gov/Archives/edgar/data/1534154/000121390023062781/ea182763ex10-1_authidinc.htm" TargetMode="External"/><Relationship Id="rId51" Type="http://schemas.openxmlformats.org/officeDocument/2006/relationships/hyperlink" Target="http://www.sec.gov/Archives/edgar/data/1534154/000121390023081375/ea187301ex10-1_authid.htm" TargetMode="External"/><Relationship Id="rId52" Type="http://schemas.openxmlformats.org/officeDocument/2006/relationships/hyperlink" Target="http://www.sec.gov/Archives/edgar/data/1534154/000121390023090267/ea189066ex10-1_authidinc.htm" TargetMode="External"/><Relationship Id="rId53" Type="http://schemas.openxmlformats.org/officeDocument/2006/relationships/hyperlink" Target="http://www.sec.gov/Archives/edgar/data/1534154/000121390023090267/ea189066ex10-2_authidinc.htm" TargetMode="External"/><Relationship Id="rId54" Type="http://schemas.openxmlformats.org/officeDocument/2006/relationships/hyperlink" Target="http://www.sec.gov/Archives/edgar/data/1534154/000121390023090267/ea189066ex10-3_authidinc.htm" TargetMode="External"/><Relationship Id="rId55" Type="http://schemas.openxmlformats.org/officeDocument/2006/relationships/hyperlink" Target="http://www.sec.gov/Archives/edgar/data/1534154/000121390023097744/ea190517ex10-1_authidinc.htm" TargetMode="External"/><Relationship Id="rId56" Type="http://schemas.openxmlformats.org/officeDocument/2006/relationships/hyperlink" Target="http://www.sec.gov/Archives/edgar/data/1534154/000121390023097744/ea190517ex10-1_authidinc.htm" TargetMode="External"/><Relationship Id="rId57" Type="http://schemas.openxmlformats.org/officeDocument/2006/relationships/hyperlink" Target="http://www.sec.gov/Archives/edgar/data/1534154/000121390024056729/ea020866001ex10-1_authid.htm" TargetMode="External"/><Relationship Id="rId58" Type="http://schemas.openxmlformats.org/officeDocument/2006/relationships/hyperlink" Target="http://www.sec.gov/Archives/edgar/data/1534154/000121390024056729/ea020866001ex10-2_authid.htm" TargetMode="External"/><Relationship Id="rId59" Type="http://schemas.openxmlformats.org/officeDocument/2006/relationships/hyperlink" Target="http://www.sec.gov/Archives/edgar/data/1534154/000121390024056729/ea020866001ex10-3_authid.htm" TargetMode="External"/><Relationship Id="rId60" Type="http://schemas.openxmlformats.org/officeDocument/2006/relationships/hyperlink" Target="http://www.sec.gov/Archives/edgar/data/1534154/000121390023084806/f10q0923ex14-1_authidinc.htm" TargetMode="External"/><Relationship Id="rId61" Type="http://schemas.openxmlformats.org/officeDocument/2006/relationships/hyperlink" Target="http://www.sec.gov/Archives/edgar/data/1534154/000121390023038588/f10q0323ex21-1_authidinc.htm" TargetMode="External"/><Relationship Id="rId62" Type="http://schemas.openxmlformats.org/officeDocument/2006/relationships/hyperlink" Target="http://www.sec.gov/Archives/edgar/data/1534154/000121390023084806/f10q0923ex99-1_authidinc.htm" TargetMode="External"/><Relationship Id="rId63" Type="http://schemas.openxmlformats.org/officeDocument/2006/relationships/hyperlink" Target="http://www.sec.gov/Archives/edgar/data/1534154/000121390024043594/ea020525801ex99-1_authidinc.htm" TargetMode="External"/><Relationship Id="rId64" Type="http://schemas.openxmlformats.org/officeDocument/2006/relationships/fontTable" Target="fontTable.xml"/><Relationship Id="rId6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13191</Words>
  <Characters>72155</Characters>
  <CharactersWithSpaces>86640</CharactersWithSpaces>
  <Paragraphs>4792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