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940" w:right="1480" w:hanging="2451"/>
        <w:spacing w:after="0" w:line="401" w:lineRule="auto"/>
        <w:tabs>
          <w:tab w:leader="none" w:pos="170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2022</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4"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100330</wp:posOffset>
            </wp:positionV>
            <wp:extent cx="1388745" cy="779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89"/>
              </w:rPr>
              <w:t>Delaware</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Arial" w:cs="Arial" w:eastAsia="Arial" w:hAnsi="Arial"/>
                <w:sz w:val="18"/>
                <w:szCs w:val="18"/>
                <w:color w:val="auto"/>
                <w:w w:val="89"/>
              </w:rPr>
              <w:t>46-2069547</w:t>
            </w:r>
          </w:p>
        </w:tc>
      </w:tr>
      <w:tr>
        <w:trPr>
          <w:trHeight w:val="202"/>
        </w:trPr>
        <w:tc>
          <w:tcPr>
            <w:tcW w:w="4400" w:type="dxa"/>
            <w:vAlign w:val="bottom"/>
            <w:gridSpan w:val="3"/>
          </w:tcPr>
          <w:p>
            <w:pPr>
              <w:jc w:val="center"/>
              <w:ind w:left="10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ind w:righ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incorporation or organization)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670 Long Beach Boulevard</w:t>
            </w:r>
          </w:p>
        </w:tc>
        <w:tc>
          <w:tcPr>
            <w:tcW w:w="36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Long Beach, New York</w:t>
            </w:r>
          </w:p>
        </w:tc>
        <w:tc>
          <w:tcPr>
            <w:tcW w:w="36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gridSpan w:val="3"/>
          </w:tcPr>
          <w:p>
            <w:pPr>
              <w:jc w:val="right"/>
              <w:ind w:right="1700"/>
              <w:spacing w:after="0"/>
              <w:rPr>
                <w:sz w:val="20"/>
                <w:szCs w:val="20"/>
                <w:color w:val="auto"/>
              </w:rPr>
            </w:pPr>
            <w:r>
              <w:rPr>
                <w:rFonts w:ascii="Arial" w:cs="Arial" w:eastAsia="Arial" w:hAnsi="Arial"/>
                <w:sz w:val="18"/>
                <w:szCs w:val="18"/>
                <w:color w:val="auto"/>
              </w:rPr>
              <w:t>11561</w:t>
            </w: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7640" w:type="dxa"/>
            <w:vAlign w:val="bottom"/>
            <w:gridSpan w:val="7"/>
          </w:tcPr>
          <w:p>
            <w:pPr>
              <w:jc w:val="center"/>
              <w:ind w:left="3530"/>
              <w:spacing w:after="0"/>
              <w:rPr>
                <w:sz w:val="20"/>
                <w:szCs w:val="20"/>
                <w:color w:val="auto"/>
              </w:rPr>
            </w:pPr>
            <w:r>
              <w:rPr>
                <w:rFonts w:ascii="Arial" w:cs="Arial" w:eastAsia="Arial" w:hAnsi="Arial"/>
                <w:sz w:val="18"/>
                <w:szCs w:val="18"/>
                <w:color w:val="auto"/>
                <w:w w:val="92"/>
              </w:rPr>
              <w:t>(Address of principal executive offices) (zip code)</w:t>
            </w:r>
          </w:p>
        </w:tc>
        <w:tc>
          <w:tcPr>
            <w:tcW w:w="3600" w:type="dxa"/>
            <w:vAlign w:val="bottom"/>
          </w:tcPr>
          <w:p>
            <w:pPr>
              <w:spacing w:after="0"/>
              <w:rPr>
                <w:sz w:val="20"/>
                <w:szCs w:val="20"/>
                <w:color w:val="auto"/>
              </w:rPr>
            </w:pPr>
          </w:p>
        </w:tc>
      </w:tr>
      <w:tr>
        <w:trPr>
          <w:trHeight w:val="337"/>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3"/>
          </w:tcPr>
          <w:p>
            <w:pPr>
              <w:jc w:val="right"/>
              <w:ind w:right="1400"/>
              <w:spacing w:after="0"/>
              <w:rPr>
                <w:sz w:val="20"/>
                <w:szCs w:val="20"/>
                <w:color w:val="auto"/>
              </w:rPr>
            </w:pPr>
            <w:r>
              <w:rPr>
                <w:rFonts w:ascii="Arial" w:cs="Arial" w:eastAsia="Arial" w:hAnsi="Arial"/>
                <w:sz w:val="18"/>
                <w:szCs w:val="18"/>
                <w:color w:val="auto"/>
              </w:rPr>
              <w:t>516-274-8700</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7640" w:type="dxa"/>
            <w:vAlign w:val="bottom"/>
            <w:gridSpan w:val="7"/>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351"/>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8"/>
        </w:trPr>
        <w:tc>
          <w:tcPr>
            <w:tcW w:w="440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Title of each class</w:t>
            </w:r>
          </w:p>
        </w:tc>
        <w:tc>
          <w:tcPr>
            <w:tcW w:w="324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rPr>
              <w:t>AUID</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5320" w:hanging="209"/>
        <w:spacing w:after="0" w:line="207" w:lineRule="exact"/>
        <w:tabs>
          <w:tab w:leader="none" w:pos="5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4"/>
          <w:szCs w:val="24"/>
          <w:color w:val="auto"/>
        </w:rPr>
      </w:pPr>
    </w:p>
    <w:p>
      <w:pPr>
        <w:ind w:left="5320" w:hanging="209"/>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541"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040" w:space="720"/>
            <w:col w:w="4480"/>
          </w:cols>
          <w:pgMar w:left="320" w:top="517" w:right="339" w:bottom="541"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Outstanding at April 30,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24,672,522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57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541"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10"/>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740" w:type="dxa"/>
            <w:vAlign w:val="bottom"/>
            <w:gridSpan w:val="11"/>
            <w:shd w:val="clear" w:color="auto" w:fill="CCEEFF"/>
          </w:tcPr>
          <w:p>
            <w:pPr>
              <w:jc w:val="center"/>
              <w:ind w:right="362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2022 (unaudited) and December 31, 2021</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2022 and 2021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Comprehensive Loss for the Three Months Ended March 31, 2022 and 2021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Stockholders’ Equity for the Three Months Ended March 31, 2022 and 2021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2022 and 2021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6-16</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17-22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740" w:type="dxa"/>
            <w:vAlign w:val="bottom"/>
            <w:gridSpan w:val="11"/>
            <w:shd w:val="clear" w:color="auto" w:fill="CCEEFF"/>
          </w:tcPr>
          <w:p>
            <w:pPr>
              <w:jc w:val="center"/>
              <w:ind w:right="3600"/>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 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2021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customers for existing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maintain and update our technology and product and service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key personnel and additional talent;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under acceptable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 or the loss of some of our intellectual property rights through costly litigation or administrative proceedings;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in non-US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war in Ukraine;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legislation and government regulation;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inflation and access to capital.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“authID.ai,” the “Company,” “we,” “our,” “us,” and similar terms refer to Ipsidy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8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13,795,772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186,366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397,870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624,159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597,640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15,004,167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6,926,595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97,934</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468,626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2,166,119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4,183,232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4,183,232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21,920,078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13,830,009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1,905,566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662,000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402,495</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2,970,061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2,934,431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7,464,267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10,434,328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2,934,431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1,000,000,000 shares authorized; 24,672,522 and 23,294,024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132,439,724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126,581,702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(121,200,667)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(115,899,939)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comprehensive income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244,226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211,486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11,485,750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10,895,578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21,920,078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13,830,009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607,362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575,913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13,086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184,086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216,144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4,764,349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1,927,926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537,883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322,010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143,703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243,678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309,829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5,873,699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(5,266,337)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(2,186,910)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5,151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(33,221)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(297,438)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(295,901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(5,294,407)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(2,482,811)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(6,321)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(5,300,728)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(2,489,999)</w:t>
            </w: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23,563,852</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19,758,957</w:t>
            </w:r>
          </w:p>
        </w:tc>
        <w:tc>
          <w:tcPr>
            <w:tcW w:w="0" w:type="dxa"/>
            <w:vAlign w:val="bottom"/>
          </w:tcPr>
          <w:p>
            <w:pPr>
              <w:spacing w:after="0"/>
              <w:rPr>
                <w:sz w:val="1"/>
                <w:szCs w:val="1"/>
                <w:color w:val="auto"/>
              </w:rPr>
            </w:pPr>
          </w:p>
        </w:tc>
      </w:tr>
      <w:tr>
        <w:trPr>
          <w:trHeight w:val="34"/>
        </w:trPr>
        <w:tc>
          <w:tcPr>
            <w:tcW w:w="8680" w:type="dxa"/>
            <w:vAlign w:val="bottom"/>
            <w:vMerge w:val="restart"/>
          </w:tcPr>
          <w:p>
            <w:pPr>
              <w:ind w:left="3540"/>
              <w:spacing w:after="0"/>
              <w:rPr>
                <w:sz w:val="20"/>
                <w:szCs w:val="20"/>
                <w:color w:val="auto"/>
              </w:rPr>
            </w:pPr>
            <w:r>
              <w:rPr>
                <w:rFonts w:ascii="Arial" w:cs="Arial" w:eastAsia="Arial" w:hAnsi="Arial"/>
                <w:sz w:val="18"/>
                <w:szCs w:val="18"/>
                <w:color w:val="auto"/>
              </w:rPr>
              <w:t>See notes to condensed consolidated financial statements.</w:t>
            </w: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(5,300,728)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(2,489,999)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32,740</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40,356</w:t>
            </w:r>
          </w:p>
        </w:tc>
      </w:tr>
      <w:tr>
        <w:trPr>
          <w:trHeight w:val="250"/>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(5,267,988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700" w:type="dxa"/>
            <w:vAlign w:val="bottom"/>
            <w:gridSpan w:val="5"/>
            <w:vMerge w:val="restart"/>
          </w:tcPr>
          <w:p>
            <w:pPr>
              <w:ind w:left="6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7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20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23,294,024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126,581,702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(115,899,939)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10,895,578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1,866,989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1,866,989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Sale of common stock for cash,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1,063,514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3,146,834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3,146,940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Common stock issued with convertible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debt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28,496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91,754</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91,757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issued for working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facility</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302,990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8"/>
              </w:rPr>
              <w:t>Warrants for services with the issuance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of convertible debt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449,474</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449,474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stock option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185,111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Cashless warrant exercise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(5,300,728)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(5,300,728)</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32,740</w:t>
            </w: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32,740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March 31, 2022</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24,672,522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132,439,724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(121,200,667</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11,485,750</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19,642,401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102,651,304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(98,234,151)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4,579,759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626,579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626,579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Convertible note converted to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32,950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124,077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Cashless stock option exercise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178,120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262,759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(2,489,999)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(2,489,999)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40,356</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40,356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March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20,116,230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103,401,916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(100,724,150</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200,998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2,880,775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(5,300,728)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(2,489,999)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243,678</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1,866,989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143,703</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12,657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(54,540)</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(543,955)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180,048</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(63,582)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(261,773)</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(87,423)</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(124,665)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155,665</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(3,101,724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(1,675,917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other assets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14,421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3,146,940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debt, net of issuance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7,992,841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fees for working capital facility</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notes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(1,579)</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Principal payments on capital lease obligation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(10,562)</w:t>
            </w:r>
          </w:p>
        </w:tc>
        <w:tc>
          <w:tcPr>
            <w:tcW w:w="22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10,827,640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Currencies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32,323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39,338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7,757,789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(1,147,199)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6,037,983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3,765,277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13,795,772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2,618,078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Reclass from other assets to intangible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6,232,340</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Cashless option and warrant exercises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Common stock issued with convertible notes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91,757</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Common stock for working capital facility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Warrants for services with the issuance of convertible debt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449,474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91"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2021. The results of operations for the three months ended March 31, 2022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Company had an accumulated deficit of approximately $121.2 million. For the three months ended March 31, 2022 the Company earned revenue of approximately $0.6 million and incurred a loss from operations of approximately $5.3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2021 and 2020 contained an emphasis of matter paragraph regarding the Company’s liquidity situation and management’s plan thereto.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our Annual Report on Form 10-K for the year ended December 31, 2021, the Company has secured additional financing which management believes will provide adequate funding for its operations as it continues to invest in its product, people, and technology. The Company may need additional capital in the future but currently it believes it has sufficient funds to operate its business through December 31, 2023. See Notes 6, 8 and 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Ipsidy considers it in the best interests of the Company to focus its business activities on providing biometric identity verification products and services by means of our proprietary IDaaS platform. Accordingly, on May 4, 2022, the Board approved a plan to start to exit from certain non-core activities comprising the MultiPay correspondent bank, payments services in Colombia and the Card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plans to exit the MultiPay business in Colombia in an orderly fashion through the end of the 2022, honoring our obligations to employees, customers and under applicable laws and regulations. We plan to maintain our customer support and operations team in Bogota, which performs essential functions to support the global operations of our Verified family of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incur certain costs associated with its employees and other contractual obligations. MultiPay will continue to service its customer base in the interim as it will look to minimize all such costs and in addition to realize proceeds from the potential disposition of its assets. The Company cannot estimate the net costs to be incurred as a result of this decision at this time, but believes that the overall additional cash costs will not exceed $250,000. The Company has not recorded the potential costs or write-down in the three months ended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plans to exit the Cards Plus business and will seek a buy out of our interests. We have had preliminary discussions with one group but no definitive terms for the sale have been agreed at this point.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are successful in achieving a sale of our interest it is expected that there will be a net cash inflow resulting from the planned exit of our business in South Africa. There is no guarantee that we will be successful in finding a buyer for our interest, that such sale will be on acceptable terms or that this will result in a net cash inflow. As a result of these preliminary discussions, the Company has decided to write-down the value of the Cards Plus intangible assets and has recorded an impairment charge of approximately $144,000 in the three months ended March 31, 2022.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March 31, 2022, MultiPay and Cards Plus revenue was approximately $69,000 and $373,000, respectively, and MultiPay had a loss of approximately $68,000 with Cards Plus contributing approximately $11,000 of net income. These amounts do not include any corporate overhead allocation nor any amounts relating to the proposed exits.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Cards Plus and the Colombian operations have not been classified as discontinued operations as of March 31, 2022 as all required classification criteria under Accounting Standards Codification 205 were not met until May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2022 and 2021 because their effect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Security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5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2,598,741</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1,146,917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1,544,633</w:t>
            </w:r>
          </w:p>
        </w:tc>
        <w:tc>
          <w:tcPr>
            <w:tcW w:w="1140" w:type="dxa"/>
            <w:vAlign w:val="bottom"/>
          </w:tcPr>
          <w:p>
            <w:pPr>
              <w:jc w:val="right"/>
              <w:spacing w:after="0"/>
              <w:rPr>
                <w:sz w:val="20"/>
                <w:szCs w:val="20"/>
                <w:color w:val="auto"/>
              </w:rPr>
            </w:pPr>
            <w:r>
              <w:rPr>
                <w:rFonts w:ascii="Arial" w:cs="Arial" w:eastAsia="Arial" w:hAnsi="Arial"/>
                <w:sz w:val="18"/>
                <w:szCs w:val="18"/>
                <w:color w:val="auto"/>
              </w:rPr>
              <w:t>1,411,308</w:t>
            </w:r>
          </w:p>
        </w:tc>
        <w:tc>
          <w:tcPr>
            <w:tcW w:w="8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9,151,167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5,411,180</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13,294,541</w:t>
            </w:r>
          </w:p>
        </w:tc>
        <w:tc>
          <w:tcPr>
            <w:tcW w:w="1140" w:type="dxa"/>
            <w:vAlign w:val="bottom"/>
          </w:tcPr>
          <w:p>
            <w:pPr>
              <w:jc w:val="right"/>
              <w:spacing w:after="0"/>
              <w:rPr>
                <w:sz w:val="20"/>
                <w:szCs w:val="20"/>
                <w:color w:val="auto"/>
              </w:rPr>
            </w:pPr>
            <w:r>
              <w:rPr>
                <w:rFonts w:ascii="Arial" w:cs="Arial" w:eastAsia="Arial" w:hAnsi="Arial"/>
                <w:sz w:val="18"/>
                <w:szCs w:val="18"/>
                <w:color w:val="auto"/>
              </w:rPr>
              <w:t>7,969,405</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of plastic/ID cards, digital printing material, which are held by Cards Plus Pty Ltd., are at the lower of cost (using the average method) or market. The Plastic/ID cards and digital printing material are used to provide plastic loyalty ID and other types of cards. Inventories of kiosks held by IDGS S.A.S are stated at the lower of cost (using the first-in, first-out method) or net realizable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at March 31, 2022 and December 31, 2021 consist of cards inventory. As of March 31, 2022 and December 31, 2021, respectively, the Company recorded an inventory valuation allowance of approximately $23,000 and $20,000, respectively to reflect net realizable value of the cards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 As of March 31, 2022 and December 31, 2021, Cards Plus had approximately $332,000 and $48,000, respectively, of contract liability from payments received in advance that will be earned in future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Identity Solutions Software – The Company recognizes revenue based on the identified performance obligations over the performance period for fixed consideration and/or for variable fees generated that are earned on a usage fee earned over time based on monthly transaction or user volumes and/or on a monthly flat fee rate. The Company had a contract liability of approximately $71,000 and $150,000 as of March 31, 2022, and December 31, 2021, respectively, for certain revenue that will be earned in future periods. Of the $71,000 of deferred revenue contract liability as of March 31, 2022, the majority will be earned during the balance of 2022. The majority of the deferred revenue contract liability as of December 31, 2020, was recognized in the quarter ended March 31, 2021. 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 During the three months ended March 31, 2022 and 2021, the Company provided annual software maintenance support services relating to previously licensed software on a stand ready basis. These fees were billed in advance and recognized ratably over the requisite service period as revenue.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had revenues from operations in North America, South America and Africa of $0.2 million, $0.1 million and $0.3 million, respectively, compared to $0.1 million, $0.1 million and $0.4 million, respectively, in the three months ended March 31,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the Company will capitalize the incremental costs of acquiring and fulfilling a contract with a customer if the Company expects to recover those costs. These incremental costs were immaterial in both three-month periods and the Company recognizes these costs as incurred as it typically relates to a period of less than 1 year as allowed by the practical expedient and the amounts in the period were immaterial.</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selling, general and administrative expense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the Company did not have any deferred contract costs or fees payable.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March 31, 2022 and 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Equipment under finance lease (see Note 10)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163,407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(453,348)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(432,751)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$20,597 and $14,525 for the three months ended March 31,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 OTHER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consisted of the following at March 31, 2022 and 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working capital facility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Other</w:t>
            </w:r>
          </w:p>
        </w:tc>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70,365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69,168</w:t>
            </w: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468,626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69,198</w:t>
            </w:r>
          </w:p>
        </w:tc>
        <w:tc>
          <w:tcPr>
            <w:tcW w:w="0" w:type="dxa"/>
            <w:vAlign w:val="bottom"/>
          </w:tcPr>
          <w:p>
            <w:pPr>
              <w:spacing w:after="0"/>
              <w:rPr>
                <w:sz w:val="1"/>
                <w:szCs w:val="1"/>
                <w:color w:val="auto"/>
              </w:rPr>
            </w:pPr>
          </w:p>
        </w:tc>
      </w:tr>
      <w:tr>
        <w:trPr>
          <w:trHeight w:val="21"/>
        </w:trPr>
        <w:tc>
          <w:tcPr>
            <w:tcW w:w="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w:t>
            </w:r>
          </w:p>
        </w:tc>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INTANGIBLE ASSETS, NET (OTHER THAN GOODWILL)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80" w:type="dxa"/>
            <w:vAlign w:val="bottom"/>
            <w:vMerge w:val="continue"/>
          </w:tcPr>
          <w:p>
            <w:pPr>
              <w:spacing w:after="0"/>
              <w:rPr>
                <w:sz w:val="24"/>
                <w:szCs w:val="24"/>
                <w:color w:val="auto"/>
              </w:rPr>
            </w:pPr>
          </w:p>
        </w:tc>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intangible assets consist of intellectual property acquired from MultiPay and FIN and are amortized over their estimated useful lives as indicated below. The following is a summary of activity related to intangible assets for the three months ended March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Acquired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Customer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Software</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3"/>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2,238,882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2,532,453</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450</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Impairment of assets</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(143,703)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(143,703)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(209,814)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(223,081)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March 31, 2022</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2,029,068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137,051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2,166,119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The following is a summary of intangible assets as of March 31, 2022: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Customer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Software</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372,130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4,476,271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5,007,154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(372,130)</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(2,447,203)</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(21,702)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(2,841,035)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March 31, 2022</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2,029,068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137,051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2,166,119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$223,081 and $298,095 for the three months ended March 31,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5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712,608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2023</w:t>
            </w: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792,810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527,965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2025</w:t>
            </w: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56,468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2027</w:t>
            </w: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5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2,166,119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860" w:type="dxa"/>
            <w:vAlign w:val="bottom"/>
            <w:vMerge w:val="restart"/>
          </w:tcPr>
          <w:p>
            <w:pPr>
              <w:jc w:val="right"/>
              <w:ind w:right="409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5"/>
              </w:rPr>
              <w:t>Accounts payable and accrued expenses consisted of the following as of March 31, 2022 and 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50,103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33,533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717,581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41,666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69,812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402,970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479,759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1,905,566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2,013,460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WORKING CAPITAL FACILTIY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21, 2022, the Company entered into a Facility Agreement with a current shareholder and noteholder of the Company, pursuant to which the shareholder agreed to provide to the Company a $10.0 million unsecured standby line of credit facility that will rank behind the Convertible Notes (see Note 8) and may be drawn down in several tranches, subject to certain conditions described in the Facility Agreement (the “Credit Facility”). Pursuant to the Credit Facility, the Company agreed to pay a facility commitment fee of 100,000 shares of our common stock upon the effective date of the Credit Facility.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Outstanding borrowings under the Credit Facility will accrue interest at 15% per annum. Drawdowns of the Credit Facility will be in tranches of not less than $500,000 up to the maximum amount of the Credit Facility, subject to the satisfaction of customary certifications and a certification from the Company that it has no more than $5 million of cash available to it as of the date of the drawdown request. The Credit Facility contemplates that the terms of the borrowings will be further set out in promissory notes that will contain representations and warranties and customary covenants and events of default. The Company will be permitted to prepay borrowings under the Credit Facility at any time, without penalty, in part or in full. Upon conversion or redemption of all amounts outstanding under the Convertible Notes and release of all security over the Company’s assets, the Company will provide a lien on the Company’s intellectual property assets to secure the Credit Facility.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borrowings under the Credit Facility as of March 31, 2022. The unamortized deferred debt expense is approximately $597,000 of which $199,000 is included in other current assets and the balance in other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NOTES PAYABLE,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an installment loan payable at a rate of 10.8% that was repaid as of March 31, 2022. The outstanding loan balance was $1,579 as of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NOTES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342" w:lineRule="auto"/>
        <w:rPr>
          <w:sz w:val="20"/>
          <w:szCs w:val="20"/>
          <w:color w:val="auto"/>
        </w:rPr>
      </w:pPr>
      <w:r>
        <w:rPr>
          <w:rFonts w:ascii="Arial" w:cs="Arial" w:eastAsia="Arial" w:hAnsi="Arial"/>
          <w:sz w:val="16"/>
          <w:szCs w:val="16"/>
          <w:color w:val="auto"/>
        </w:rPr>
        <w:t>In connection with the issuance of the Convertible Notes, the Company issued 142,690 common stock warrants to the broker and its representatives with an estimated grant date fair value of approximately $449,000 which has been recorded as a reduction in the carrying value of the Convertible Notes.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also has a note outstanding to the Stern Trust in the amount of $662,000 that earns interest at 10% per annum, which at the election of the Stern Trust can be paid in shares of common stock at a conversion price of $6.00 (the “Stern Note”). Theodore Stern, the Trustee of the Stern Trust was formerly a director of the Company. The maturity date of the Stern Note was previously February 29, 2022 and the Stern Trust and the Company have mutually agreed to extend the due date to December 31, 2022. The Stern Trust shall have the right at is sole option to extend the maturity date for a further six months after December 31, 2022, by service of written notice upon the Borrower at any time on or before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as of March 31, 2022: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10.0% convertible note due December 31,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9.75% convertible notes due March 31, 2025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9,176,224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(271,797)</w:t>
            </w: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Unamortized debt issuance expense</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(1,440,160)</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as of March 31, 2022:</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9,176,224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9,838,224</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 of the Stern Trust was previously February 29, 2022 and the Stern Trust and the Company mutually agreed to extend the due date to December 31, 2022. Mr. Stern, the trustee of the Stern Trust, is a former Director of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2022, two Directors, an affiliate of one of such Directors and one Executive Officer invested in $1.2 million of the Convertible Notes issued.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Two Directors and one Executive Officer invested $0.2 million in the common stock offering in the quarter ended March 31, 2022. See Note 10.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2022, shares of common stock were issued as a result of the following transactions:</w:t>
      </w:r>
    </w:p>
    <w:p>
      <w:pPr>
        <w:spacing w:after="0" w:line="225" w:lineRule="exact"/>
        <w:rPr>
          <w:sz w:val="20"/>
          <w:szCs w:val="20"/>
          <w:color w:val="auto"/>
        </w:rPr>
      </w:pPr>
    </w:p>
    <w:p>
      <w:pPr>
        <w:jc w:val="both"/>
        <w:ind w:left="660" w:right="2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March 18 and March 21, 2022, the Company entered into Subscription Agreements (the “Subscription Agreements”) with an accredited investor and certain members of authID.ai’s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issued total of approximately 28,500 shares of our common stock to the Note Investors as an additional origination fee.</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186,488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2021, shares of common stock were issued as a result of the following non-cash transactions: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Convertible notes totaling $120,000 and a portion of their accrued interest at the option of the noteholders were converted into approximately 33,000 shares of common stock of the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441,000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3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1,403,610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4.61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3.0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4680" w:type="dxa"/>
            <w:vAlign w:val="bottom"/>
            <w:gridSpan w:val="3"/>
          </w:tcPr>
          <w:p>
            <w:pPr>
              <w:jc w:val="right"/>
              <w:ind w:right="240"/>
              <w:spacing w:after="0"/>
              <w:rPr>
                <w:sz w:val="20"/>
                <w:szCs w:val="20"/>
                <w:color w:val="auto"/>
              </w:rPr>
            </w:pPr>
            <w:r>
              <w:rPr>
                <w:rFonts w:ascii="Arial" w:cs="Arial" w:eastAsia="Arial" w:hAnsi="Arial"/>
                <w:sz w:val="18"/>
                <w:szCs w:val="18"/>
                <w:color w:val="auto"/>
              </w:rPr>
              <w:t>142,690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5"/>
              </w:rPr>
              <w:t>5.0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3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2.64</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4.2 years</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at March 31, 2022</w:t>
            </w:r>
          </w:p>
        </w:tc>
        <w:tc>
          <w:tcPr>
            <w:tcW w:w="3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1,544,633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4.18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2.91 years</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vMerge w:val="restart"/>
          </w:tcPr>
          <w:p>
            <w:pPr>
              <w:jc w:val="right"/>
              <w:ind w:right="1510"/>
              <w:spacing w:after="0"/>
              <w:rPr>
                <w:sz w:val="20"/>
                <w:szCs w:val="20"/>
                <w:color w:val="auto"/>
              </w:rPr>
            </w:pPr>
            <w:r>
              <w:rPr>
                <w:rFonts w:ascii="Arial" w:cs="Arial" w:eastAsia="Arial" w:hAnsi="Arial"/>
                <w:sz w:val="18"/>
                <w:szCs w:val="18"/>
                <w:color w:val="auto"/>
              </w:rPr>
              <w:t>13</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grant date fair value of options granted for the quarter ended March 31, 2022, using the Black Scholes Method and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7480" w:type="dxa"/>
            <w:vAlign w:val="bottom"/>
            <w:gridSpan w:val="5"/>
          </w:tcPr>
          <w:p>
            <w:pPr>
              <w:spacing w:after="0"/>
              <w:rPr>
                <w:sz w:val="20"/>
                <w:szCs w:val="20"/>
                <w:color w:val="auto"/>
              </w:rPr>
            </w:pPr>
            <w:r>
              <w:rPr>
                <w:rFonts w:ascii="Arial" w:cs="Arial" w:eastAsia="Arial" w:hAnsi="Arial"/>
                <w:sz w:val="18"/>
                <w:szCs w:val="18"/>
                <w:color w:val="auto"/>
                <w:w w:val="91"/>
              </w:rPr>
              <w:t>Activity related to stock options for the three months ended March 31, 2022, is summarized as follows: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8,910,994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7.5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546,204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(281,031)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3,485,482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Forfeited/cancelled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9,151,167</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6,233,571</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as of March 31,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79"/>
              </w:rPr>
              <w:t>4.3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w w:val="95"/>
              </w:rPr>
              <w:t>The following table summarizes stock option information as of March 31, 2022: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Contractual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Life (Yrs.)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0" w:type="dxa"/>
            <w:vAlign w:val="bottom"/>
          </w:tcPr>
          <w:p>
            <w:pPr>
              <w:spacing w:after="0"/>
              <w:rPr>
                <w:sz w:val="1"/>
                <w:szCs w:val="1"/>
                <w:color w:val="auto"/>
              </w:rPr>
            </w:pPr>
          </w:p>
        </w:tc>
      </w:tr>
      <w:tr>
        <w:trPr>
          <w:trHeight w:val="216"/>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$.03 - $4.00</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3,875,463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5.1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$4.01 - $7.00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151,667</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151,667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$7.01 - $10.00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3,432,802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416,131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$10.01 - $15.97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1,691,235</w:t>
            </w:r>
          </w:p>
        </w:tc>
        <w:tc>
          <w:tcPr>
            <w:tcW w:w="22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1,066,666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9,151,167</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4,676,151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2022, the Company recognized approximately $1,867,000 of stock option based compensation expense of which approximately $798,000 relates to market condition-based awards of directors and officers. As of March 31, 2022, there was approximately $14,528,000 of unrecognized compensation costs related to stock options outstanding that will be expensed through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The cost basis of the lease equipment is $163,407 and the accumulated amortization as of March 31, 2022, is $131,261. The lease was fully paid off as of March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three months ended March 31, 2022, lease expense was approximately $21,000 inclusive of short-term leases.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Condensed Consolidated Balance Sheet as of March 31, 2022 were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38,290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The original weighted average lease term was 1.8 years and the weighted average discount rate used in the calculations were 13.55%.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March 31, 2022:</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lease payments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100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rents office space in Long Beach, New York at a monthly cost of $2,500. The agreement is month to month and can be terminated on 30 days’ notice. The agreement is between the Company and Bridgeworks LLC, an entity principally owned by Mr. Beck, our former CEO and Board Member along with his family.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an office location in Bogota, Colombia. In October 2021, MultiPay entered into a one-year lease for approximately $2,900 per month.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$6.4 million, $0.1 million and $0.0 million, respectively.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Identity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 Processing</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From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Identity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 Processing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 income/(expense)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Loss before income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21"/>
              <w:spacing w:after="0" w:line="205"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205"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7"/>
                <w:szCs w:val="17"/>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41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165,052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69,152</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96,183</w:t>
            </w:r>
          </w:p>
        </w:tc>
      </w:tr>
      <w:tr>
        <w:trPr>
          <w:trHeight w:val="237"/>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373,158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344,756</w:t>
            </w:r>
          </w:p>
        </w:tc>
        <w:tc>
          <w:tcPr>
            <w:tcW w:w="6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607,362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588,999</w:t>
            </w:r>
          </w:p>
        </w:tc>
        <w:tc>
          <w:tcPr>
            <w:tcW w:w="6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538,210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492,816</w:t>
            </w:r>
          </w:p>
        </w:tc>
        <w:tc>
          <w:tcPr>
            <w:tcW w:w="6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69,152</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96,183</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607,362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588,999</w:t>
            </w:r>
          </w:p>
        </w:tc>
        <w:tc>
          <w:tcPr>
            <w:tcW w:w="60" w:type="dxa"/>
            <w:vAlign w:val="bottom"/>
          </w:tcPr>
          <w:p>
            <w:pPr>
              <w:spacing w:after="0"/>
              <w:rPr>
                <w:sz w:val="19"/>
                <w:szCs w:val="19"/>
                <w:color w:val="auto"/>
              </w:rPr>
            </w:pPr>
          </w:p>
        </w:tc>
      </w:tr>
      <w:tr>
        <w:trPr>
          <w:trHeight w:val="418"/>
        </w:trPr>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(4,058,689)</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(1,270,403)</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(572,881)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(731,688)</w:t>
            </w:r>
          </w:p>
        </w:tc>
      </w:tr>
      <w:tr>
        <w:trPr>
          <w:trHeight w:val="251"/>
        </w:trPr>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(634,767)</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(184,819)</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(5,266,337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(2,186,910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(4,693,456)</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(1,455,222)</w:t>
            </w:r>
          </w:p>
        </w:tc>
      </w:tr>
      <w:tr>
        <w:trPr>
          <w:trHeight w:val="251"/>
        </w:trPr>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(572,881)</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(731,688)</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(5,266,337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(2,186,910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1"/>
        </w:trPr>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(33,221)</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(297,438)</w:t>
            </w:r>
          </w:p>
        </w:tc>
      </w:tr>
      <w:tr>
        <w:trPr>
          <w:trHeight w:val="230"/>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w:t>
            </w:r>
          </w:p>
        </w:tc>
        <w:tc>
          <w:tcPr>
            <w:tcW w:w="60" w:type="dxa"/>
            <w:vAlign w:val="bottom"/>
          </w:tcPr>
          <w:p>
            <w:pPr>
              <w:spacing w:after="0"/>
              <w:rPr>
                <w:sz w:val="20"/>
                <w:szCs w:val="20"/>
                <w:color w:val="auto"/>
              </w:rPr>
            </w:pP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5"/>
        </w:trPr>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(5,294,407)</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(2,482,811)</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5"/>
        </w:trPr>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(7,188)</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(5,300,728)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(2,489,999)</w:t>
            </w:r>
          </w:p>
        </w:tc>
      </w:tr>
      <w:tr>
        <w:trPr>
          <w:trHeight w:val="34"/>
        </w:trPr>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-3882390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-3608070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-3299460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-3016885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-2708275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-2425065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-2133600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-1833880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-1542415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-1242060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-950595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-650875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-350520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Ipsidy Inc. dba authID.ai (together with its subsidiaries, the “Company”, “authID.ai”, “we” or “our”) is a leading provider of secure, mobile, biometric identity verification software products delivered by an easy to integrate Identity as a Service (IDaaS) platform. Our mission is ultimately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authID.ai believes there is.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authID.ai provides secure, facial biometric, identity verification, and strong customer authentication. We maintain a global, cloud-based IDaaS platform for our enterprise customers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authid.ai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Company also owns an entity in South Africa, Cards Plus, which manufactures </w:t>
      </w:r>
      <w:r>
        <w:rPr>
          <w:rFonts w:ascii="Arial" w:cs="Arial" w:eastAsia="Arial" w:hAnsi="Arial"/>
          <w:sz w:val="18"/>
          <w:szCs w:val="18"/>
          <w:b w:val="1"/>
          <w:bCs w:val="1"/>
          <w:color w:val="auto"/>
        </w:rPr>
        <w:t>s</w:t>
      </w:r>
      <w:r>
        <w:rPr>
          <w:rFonts w:ascii="Arial" w:cs="Arial" w:eastAsia="Arial" w:hAnsi="Arial"/>
          <w:sz w:val="18"/>
          <w:szCs w:val="18"/>
          <w:color w:val="auto"/>
        </w:rPr>
        <w:t>ecure plastic identity credentials and loyalty card products. On May 4, 2022, the Board approved a plan to exit from certain non-core activities comprising the MultiPay correspondent bank, payments services in Colombia and the Card Plus cards manufacturing and printing business in South Africa. See subsequent event.</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incorporated in the State of Delaware on September 21, 2011, and changed our name to Ipsidy Inc. on February 1, 2017. In order to better align the branding of our Company with our future focus and goals on June 14, 2021 we changed our business name to “authID.ai”. To that end, we registered domain names under that name and applied for a United States trademark registration in that name.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Common Stock is traded on the Nasdaq Capital Market under the trading symbol “AUID”. Our corporate headquarters is located at 670 Long Beach Blvd., Long Beach, NY 11561 and our main phone number is (516) 274-8700. We maintain a website at www.authid.ai. The information contained on, or that can be accessed through, our websites is not incorporated by reference into this prospectus and is intended for informational purposes only.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 Loss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For the Quarter Ended</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(5,300,728)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(2,489,999)</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expense/(income)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(5,151)</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243,678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309,829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Impairment loss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143,703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1,866,989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626,579</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(2,861,967)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(1,250,502)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quarter ended March 31, 2022, increased by approximately $1.6 million due to the Company’s investment in people, technology and marketing.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and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2022, the Company had revenues of approximately $607,000 compared to approximately $589,000 in the three months ended March 31, 2021. The increase in revenue is principally related to higher income at authID.ai, resulting from adding new customers for identity services offset by a reduction in revenue at Cards Plus and our Colombian business due to the impact of Covid-19.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2022, cost of sales was less than the cost of sales in the three months ended March 31, 2021 principally due to higher margin revenue at Cards Plus.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three-month period ended March 31, 2022 compared to March 31, 2021, general and administrative expense increased by approximately $2.8 million principally due to higher non-cash stock compensation charges ($1.2 million), higher compensation, marketing, and professional fee costs as the Company makes investment in people, marketing and its product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2022 compared to March 31, 2021, research and development expenses increased by approximately $0.2 million as the Company increased staffing and third party resources as it focuses on key products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2022, the Company recorded an impairment loss of approximately $144,000 associated with intangible assets at one of its reporting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three-month period ended March 31, 2022 compared to March 31, 2021, depreciation and amortization expense was approximately $0.1 million less as the Company reduced the value of certain legacy business asset values.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decreased during the three-month period ended March 31, 2022, compared to March 31, 2021, principally due to the conversion of the majority of convertible notes, which were outstanding in 2021, into common shares in June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approximately $13.8 million of cash on hand and working capital of approximately $12.0 million as of March 31, 2022, as the recent fund raise provided cash of approximately $11.4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operating activities was approximately $3.1 million and $1.7 million in the three months ended March 31, 2022 and March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 the three months ended March 31, 2022, was as follows: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entered into an SPA with the Note Investors, and, pursuant to the SPA, sold to the Note Investors the Convertible Notes with an aggregate initial principal amount of approximately $9.2 million and a conversion price of $3.70 per share. The Convertible Notes were sold with an aggregate cash origination fee of approximately $200,000, and we are issuing a total of approximately 28,500 shares of our common stock to the Note Investors as an additional origination fee.</w:t>
      </w:r>
    </w:p>
    <w:p>
      <w:pPr>
        <w:spacing w:after="0" w:line="186"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entered into Subscription Agreements with the PIPE Investors, and, pursuant to the Subscription Agreements, sold to the PIPE Investors a total of 1,063,514 shares of our common stock at prices of $3.03 per share for an outside investor and $3.70 per share for the management investors. The aggregate gross proceeds from the PIPE are approximately $3.3 million.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a facility commitment fee of 100,000 shares of our common stock upon the effective date of the Credit Facility Agreement. There were no borrowings under the Credit Facility as of March 31,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need additional capital in the future but because of the above financing activities, we believe we have sufficient funds to operate its business through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less immediate impact as most staff can work remotely and can continue to develop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include Covid-19 considerations.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working remotely can cause a delay in decision making and finalization of negotiations and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war in Ukraine may impact the Company and its operations in a number of different ways, which are yet to be fully assessed and are therefore uncertain.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India, South Africa and South America. While the continuing impact of this conflict and the response of the United States and other countries to it by means of trade and economic sanctions, or other actions is still unknown, any disruption of our ability to work with such contractors caused by this conflict could require the Company to seek alternative sub-contractors at short notice, which may give rise to additional costs and delays in delivering software and product upgrades.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and a flight to safety by investors, which may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Ipsidy considers it in the best interests of the Company to focus its business activities on providing biometric identity verification products and services by means of our proprietary IDaaS platform. Accordingly, on May 4, 2022, the Board approved a plan to start to exit from certain non-core activities comprising the MultiPay correspondent bank, payments services in Colombia and the Card Plus cards manufacturing and printing business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plans to exit the MultiPay business in Colombia in an orderly fashion through the end of 2022, honoring our obligations to employees, customers and under applicable laws and regulations. We plan to maintain our customer support and operations team in Bogota, which performs essential functions to support the global operations of our Verified family of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incur certain costs associated with its employees and other contractual obligations. MultiPay will continue to service its customer base in the interim as it will look to minimize all such costs and in addition to realize proceeds from the potential disposition of its assets. The Company cannot estimate the net costs to be incurred as a result of this decision at this time, but believes that the overall additional cash costs will not exceed $250,000. The Company has not recorded the potential costs or write-down in the three months ended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 Africa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plans to exit the Cards Plus business and will seek a buy out of our interests. We have had preliminary discussions with one group but no definitive terms for the sale have been agreed at this point.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are successful in achieving a sale of our interest it is expected that there will be a net cash inflow resulting from the planned exit of our business in South Africa. There is no guarantee that we will be successful in finding a buyer for our interest, that such sale will be on acceptable terms or that this will result in a net cash inflow. As a result of these preliminary discussions, the Company has decided to write-down the value of the Cards Plus intangible assets and has recorded an impairment charge of approximately $144,000 in the three months ended March 31, 2022.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March 31, 2022, MultiPay and Cards Plus revenue was approximately $69,000 and $373,000, respectively, and MultiPay had a loss of approximately $68,000 with Cards Plus contributing approximately $11,000 of net income. These amounts do not include any corporate overhead allocation nor any amounts relating to the proposed exits.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of Cards Plus and the Colombian operations have not been classified as discontinued operations as of March 31, 2022, as all required classification criteria under Accounting Standards Codification 205 were not met until May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the FASB issued a new standard (ASU 2021-06)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2021. The standard can either be adopted on a modified retrospective or a full retrospective basis. The Company is currently reviewing the newly issued standard and does not believe it will materially impact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2022,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three months ended March 31, 2022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2021.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per share.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and March 21, 2022, the Company entered into Subscription Agreements (the “Subscription Agreements”) with an accredited investor and certain members of authID.ai’s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a facility commitment fee of 100,000 shares of our common stock upon the effective date of the Facility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proceeds of the sale of the Convertible Notes and the PIPE were used to pay the expenses of those offerings and to provide working capital for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2022, the Company issued approximately 186,488 shares of common stock pursuant to cashless exercises of common stock purchase warrants and options.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securities described herein been offered and sold pursuant to exemptions from the registration requirements of the Securities Act afforded by Section 4(a)(2) thereof and Rule 506 of Regulation D promulgated thereunder, for the sale of securities not involving a public offering.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Credit Facility with Stephen J. Garchik, who is both a current shareholder of the Company and holds Senior Secured Convertible Notes (“Garchik”), pursuant to which Garchik agreed to provide to the Company a $10.0 million unsecured standby line of credit facility that will rank behind the Senior Secured Convertible Notes and may be drawn down in several tranches, subject to certain conditions described in the Facility Agreement. Upon request by Garchik and until the full amount due under the Credit Facility is repaid in full, the Company will provide for the nomination of one designee specified in writing by Garchik for appointment to our board of directors and for subsequent election to our board of directors and to recommend such nominee for election to our board of directors. The Company will be entitled to reject any nominee upon reasonable grounds, or the nominee may not be elected by the stockholders, in which case Garchik may nominate another person to be a director.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2022, Joseph Trelin, as Garchik’s designee under the Credit Facility, was appointed as a member of the Board of Directors of the Company. Except as set forth above, there is no understanding or arrangement between Mr. Trelin and any other person pursuant to which Mr. Trelin was selected as a director of the Company. Mr. Trelin does not have any family relationship with any director, executive officer or person nominated or chosen by us to become a director or an executive officer. Mr. Trelin has not had direct or indirect material interest in any transaction or proposed transaction, in which the Company was or is a proposed participant exceeding $120,000.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2022, Mr. Trelin entered into a letter agreement with the Company pursuant to which he was appointed as a director of the Company in consideration of (i) an initial equity award having a Black Scholes value on the date of grant of $270,000, subject to annual vesting of one-third of the common shares over three years on the date of each Annual Meeting commencing with the 2022 Annual Meeting and (b) commencing following the Company’s 2023 Annual Meeting, assuming Mr. Trelin is re-elected to office, an annual equity award having a Black Scholes value on the date of grant of $90,000, subject to vesting over twelve months.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25, 2022, Stuart Stoller indicated his intention to resign as Chief Financial Officer of the Company in connection with his planned retirement. The resignation and retirement have a planned effective date of June 17, 2022 at which time Annie Pham will be appointed Chief Financial Officer in his place.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25, 2022, Ms. Pham and the Company entered an Offer Letter pursuant to which Ms. Pham agreed to serve as Chief Financial Officer with a planned employment date commencing June 20, 2022 or such other date as may be agreed. Ms. Pham will receive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will receive a signing bonus in the amount of $25,000, which is fully refundable to the Company if Ms. Pham leaves her employment voluntarily or is terminated for cause prior to the first anniversary of the commencement of employment. The employment of Ms. Pham will be at will and may be terminated at any time, with or without formal cause. The Company also entered an Executive Retention Agreement with Ms. Pham, pursuant to which the Company agreed to provide specified severance and bonus amounts and to accelerate the vesting on her equity awards upon termination upon a change of control or an involuntary termination, as each term is defined in the agreements. In the event of a termination upon a change of control or an involuntary termination, Ms. Pham is entitled to receive an amount equal to 100% of her base salary and the target bonus then in effect for the executive officer for the year in which such termination occurs. At the election of the executive officer, the Company will also continue to provide health related employee insurance coverage for up to twelve months, at the Company’s expense. Upon commencing employment, Ms. Pham will be granted an option to acquire 350,000 shares of common stock with an exercise price equal to the closing price of the Company’s common stock on the date of grant and an exercise period of ten years subject to certain performance vesting requirements.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gridSpan w:val="33"/>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3.1</w:t>
            </w:r>
          </w:p>
        </w:tc>
        <w:tc>
          <w:tcPr>
            <w:tcW w:w="7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(1)</w:t>
            </w:r>
          </w:p>
        </w:tc>
        <w:tc>
          <w:tcPr>
            <w:tcW w:w="35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Amended &amp; Restated Certificate of Incorporation</w:t>
              </w:r>
            </w:hyperlink>
          </w:p>
        </w:tc>
        <w:tc>
          <w:tcPr>
            <w:tcW w:w="6640" w:type="dxa"/>
            <w:vAlign w:val="bottom"/>
            <w:tcBorders>
              <w:bottom w:val="single" w:sz="8" w:color="CCEEFF"/>
            </w:tcBorders>
            <w:gridSpan w:val="19"/>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3.2</w:t>
            </w:r>
          </w:p>
        </w:tc>
        <w:tc>
          <w:tcPr>
            <w:tcW w:w="7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(2)</w:t>
            </w:r>
          </w:p>
        </w:tc>
        <w:tc>
          <w:tcPr>
            <w:tcW w:w="10220" w:type="dxa"/>
            <w:vAlign w:val="bottom"/>
            <w:gridSpan w:val="33"/>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Amended &amp; Restated Bylaws</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3.3</w:t>
            </w:r>
          </w:p>
        </w:tc>
        <w:tc>
          <w:tcPr>
            <w:tcW w:w="7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Certificate of Amendment dated June 1, 2021</w:t>
              </w:r>
            </w:hyperlink>
          </w:p>
        </w:tc>
      </w:tr>
      <w:tr>
        <w:trPr>
          <w:trHeight w:val="175"/>
        </w:trPr>
        <w:tc>
          <w:tcPr>
            <w:tcW w:w="2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4.1</w:t>
            </w:r>
          </w:p>
        </w:tc>
        <w:tc>
          <w:tcPr>
            <w:tcW w:w="760" w:type="dxa"/>
            <w:vAlign w:val="bottom"/>
            <w:tcBorders>
              <w:top w:val="single" w:sz="8" w:color="CCEEFF"/>
            </w:tcBorders>
            <w:gridSpan w:val="3"/>
          </w:tcPr>
          <w:p>
            <w:pPr>
              <w:ind w:left="20"/>
              <w:spacing w:after="0" w:line="176" w:lineRule="exact"/>
              <w:rPr>
                <w:sz w:val="20"/>
                <w:szCs w:val="20"/>
                <w:color w:val="auto"/>
              </w:rPr>
            </w:pPr>
            <w:r>
              <w:rPr>
                <w:rFonts w:ascii="Arial" w:cs="Arial" w:eastAsia="Arial" w:hAnsi="Arial"/>
                <w:sz w:val="18"/>
                <w:szCs w:val="18"/>
                <w:color w:val="auto"/>
              </w:rPr>
              <w:t>(3)</w:t>
            </w:r>
          </w:p>
        </w:tc>
        <w:tc>
          <w:tcPr>
            <w:tcW w:w="328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Form of Stock Option</w:t>
              </w:r>
            </w:hyperlink>
          </w:p>
        </w:tc>
        <w:tc>
          <w:tcPr>
            <w:tcW w:w="6940" w:type="dxa"/>
            <w:vAlign w:val="bottom"/>
            <w:tcBorders>
              <w:top w:val="single" w:sz="8" w:color="CCEEFF"/>
            </w:tcBorders>
            <w:gridSpan w:val="20"/>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4.2</w:t>
            </w:r>
          </w:p>
        </w:tc>
        <w:tc>
          <w:tcPr>
            <w:tcW w:w="7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(4)</w:t>
            </w:r>
          </w:p>
        </w:tc>
        <w:tc>
          <w:tcPr>
            <w:tcW w:w="23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Form of 8.0% Convertible Note</w:t>
              </w:r>
            </w:hyperlink>
          </w:p>
        </w:tc>
        <w:tc>
          <w:tcPr>
            <w:tcW w:w="7920" w:type="dxa"/>
            <w:vAlign w:val="bottom"/>
            <w:tcBorders>
              <w:bottom w:val="single" w:sz="8" w:color="CCEEFF"/>
            </w:tcBorders>
            <w:gridSpan w:val="25"/>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4.3</w:t>
            </w:r>
          </w:p>
        </w:tc>
        <w:tc>
          <w:tcPr>
            <w:tcW w:w="7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(5)</w:t>
            </w:r>
          </w:p>
        </w:tc>
        <w:tc>
          <w:tcPr>
            <w:tcW w:w="10220" w:type="dxa"/>
            <w:vAlign w:val="bottom"/>
            <w:gridSpan w:val="33"/>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Form of 15.0% Convertible Note</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4.4</w:t>
            </w:r>
          </w:p>
        </w:tc>
        <w:tc>
          <w:tcPr>
            <w:tcW w:w="7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(5)</w:t>
            </w:r>
          </w:p>
        </w:tc>
        <w:tc>
          <w:tcPr>
            <w:tcW w:w="63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Amended and Restated Promissory Note issued to The Theodore Stern Revocable Trust</w:t>
              </w:r>
            </w:hyperlink>
          </w:p>
        </w:tc>
        <w:tc>
          <w:tcPr>
            <w:tcW w:w="390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4.5</w:t>
            </w:r>
          </w:p>
        </w:tc>
        <w:tc>
          <w:tcPr>
            <w:tcW w:w="7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(6)</w:t>
            </w:r>
          </w:p>
        </w:tc>
        <w:tc>
          <w:tcPr>
            <w:tcW w:w="10220" w:type="dxa"/>
            <w:vAlign w:val="bottom"/>
            <w:gridSpan w:val="33"/>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Paycheck Protection Program Term Note dated May 6, 2020</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4.6</w:t>
            </w:r>
          </w:p>
        </w:tc>
        <w:tc>
          <w:tcPr>
            <w:tcW w:w="7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(7)</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Paycheck Protection Program Term Note dated February 1, 2021</w:t>
              </w:r>
            </w:hyperlink>
          </w:p>
        </w:tc>
      </w:tr>
      <w:tr>
        <w:trPr>
          <w:trHeight w:val="175"/>
        </w:trPr>
        <w:tc>
          <w:tcPr>
            <w:tcW w:w="2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4.7</w:t>
            </w:r>
          </w:p>
        </w:tc>
        <w:tc>
          <w:tcPr>
            <w:tcW w:w="760" w:type="dxa"/>
            <w:vAlign w:val="bottom"/>
            <w:tcBorders>
              <w:top w:val="single" w:sz="8" w:color="CCEEFF"/>
            </w:tcBorders>
            <w:gridSpan w:val="3"/>
          </w:tcPr>
          <w:p>
            <w:pPr>
              <w:ind w:left="20"/>
              <w:spacing w:after="0" w:line="176" w:lineRule="exact"/>
              <w:rPr>
                <w:sz w:val="20"/>
                <w:szCs w:val="20"/>
                <w:color w:val="auto"/>
              </w:rPr>
            </w:pPr>
            <w:r>
              <w:rPr>
                <w:rFonts w:ascii="Arial" w:cs="Arial" w:eastAsia="Arial" w:hAnsi="Arial"/>
                <w:sz w:val="18"/>
                <w:szCs w:val="18"/>
                <w:color w:val="auto"/>
              </w:rPr>
              <w:t>(16)</w:t>
            </w:r>
          </w:p>
        </w:tc>
        <w:tc>
          <w:tcPr>
            <w:tcW w:w="46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r:id="rId56">
              <w:r>
                <w:rPr>
                  <w:rFonts w:ascii="Arial" w:cs="Arial" w:eastAsia="Arial" w:hAnsi="Arial"/>
                  <w:sz w:val="18"/>
                  <w:szCs w:val="18"/>
                  <w:color w:val="0000EE"/>
                </w:rPr>
                <w:t>Description of the Registrant’s Securities</w:t>
              </w:r>
            </w:hyperlink>
          </w:p>
        </w:tc>
        <w:tc>
          <w:tcPr>
            <w:tcW w:w="5560" w:type="dxa"/>
            <w:vAlign w:val="bottom"/>
            <w:tcBorders>
              <w:top w:val="single" w:sz="8" w:color="CCEEFF"/>
            </w:tcBorders>
            <w:gridSpan w:val="17"/>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10.1</w:t>
            </w:r>
          </w:p>
        </w:tc>
        <w:tc>
          <w:tcPr>
            <w:tcW w:w="6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20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Form of Director Agreement</w:t>
              </w:r>
            </w:hyperlink>
          </w:p>
        </w:tc>
        <w:tc>
          <w:tcPr>
            <w:tcW w:w="8140" w:type="dxa"/>
            <w:vAlign w:val="bottom"/>
            <w:tcBorders>
              <w:bottom w:val="single" w:sz="8" w:color="CCEEFF"/>
            </w:tcBorders>
            <w:gridSpan w:val="27"/>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10.2</w:t>
            </w:r>
          </w:p>
        </w:tc>
        <w:tc>
          <w:tcPr>
            <w:tcW w:w="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(3)</w:t>
            </w:r>
          </w:p>
        </w:tc>
        <w:tc>
          <w:tcPr>
            <w:tcW w:w="10220" w:type="dxa"/>
            <w:vAlign w:val="bottom"/>
            <w:gridSpan w:val="33"/>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Form of Indemnification Agreement</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10.3</w:t>
            </w:r>
          </w:p>
        </w:tc>
        <w:tc>
          <w:tcPr>
            <w:tcW w:w="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(11)</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Executive Retention Agreement entered between the Company and Stuart P. Stoller dated January 31, 2017</w:t>
              </w:r>
            </w:hyperlink>
          </w:p>
        </w:tc>
      </w:tr>
      <w:tr>
        <w:trPr>
          <w:trHeight w:val="175"/>
        </w:trPr>
        <w:tc>
          <w:tcPr>
            <w:tcW w:w="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1"/>
              </w:rPr>
              <w:t>10.4</w:t>
            </w:r>
          </w:p>
        </w:tc>
        <w:tc>
          <w:tcPr>
            <w:tcW w:w="680" w:type="dxa"/>
            <w:vAlign w:val="bottom"/>
            <w:tcBorders>
              <w:top w:val="single" w:sz="8" w:color="CCEEFF"/>
            </w:tcBorders>
            <w:gridSpan w:val="2"/>
          </w:tcPr>
          <w:p>
            <w:pPr>
              <w:ind w:left="20"/>
              <w:spacing w:after="0" w:line="176" w:lineRule="exact"/>
              <w:rPr>
                <w:sz w:val="20"/>
                <w:szCs w:val="20"/>
                <w:color w:val="auto"/>
              </w:rPr>
            </w:pPr>
            <w:r>
              <w:rPr>
                <w:rFonts w:ascii="Arial" w:cs="Arial" w:eastAsia="Arial" w:hAnsi="Arial"/>
                <w:sz w:val="18"/>
                <w:szCs w:val="18"/>
                <w:color w:val="auto"/>
              </w:rPr>
              <w:t>(8)</w:t>
            </w:r>
          </w:p>
        </w:tc>
        <w:tc>
          <w:tcPr>
            <w:tcW w:w="7720" w:type="dxa"/>
            <w:vAlign w:val="bottom"/>
            <w:tcBorders>
              <w:top w:val="single" w:sz="8" w:color="0000EE"/>
            </w:tcBorders>
            <w:gridSpan w:val="26"/>
          </w:tcPr>
          <w:p>
            <w:pPr>
              <w:spacing w:after="0" w:line="17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Executive Retention Agreement entered between the Company and Thomas Szoke dated January 31, 2017</w:t>
              </w:r>
            </w:hyperlink>
          </w:p>
        </w:tc>
        <w:tc>
          <w:tcPr>
            <w:tcW w:w="2500" w:type="dxa"/>
            <w:vAlign w:val="bottom"/>
            <w:tcBorders>
              <w:top w:val="single" w:sz="8" w:color="CCEEFF"/>
            </w:tcBorders>
            <w:gridSpan w:val="7"/>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10.5</w:t>
            </w:r>
          </w:p>
        </w:tc>
        <w:tc>
          <w:tcPr>
            <w:tcW w:w="6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(9)</w:t>
            </w:r>
          </w:p>
        </w:tc>
        <w:tc>
          <w:tcPr>
            <w:tcW w:w="1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2017 Incentive Stock Plan</w:t>
              </w:r>
            </w:hyperlink>
          </w:p>
        </w:tc>
        <w:tc>
          <w:tcPr>
            <w:tcW w:w="8320" w:type="dxa"/>
            <w:vAlign w:val="bottom"/>
            <w:tcBorders>
              <w:bottom w:val="single" w:sz="8" w:color="CCEEFF"/>
            </w:tcBorders>
            <w:gridSpan w:val="29"/>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10.7</w:t>
            </w:r>
          </w:p>
        </w:tc>
        <w:tc>
          <w:tcPr>
            <w:tcW w:w="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(3)</w:t>
            </w:r>
          </w:p>
        </w:tc>
        <w:tc>
          <w:tcPr>
            <w:tcW w:w="10220" w:type="dxa"/>
            <w:vAlign w:val="bottom"/>
            <w:gridSpan w:val="33"/>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Executive Retention Agreement entered between the Company and Thomas L. Thimot dated June 14,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10.8</w:t>
            </w:r>
          </w:p>
        </w:tc>
        <w:tc>
          <w:tcPr>
            <w:tcW w:w="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Executive Retention Agreement entered between the Company and Cecil N. Smith III dated June 14, 2021</w:t>
              </w:r>
            </w:hyperlink>
          </w:p>
        </w:tc>
      </w:tr>
      <w:tr>
        <w:trPr>
          <w:trHeight w:val="176"/>
        </w:trPr>
        <w:tc>
          <w:tcPr>
            <w:tcW w:w="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1"/>
              </w:rPr>
              <w:t>10.9</w:t>
            </w:r>
          </w:p>
        </w:tc>
        <w:tc>
          <w:tcPr>
            <w:tcW w:w="680" w:type="dxa"/>
            <w:vAlign w:val="bottom"/>
            <w:tcBorders>
              <w:top w:val="single" w:sz="8" w:color="CCEEFF"/>
            </w:tcBorders>
            <w:gridSpan w:val="2"/>
          </w:tcPr>
          <w:p>
            <w:pPr>
              <w:ind w:left="20"/>
              <w:spacing w:after="0" w:line="176" w:lineRule="exact"/>
              <w:rPr>
                <w:sz w:val="20"/>
                <w:szCs w:val="20"/>
                <w:color w:val="auto"/>
              </w:rPr>
            </w:pPr>
            <w:r>
              <w:rPr>
                <w:rFonts w:ascii="Arial" w:cs="Arial" w:eastAsia="Arial" w:hAnsi="Arial"/>
                <w:sz w:val="18"/>
                <w:szCs w:val="18"/>
                <w:color w:val="auto"/>
              </w:rPr>
              <w:t>(3)</w:t>
            </w:r>
          </w:p>
        </w:tc>
        <w:tc>
          <w:tcPr>
            <w:tcW w:w="766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Letter Agreement between the Company and Thomas L. Thimot dated June 14, 2021</w:t>
              </w:r>
            </w:hyperlink>
          </w:p>
        </w:tc>
        <w:tc>
          <w:tcPr>
            <w:tcW w:w="2560" w:type="dxa"/>
            <w:vAlign w:val="bottom"/>
            <w:tcBorders>
              <w:top w:val="single" w:sz="8" w:color="CCEEFF"/>
            </w:tcBorders>
            <w:gridSpan w:val="8"/>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10.10</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Letter Agreement between the Company and Cecil N. Smith III dated June 14,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4"/>
          </w:tcPr>
          <w:p>
            <w:pPr>
              <w:spacing w:after="0" w:line="176" w:lineRule="exact"/>
              <w:rPr>
                <w:sz w:val="20"/>
                <w:szCs w:val="20"/>
                <w:color w:val="auto"/>
              </w:rPr>
            </w:pPr>
            <w:r>
              <w:rPr>
                <w:rFonts w:ascii="Arial" w:cs="Arial" w:eastAsia="Arial" w:hAnsi="Arial"/>
                <w:sz w:val="18"/>
                <w:szCs w:val="18"/>
                <w:color w:val="auto"/>
              </w:rPr>
              <w:t>10.11 (13)</w:t>
            </w:r>
          </w:p>
        </w:tc>
        <w:tc>
          <w:tcPr>
            <w:tcW w:w="10220" w:type="dxa"/>
            <w:vAlign w:val="bottom"/>
            <w:gridSpan w:val="33"/>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Letter Agreement between the Company and Phillip L. Kumnick dated as November 5,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10.12</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(13)</w:t>
            </w:r>
          </w:p>
        </w:tc>
        <w:tc>
          <w:tcPr>
            <w:tcW w:w="68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Letter Agreement between the Company and Philip R. Broenniman dated as November 5, 2021</w:t>
              </w:r>
            </w:hyperlink>
          </w:p>
        </w:tc>
        <w:tc>
          <w:tcPr>
            <w:tcW w:w="3340" w:type="dxa"/>
            <w:vAlign w:val="bottom"/>
            <w:tcBorders>
              <w:bottom w:val="single" w:sz="8" w:color="CCEEFF"/>
            </w:tcBorders>
            <w:gridSpan w:val="10"/>
            <w:shd w:val="clear" w:color="auto" w:fill="CCEEFF"/>
          </w:tcPr>
          <w:p>
            <w:pPr>
              <w:spacing w:after="0"/>
              <w:rPr>
                <w:sz w:val="17"/>
                <w:szCs w:val="17"/>
                <w:color w:val="auto"/>
              </w:rPr>
            </w:pPr>
          </w:p>
        </w:tc>
      </w:tr>
      <w:tr>
        <w:trPr>
          <w:trHeight w:val="176"/>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3"/>
              </w:rPr>
              <w:t>10.13</w:t>
            </w: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(14)</w:t>
            </w:r>
          </w:p>
        </w:tc>
        <w:tc>
          <w:tcPr>
            <w:tcW w:w="10220" w:type="dxa"/>
            <w:vAlign w:val="bottom"/>
            <w:gridSpan w:val="33"/>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Ipsidy Inc. 2021 Equity Incentive Plan</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10.14</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(16)</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Letter Agreement between Ipsidy Inc. and Thomas Szoke dated November 19,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3"/>
              </w:rPr>
              <w:t>10.15</w:t>
            </w: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(15)</w:t>
            </w:r>
          </w:p>
        </w:tc>
        <w:tc>
          <w:tcPr>
            <w:tcW w:w="10220" w:type="dxa"/>
            <w:vAlign w:val="bottom"/>
            <w:gridSpan w:val="33"/>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Securities Purchase Agreement entered into between the Company and the Note Investors dated March 21,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10.16</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(15)</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Form of Senior Secured Convertible Note issued by the Company to the Note Investors dated March 21,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3"/>
              </w:rPr>
              <w:t>10.17</w:t>
            </w: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(15)</w:t>
            </w:r>
          </w:p>
        </w:tc>
        <w:tc>
          <w:tcPr>
            <w:tcW w:w="10220" w:type="dxa"/>
            <w:vAlign w:val="bottom"/>
            <w:gridSpan w:val="33"/>
          </w:tcPr>
          <w:p>
            <w:pPr>
              <w:spacing w:after="0" w:line="17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Security and Pledge Agreement entered into between the Company and Stephen J. Garchik as Collateral Agent dated March 21,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10.19</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(15)</w:t>
            </w:r>
          </w:p>
        </w:tc>
        <w:tc>
          <w:tcPr>
            <w:tcW w:w="876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Form of Registration Rights Agreement entered into between the Company and the Note Investors dated March 21, 2022.</w:t>
              </w:r>
            </w:hyperlink>
          </w:p>
        </w:tc>
        <w:tc>
          <w:tcPr>
            <w:tcW w:w="146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3"/>
              </w:rPr>
              <w:t>10.20</w:t>
            </w: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(15)</w:t>
            </w:r>
          </w:p>
        </w:tc>
        <w:tc>
          <w:tcPr>
            <w:tcW w:w="10220" w:type="dxa"/>
            <w:vAlign w:val="bottom"/>
            <w:gridSpan w:val="33"/>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Facility Agreement entered into between the Company and Stephen J. Garchik dated March 21,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10.21</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(15)</w:t>
            </w:r>
          </w:p>
        </w:tc>
        <w:tc>
          <w:tcPr>
            <w:tcW w:w="10220" w:type="dxa"/>
            <w:vAlign w:val="bottom"/>
            <w:gridSpan w:val="33"/>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Form of Subscription Agreement entered into between the Company and the PIPE Investors dated March 21, 2022</w:t>
              </w:r>
            </w:hyperlink>
            <w:r>
              <w:rPr>
                <w:rFonts w:ascii="Arial" w:cs="Arial" w:eastAsia="Arial" w:hAnsi="Arial"/>
                <w:sz w:val="18"/>
                <w:szCs w:val="18"/>
                <w:color w:val="000000"/>
              </w:rPr>
              <w:t>.</w:t>
            </w:r>
          </w:p>
        </w:tc>
      </w:tr>
      <w:tr>
        <w:trPr>
          <w:trHeight w:val="175"/>
        </w:trPr>
        <w:tc>
          <w:tcPr>
            <w:tcW w:w="4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w w:val="93"/>
              </w:rPr>
              <w:t>10.22</w:t>
            </w:r>
          </w:p>
        </w:tc>
        <w:tc>
          <w:tcPr>
            <w:tcW w:w="5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(17)</w:t>
            </w:r>
          </w:p>
        </w:tc>
        <w:tc>
          <w:tcPr>
            <w:tcW w:w="8260" w:type="dxa"/>
            <w:vAlign w:val="bottom"/>
            <w:tcBorders>
              <w:top w:val="single" w:sz="8" w:color="0000EE"/>
            </w:tcBorders>
            <w:gridSpan w:val="30"/>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Letter Agreement between Joseph Trelin and Ipsidy Inc. dated April 18, 2022</w:t>
              </w:r>
            </w:hyperlink>
          </w:p>
        </w:tc>
        <w:tc>
          <w:tcPr>
            <w:tcW w:w="1960" w:type="dxa"/>
            <w:vAlign w:val="bottom"/>
            <w:tcBorders>
              <w:top w:val="single" w:sz="8" w:color="CCEEFF"/>
            </w:tcBorders>
            <w:gridSpan w:val="3"/>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10.23</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(18)</w:t>
            </w:r>
          </w:p>
        </w:tc>
        <w:tc>
          <w:tcPr>
            <w:tcW w:w="55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Letter Agreement between Annie Pham and Ipsidy Inc. dated April 18, 2022</w:t>
              </w:r>
            </w:hyperlink>
          </w:p>
        </w:tc>
        <w:tc>
          <w:tcPr>
            <w:tcW w:w="470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Arial" w:cs="Arial" w:eastAsia="Arial" w:hAnsi="Arial"/>
                <w:sz w:val="18"/>
                <w:szCs w:val="18"/>
                <w:color w:val="auto"/>
                <w:w w:val="91"/>
              </w:rPr>
              <w:t>14.1</w:t>
            </w:r>
          </w:p>
        </w:tc>
        <w:tc>
          <w:tcPr>
            <w:tcW w:w="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w:t>
            </w:r>
          </w:p>
        </w:tc>
        <w:tc>
          <w:tcPr>
            <w:tcW w:w="10220" w:type="dxa"/>
            <w:vAlign w:val="bottom"/>
            <w:gridSpan w:val="33"/>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Code of Ethics</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21.1</w:t>
            </w:r>
          </w:p>
        </w:tc>
        <w:tc>
          <w:tcPr>
            <w:tcW w:w="6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w:t>
            </w:r>
          </w:p>
        </w:tc>
        <w:tc>
          <w:tcPr>
            <w:tcW w:w="14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List of Subsidiaries</w:t>
              </w:r>
            </w:hyperlink>
          </w:p>
        </w:tc>
        <w:tc>
          <w:tcPr>
            <w:tcW w:w="8820" w:type="dxa"/>
            <w:vAlign w:val="bottom"/>
            <w:tcBorders>
              <w:bottom w:val="single" w:sz="8" w:color="CCEEFF"/>
            </w:tcBorders>
            <w:gridSpan w:val="31"/>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9"/>
              </w:rPr>
              <w:t>31.1*</w:t>
            </w:r>
          </w:p>
        </w:tc>
        <w:tc>
          <w:tcPr>
            <w:tcW w:w="580" w:type="dxa"/>
            <w:vAlign w:val="bottom"/>
          </w:tcPr>
          <w:p>
            <w:pPr>
              <w:spacing w:after="0"/>
              <w:rPr>
                <w:sz w:val="15"/>
                <w:szCs w:val="15"/>
                <w:color w:val="auto"/>
              </w:rPr>
            </w:pPr>
          </w:p>
        </w:tc>
        <w:tc>
          <w:tcPr>
            <w:tcW w:w="10220" w:type="dxa"/>
            <w:vAlign w:val="bottom"/>
            <w:gridSpan w:val="3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 of Chief Executive Officer pursuant to Rule 13a-14(a)/15d-14(a) of the Securities Exchange Act</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9"/>
              </w:rPr>
              <w:t>31.2*</w:t>
            </w:r>
          </w:p>
        </w:tc>
        <w:tc>
          <w:tcPr>
            <w:tcW w:w="580" w:type="dxa"/>
            <w:vAlign w:val="bottom"/>
            <w:tcBorders>
              <w:bottom w:val="single" w:sz="8" w:color="CCEEFF"/>
            </w:tcBorders>
            <w:shd w:val="clear" w:color="auto" w:fill="CCEEFF"/>
          </w:tcPr>
          <w:p>
            <w:pPr>
              <w:spacing w:after="0"/>
              <w:rPr>
                <w:sz w:val="17"/>
                <w:szCs w:val="17"/>
                <w:color w:val="auto"/>
              </w:rPr>
            </w:pPr>
          </w:p>
        </w:tc>
        <w:tc>
          <w:tcPr>
            <w:tcW w:w="784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Financial Officer pursuant to Rule 13a-14(a)/15d-14(a) of the Securities Exchange Act</w:t>
              </w:r>
            </w:hyperlink>
          </w:p>
        </w:tc>
        <w:tc>
          <w:tcPr>
            <w:tcW w:w="238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Arial" w:cs="Arial" w:eastAsia="Arial" w:hAnsi="Arial"/>
                <w:sz w:val="18"/>
                <w:szCs w:val="18"/>
                <w:color w:val="auto"/>
                <w:w w:val="99"/>
              </w:rPr>
              <w:t>32.1*</w:t>
            </w:r>
          </w:p>
        </w:tc>
        <w:tc>
          <w:tcPr>
            <w:tcW w:w="580" w:type="dxa"/>
            <w:vAlign w:val="bottom"/>
          </w:tcPr>
          <w:p>
            <w:pPr>
              <w:spacing w:after="0"/>
              <w:rPr>
                <w:sz w:val="15"/>
                <w:szCs w:val="15"/>
                <w:color w:val="auto"/>
              </w:rPr>
            </w:pPr>
          </w:p>
        </w:tc>
        <w:tc>
          <w:tcPr>
            <w:tcW w:w="10220" w:type="dxa"/>
            <w:vAlign w:val="bottom"/>
            <w:tcBorders>
              <w:bottom w:val="single" w:sz="8" w:color="0000EE"/>
            </w:tcBorders>
            <w:gridSpan w:val="33"/>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and Chief Financial Officer pursuant to 18 U.S.C. §1350, as adopted pursuant to Section 906 of the</w:t>
              </w:r>
            </w:hyperlink>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20" w:type="dxa"/>
            <w:vAlign w:val="bottom"/>
            <w:gridSpan w:val="3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Sarbanes-Oxley Act of 2002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33"/>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8"/>
        </w:trPr>
        <w:tc>
          <w:tcPr>
            <w:tcW w:w="10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3"/>
          </w:tcPr>
          <w:p>
            <w:pPr>
              <w:spacing w:after="0"/>
              <w:rPr>
                <w:sz w:val="20"/>
                <w:szCs w:val="20"/>
                <w:color w:val="auto"/>
              </w:rPr>
            </w:pPr>
            <w:r>
              <w:rPr>
                <w:rFonts w:ascii="Arial" w:cs="Arial" w:eastAsia="Arial" w:hAnsi="Arial"/>
                <w:sz w:val="18"/>
                <w:szCs w:val="18"/>
                <w:color w:val="auto"/>
              </w:rPr>
              <w:t>Inline XBRL Taxonomy Extension Presentation Linkbase Document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640" w:firstLine="8"/>
        <w:spacing w:after="0" w:line="509" w:lineRule="auto"/>
        <w:tabs>
          <w:tab w:leader="none" w:pos="10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3"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352" w:hanging="352"/>
        <w:spacing w:after="0" w:line="250" w:lineRule="auto"/>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S-1/A Amendment No. 1 to the S-1 Registration Statement filed with the Securities Exchange Commission on July 16, 2021.</w:t>
      </w: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8, 2021.</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S-8 Registration Statement filed with the Securities Exchange Commission on February 1, 2022.</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21, 2022.</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22, 2022.</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18, 2022.</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25, 2022.</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8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Thomas L. Thimot Chief Executive Officer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May 9,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Thimot,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Ipsidy Inc. (the “Company”) on Form 10-Q for the quarter ended March 31, 2022 as filed with the Securities and Exchange Commission (the “Report”), I, Thomas Thimot, Chief Executive Officer of the Company, and, Stuart Stoller, Chief Financial Officer of the Company, certify, pursuant to 18 U.S.C. SS. 1350, as adopted pursuant to SS. 906 of the Sarbanes-Oxley Act of 2002, that:</w:t>
      </w:r>
    </w:p>
    <w:p>
      <w:pPr>
        <w:spacing w:after="0" w:line="16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May 9, 2022</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May 9, 2022</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47" Type="http://schemas.openxmlformats.org/officeDocument/2006/relationships/hyperlink" Target="http://www.sec.gov/Archives/edgar/data/1534154/000121390021017290/ea138222ex3-1_ipsidyinc.htm" TargetMode="External"/><Relationship Id="rId48" Type="http://schemas.openxmlformats.org/officeDocument/2006/relationships/hyperlink" Target="http://www.sec.gov/Archives/edgar/data/1534154/000121390021003556/ea133739ex3-1_ipsidy.htm" TargetMode="External"/><Relationship Id="rId49" Type="http://schemas.openxmlformats.org/officeDocument/2006/relationships/hyperlink" Target="http://www.sec.gov/Archives/edgar/data/1534154/000121390021032569/ea142763ex3-1_ipsidyinc.htm" TargetMode="External"/><Relationship Id="rId50" Type="http://schemas.openxmlformats.org/officeDocument/2006/relationships/hyperlink" Target="http://www.sec.gov/Archives/edgar/data/1534154/000121390021032569/ea142763ex4-1_ipsidyinc.htm" TargetMode="External"/><Relationship Id="rId51" Type="http://schemas.openxmlformats.org/officeDocument/2006/relationships/hyperlink" Target="http://www.sec.gov/Archives/edgar/data/1534154/000121390019026249/f8k121019ex4-3_ipsidy.htm" TargetMode="External"/><Relationship Id="rId52" Type="http://schemas.openxmlformats.org/officeDocument/2006/relationships/hyperlink" Target="http://www.sec.gov/Archives/edgar/data/1534154/000121390020004127/f8k021420ex4-1_ipsidyinc.htm" TargetMode="External"/><Relationship Id="rId53" Type="http://schemas.openxmlformats.org/officeDocument/2006/relationships/hyperlink" Target="http://www.sec.gov/Archives/edgar/data/1534154/000121390020004127/f8k021420ex4-2_ipsidyinc.htm" TargetMode="External"/><Relationship Id="rId54" Type="http://schemas.openxmlformats.org/officeDocument/2006/relationships/hyperlink" Target="http://www.sec.gov/Archives/edgar/data/1534154/000121390020011887/ea121728ex4-1_ipsidyinc.htm" TargetMode="External"/><Relationship Id="rId55" Type="http://schemas.openxmlformats.org/officeDocument/2006/relationships/hyperlink" Target="http://www.sec.gov/Archives/edgar/data/1534154/000121390021024897/f10q0321ex4-15_ipsidyinc.htm" TargetMode="External"/><Relationship Id="rId56" Type="http://schemas.openxmlformats.org/officeDocument/2006/relationships/hyperlink" Target="http://www.sec.gov/Archives/edgar/data/1534154/000121390022014214/f10k2021ex4-7_ipsidyinc.htm" TargetMode="External"/><Relationship Id="rId57" Type="http://schemas.openxmlformats.org/officeDocument/2006/relationships/hyperlink" Target="http://www.sec.gov/Archives/edgar/data/1534154/000121390021032569/ea142763ex10-6_ipsidyinc.htm" TargetMode="External"/><Relationship Id="rId58" Type="http://schemas.openxmlformats.org/officeDocument/2006/relationships/hyperlink" Target="http://www.sec.gov/Archives/edgar/data/1534154/000121390021032569/ea142763ex10-5_ipsidyinc.htm" TargetMode="External"/><Relationship Id="rId59" Type="http://schemas.openxmlformats.org/officeDocument/2006/relationships/hyperlink" Target="http://www.sec.gov/Archives/edgar/data/1534154/000161577417000313/s105211_ex10-2.htm" TargetMode="External"/><Relationship Id="rId60" Type="http://schemas.openxmlformats.org/officeDocument/2006/relationships/hyperlink" Target="http://www.sec.gov/Archives/edgar/data/1534154/000161577417000380/s105242_ex10-2.htm" TargetMode="External"/><Relationship Id="rId61" Type="http://schemas.openxmlformats.org/officeDocument/2006/relationships/hyperlink" Target="http://www.sec.gov/Archives/edgar/data/1534154/000161577418003344/s109839_ex10-27.htm" TargetMode="External"/><Relationship Id="rId62" Type="http://schemas.openxmlformats.org/officeDocument/2006/relationships/hyperlink" Target="http://www.sec.gov/Archives/edgar/data/1534154/000121390021032569/ea142763ex10-1_ipsidyinc.htm" TargetMode="External"/><Relationship Id="rId63" Type="http://schemas.openxmlformats.org/officeDocument/2006/relationships/hyperlink" Target="http://www.sec.gov/Archives/edgar/data/1534154/000121390021032569/ea142763ex10-4_ipsidyinc.htm" TargetMode="External"/><Relationship Id="rId64" Type="http://schemas.openxmlformats.org/officeDocument/2006/relationships/hyperlink" Target="http://www.sec.gov/Archives/edgar/data/1534154/000121390021032569/ea142763ex10-3_ipsidyinc.htm" TargetMode="External"/><Relationship Id="rId65" Type="http://schemas.openxmlformats.org/officeDocument/2006/relationships/hyperlink" Target="http://www.sec.gov/Archives/edgar/data/1534154/000121390021057337/f10q0921ex10-11_ipsidyinc.htm" TargetMode="External"/><Relationship Id="rId66" Type="http://schemas.openxmlformats.org/officeDocument/2006/relationships/hyperlink" Target="http://www.sec.gov/Archives/edgar/data/1534154/000121390021057337/f10q0921ex10-12_ipsidyinc.htm" TargetMode="External"/><Relationship Id="rId67" Type="http://schemas.openxmlformats.org/officeDocument/2006/relationships/hyperlink" Target="http://www.sec.gov/Archives/edgar/data/1534154/000121390022004803/ea154748ex4-1_ipsidyinc.htm" TargetMode="External"/><Relationship Id="rId68" Type="http://schemas.openxmlformats.org/officeDocument/2006/relationships/hyperlink" Target="http://www.sec.gov/Archives/edgar/data/1534154/000121390022014214/f10k2021ex10-14_ipsidyinc.htm" TargetMode="External"/><Relationship Id="rId69" Type="http://schemas.openxmlformats.org/officeDocument/2006/relationships/hyperlink" Target="http://www.sec.gov/Archives/edgar/data/1534154/000121390022013739/ea157152ex10-1_ipsidyinc.htm" TargetMode="External"/><Relationship Id="rId70" Type="http://schemas.openxmlformats.org/officeDocument/2006/relationships/hyperlink" Target="http://www.sec.gov/Archives/edgar/data/1534154/000121390022013739/ea157152ex10-2_ipsidyinc.htm" TargetMode="External"/><Relationship Id="rId71" Type="http://schemas.openxmlformats.org/officeDocument/2006/relationships/hyperlink" Target="http://www.sec.gov/Archives/edgar/data/1534154/000121390022013739/ea157152ex10-3_ipsidyinc.htm" TargetMode="External"/><Relationship Id="rId72" Type="http://schemas.openxmlformats.org/officeDocument/2006/relationships/hyperlink" Target="http://www.sec.gov/Archives/edgar/data/1534154/000121390022013739/ea157152ex10-5_ipsidyinc.htm" TargetMode="External"/><Relationship Id="rId73" Type="http://schemas.openxmlformats.org/officeDocument/2006/relationships/hyperlink" Target="http://www.sec.gov/Archives/edgar/data/1534154/000121390022013739/ea157152ex10-6_ipsidyinc.htm" TargetMode="External"/><Relationship Id="rId74" Type="http://schemas.openxmlformats.org/officeDocument/2006/relationships/hyperlink" Target="http://www.sec.gov/Archives/edgar/data/1534154/000121390022013739/ea157152ex10-7_ipsidyinc.htm" TargetMode="External"/><Relationship Id="rId75" Type="http://schemas.openxmlformats.org/officeDocument/2006/relationships/hyperlink" Target="https://www.sec.gov/Archives/edgar/data/1534154/000121390022020476/ea158591ex10-1_ipsidyinc.htm" TargetMode="External"/><Relationship Id="rId76" Type="http://schemas.openxmlformats.org/officeDocument/2006/relationships/hyperlink" Target="https://www.sec.gov/Archives/edgar/data/1534154/000121390022021805/ea158885ex10-1_ipsidyinc.htm" TargetMode="External"/><Relationship Id="rId77" Type="http://schemas.openxmlformats.org/officeDocument/2006/relationships/hyperlink" Target="http://www.sec.gov/Archives/edgar/data/1534154/000161577417003593/s106516_ex14-1.htm" TargetMode="External"/><Relationship Id="rId78" Type="http://schemas.openxmlformats.org/officeDocument/2006/relationships/hyperlink" Target="https://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2022-05-09T17:02:44Z</dcterms:created>
  <dcterms:modified xsi:type="dcterms:W3CDTF">2022-05-09T17:02:44Z</dcterms:modified>
</cp:coreProperties>
</file>