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210-8k_authid.htm"/>
      <w:bookmarkStart w:id="1" w:name="ksea02972108k_auth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7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192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1066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28" w:type="dxa"/>
          <w:right w:w="0" w:type="dxa"/>
        </w:tblCellMar>
      </w:tblPr>
      <w:tblGrid>
        <w:gridCol w:w="2210"/>
        <w:gridCol w:w="60"/>
        <w:gridCol w:w="2615"/>
        <w:gridCol w:w="60"/>
        <w:gridCol w:w="1895"/>
      </w:tblGrid>
      <w:tr>
        <w:trPr/>
        <w:tc>
          <w:tcPr>
            <w:tcW w:w="2210"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D_edei--EntityFileNumber_c20260706"/>
            <w:bookmarkEnd w:id="6"/>
            <w:r>
              <w:rPr>
                <w:b/>
              </w:rPr>
              <w:t>001-40747</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46-2069547</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9_edei--EntityAddressAddressLine2_"/>
      <w:bookmarkEnd w:id="9"/>
      <w:r>
        <w:rPr>
          <w:rFonts w:ascii="Times New Roman;Times;Serif" w:hAnsi="Times New Roman;Times;Serif"/>
          <w:b w:val="false"/>
          <w:i w:val="false"/>
          <w:caps w:val="false"/>
          <w:smallCaps w:val="false"/>
          <w:sz w:val="20"/>
        </w:rPr>
        <w:t xml:space="preserve">Suite 660, </w:t>
      </w:r>
      <w:bookmarkStart w:id="10" w:name="xdx_90D_edei--EntityAddressAddressLine3_"/>
      <w:bookmarkEnd w:id="10"/>
      <w:r>
        <w:rPr>
          <w:rFonts w:ascii="Times New Roman;Times;Serif" w:hAnsi="Times New Roman;Times;Serif"/>
          <w:b w:val="false"/>
          <w:i w:val="false"/>
          <w:caps w:val="false"/>
          <w:smallCaps w:val="false"/>
          <w:sz w:val="20"/>
        </w:rPr>
        <w:t xml:space="preserve">Unit 51767, </w:t>
      </w:r>
      <w:bookmarkStart w:id="11" w:name="xdx_909_edei--EntityAddressCityOrTown_c2"/>
      <w:bookmarkEnd w:id="11"/>
      <w:r>
        <w:rPr>
          <w:rFonts w:ascii="Times New Roman;Times;Serif" w:hAnsi="Times New Roman;Times;Serif"/>
          <w:b w:val="false"/>
          <w:i w:val="false"/>
          <w:caps w:val="false"/>
          <w:smallCaps w:val="false"/>
          <w:sz w:val="20"/>
        </w:rPr>
        <w:t xml:space="preserve">Denver, </w:t>
      </w:r>
      <w:bookmarkStart w:id="12" w:name="xdx_90C_edei--EntityAddressStateOrProvin"/>
      <w:bookmarkEnd w:id="12"/>
      <w:r>
        <w:rPr>
          <w:rFonts w:ascii="Times New Roman;Times;Serif" w:hAnsi="Times New Roman;Times;Serif"/>
          <w:b w:val="false"/>
          <w:i w:val="false"/>
          <w:caps w:val="false"/>
          <w:smallCaps w:val="false"/>
          <w:sz w:val="20"/>
        </w:rPr>
        <w:t xml:space="preserve">Colorado </w:t>
      </w:r>
      <w:bookmarkStart w:id="13" w:name="xdx_90B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C_edei--CityAreaCode_c20260706__20"/>
      <w:bookmarkEnd w:id="14"/>
      <w:r>
        <w:rPr>
          <w:rFonts w:ascii="Times New Roman;Times;Serif" w:hAnsi="Times New Roman;Times;Serif"/>
          <w:b w:val="false"/>
          <w:i w:val="false"/>
          <w:caps w:val="false"/>
          <w:smallCaps w:val="false"/>
          <w:sz w:val="20"/>
        </w:rPr>
        <w:t>516-</w:t>
      </w:r>
      <w:bookmarkStart w:id="15" w:name="xdx_908_edei--LocalPhoneNumber_c20260706"/>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2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C_edei--SolicitingMaterial_c202607"/>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B_edei--PreCommencementTenderOffer"/>
            <w:bookmarkEnd w:id="18"/>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4_edei--PreCommencementIssuerTende"/>
            <w:bookmarkEnd w:id="19"/>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83"/>
        <w:gridCol w:w="60"/>
        <w:gridCol w:w="1654"/>
        <w:gridCol w:w="60"/>
        <w:gridCol w:w="4348"/>
      </w:tblGrid>
      <w:tr>
        <w:trPr/>
        <w:tc>
          <w:tcPr>
            <w:tcW w:w="408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54"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348"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083" w:type="dxa"/>
            <w:tcBorders/>
            <w:shd w:fill="CCEEFF" w:val="clear"/>
            <w:tcMar>
              <w:bottom w:w="0" w:type="dxa"/>
            </w:tcMar>
            <w:vAlign w:val="center"/>
          </w:tcPr>
          <w:p>
            <w:pPr>
              <w:pStyle w:val="TableContents"/>
              <w:bidi w:val="0"/>
              <w:spacing w:before="0" w:after="283"/>
              <w:jc w:val="center"/>
              <w:rPr/>
            </w:pPr>
            <w:bookmarkStart w:id="20" w:name="xdx_90B_edei--Security12bTitle_c20260706"/>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4" w:type="dxa"/>
            <w:tcBorders/>
            <w:shd w:fill="CCEEFF" w:val="clear"/>
            <w:tcMar>
              <w:bottom w:w="0" w:type="dxa"/>
            </w:tcMar>
            <w:vAlign w:val="center"/>
          </w:tcPr>
          <w:p>
            <w:pPr>
              <w:pStyle w:val="TableContents"/>
              <w:bidi w:val="0"/>
              <w:spacing w:before="0" w:after="283"/>
              <w:jc w:val="center"/>
              <w:rPr/>
            </w:pPr>
            <w:bookmarkStart w:id="21" w:name="xdx_90A_edei--TradingSymbol_c20260706__2"/>
            <w:bookmarkEnd w:id="21"/>
            <w:r>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48" w:type="dxa"/>
            <w:tcBorders/>
            <w:shd w:fill="CCEEFF" w:val="clear"/>
            <w:tcMar>
              <w:bottom w:w="0" w:type="dxa"/>
            </w:tcMar>
            <w:vAlign w:val="center"/>
          </w:tcPr>
          <w:p>
            <w:pPr>
              <w:pStyle w:val="TableContents"/>
              <w:bidi w:val="0"/>
              <w:spacing w:before="0" w:after="283"/>
              <w:jc w:val="center"/>
              <w:rPr/>
            </w:pPr>
            <w:r>
              <w:rPr/>
              <w:t>The</w:t>
            </w:r>
            <w:bookmarkStart w:id="22" w:name="xdx_909_edei--SecurityExchangeName_c2026"/>
            <w:bookmarkEnd w:id="22"/>
            <w:r>
              <w:rPr/>
              <w:t xml:space="preserv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7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(the “Company”) held its Annual Meeting on July 6, 2026 virtually by conference call and live stream. Of the 16,132,487 shares of Common Stock outstanding on May 7, 2026, the record date, 9,258,448 shares were represented at the Annual Meeting, in person or by proxy, constituting a quorum. The proposals considered at the Annual Meeting are described in detail in the Proxy Statement. The proposals described below were voted upon at the Annual Meeting and the number of votes cast with respect to each proposal was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sz w:val="20"/>
              </w:rPr>
            </w:pPr>
            <w:r>
              <w:rPr>
                <w:sz w:val="20"/>
              </w:rPr>
              <w:t>(1)</w:t>
            </w:r>
          </w:p>
        </w:tc>
        <w:tc>
          <w:tcPr>
            <w:tcW w:w="9979" w:type="dxa"/>
            <w:tcBorders/>
            <w:vAlign w:val="center"/>
          </w:tcPr>
          <w:p>
            <w:pPr>
              <w:pStyle w:val="TableContents"/>
              <w:bidi w:val="0"/>
              <w:spacing w:before="0" w:after="283"/>
              <w:jc w:val="both"/>
              <w:rPr>
                <w:sz w:val="20"/>
              </w:rPr>
            </w:pPr>
            <w:r>
              <w:rPr>
                <w:sz w:val="20"/>
              </w:rPr>
              <w:t>Elect six directors until such nominee’s successor is duly elected and qualified, or until the nominee’s earlier death, resignation or removal. The six directors receiving the highest vote were appointed to the board. The following directors were elected to the board.</w:t>
            </w:r>
          </w:p>
        </w:tc>
      </w:tr>
    </w:tbl>
    <w:p>
      <w:pPr>
        <w:pStyle w:val="TextBody"/>
        <w:bidi w:val="0"/>
        <w:spacing w:before="0" w:after="0"/>
        <w:ind w:left="0" w:right="0" w:hanging="0"/>
        <w:jc w:val="left"/>
        <w:rPr>
          <w:caps w:val="false"/>
          <w:smallCaps w:val="false"/>
        </w:rPr>
      </w:pPr>
      <w:r>
        <w:rPr>
          <w:caps w:val="false"/>
          <w:smallCaps w:val="false"/>
        </w:rPr>
        <w:t> </w:t>
      </w:r>
    </w:p>
    <w:tbl>
      <w:tblPr>
        <w:tblW w:w="6379" w:type="dxa"/>
        <w:jc w:val="left"/>
        <w:tblInd w:w="0" w:type="dxa"/>
        <w:tblLayout w:type="fixed"/>
        <w:tblCellMar>
          <w:top w:w="0" w:type="dxa"/>
          <w:left w:w="0" w:type="dxa"/>
          <w:bottom w:w="0" w:type="dxa"/>
          <w:right w:w="0" w:type="dxa"/>
        </w:tblCellMar>
      </w:tblPr>
      <w:tblGrid>
        <w:gridCol w:w="2285"/>
        <w:gridCol w:w="60"/>
        <w:gridCol w:w="60"/>
        <w:gridCol w:w="980"/>
        <w:gridCol w:w="60"/>
        <w:gridCol w:w="60"/>
        <w:gridCol w:w="62"/>
        <w:gridCol w:w="828"/>
        <w:gridCol w:w="60"/>
        <w:gridCol w:w="60"/>
        <w:gridCol w:w="102"/>
        <w:gridCol w:w="1687"/>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Withheld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pPr>
            <w:r>
              <w:rPr/>
              <w:t>Broker Non-Votes</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Rhoniel A. Daguro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682,128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4,958,289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Ken Jisser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3,740,631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559,528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4,958,289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Michael L. Koehneman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3,811,987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488,172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4,958,289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Kunal Mehta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3,665,033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635,126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4,958,289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Ram Menghani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3,800,558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499,601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4,958,289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Jacqueline L. White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3,491,821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808,338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4,958,289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(2)</w:t>
            </w:r>
          </w:p>
        </w:tc>
        <w:tc>
          <w:tcPr>
            <w:tcW w:w="9970" w:type="dxa"/>
            <w:tcBorders/>
            <w:vAlign w:val="center"/>
          </w:tcPr>
          <w:p>
            <w:pPr>
              <w:pStyle w:val="TableContents"/>
              <w:bidi w:val="0"/>
              <w:spacing w:before="0" w:after="283"/>
              <w:jc w:val="both"/>
              <w:rPr>
                <w:sz w:val="20"/>
              </w:rPr>
            </w:pPr>
            <w:r>
              <w:rPr>
                <w:sz w:val="20"/>
              </w:rPr>
              <w:t>Ratified the appointment of Cherry Bekaert LLP as the Company’s independent auditors for the fiscal year ending December 31, 2026. This matter was determined based on majority of the votes cast.</w:t>
            </w:r>
          </w:p>
        </w:tc>
      </w:tr>
    </w:tbl>
    <w:p>
      <w:pPr>
        <w:pStyle w:val="TextBody"/>
        <w:bidi w:val="0"/>
        <w:spacing w:before="0" w:after="0"/>
        <w:ind w:left="0" w:right="0" w:hanging="0"/>
        <w:jc w:val="left"/>
        <w:rPr>
          <w:caps w:val="false"/>
          <w:smallCaps w:val="false"/>
        </w:rPr>
      </w:pPr>
      <w:r>
        <w:rPr>
          <w:caps w:val="false"/>
          <w:smallCaps w:val="false"/>
        </w:rPr>
        <w:t> </w:t>
      </w:r>
    </w:p>
    <w:tbl>
      <w:tblPr>
        <w:tblW w:w="2865" w:type="dxa"/>
        <w:jc w:val="left"/>
        <w:tblInd w:w="0" w:type="dxa"/>
        <w:tblLayout w:type="fixed"/>
        <w:tblCellMar>
          <w:top w:w="0" w:type="dxa"/>
          <w:left w:w="0" w:type="dxa"/>
          <w:bottom w:w="28" w:type="dxa"/>
          <w:right w:w="0" w:type="dxa"/>
        </w:tblCellMar>
      </w:tblPr>
      <w:tblGrid>
        <w:gridCol w:w="995"/>
        <w:gridCol w:w="60"/>
        <w:gridCol w:w="60"/>
        <w:gridCol w:w="800"/>
        <w:gridCol w:w="60"/>
        <w:gridCol w:w="60"/>
        <w:gridCol w:w="755"/>
        <w:gridCol w:w="75"/>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center"/>
              <w:rPr/>
            </w:pPr>
            <w:r>
              <w:rPr/>
              <w:t>Abstain</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8,387,540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865,657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5,251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sz w:val="20"/>
              </w:rPr>
            </w:pPr>
            <w:r>
              <w:rPr>
                <w:sz w:val="20"/>
              </w:rPr>
              <w:t>(3)</w:t>
            </w:r>
          </w:p>
        </w:tc>
        <w:tc>
          <w:tcPr>
            <w:tcW w:w="9966" w:type="dxa"/>
            <w:tcBorders/>
            <w:vAlign w:val="center"/>
          </w:tcPr>
          <w:p>
            <w:pPr>
              <w:pStyle w:val="TableContents"/>
              <w:bidi w:val="0"/>
              <w:spacing w:before="0" w:after="283"/>
              <w:jc w:val="both"/>
              <w:rPr>
                <w:sz w:val="20"/>
              </w:rPr>
            </w:pPr>
            <w:r>
              <w:rPr>
                <w:sz w:val="20"/>
              </w:rPr>
              <w:t>Approved and ratified the adoption of the 2026 Equity Incentive Plan and the allocation of 3,500,000 shares of Common Stock for issuance under the 2026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995"/>
        <w:gridCol w:w="60"/>
        <w:gridCol w:w="60"/>
        <w:gridCol w:w="800"/>
        <w:gridCol w:w="60"/>
        <w:gridCol w:w="60"/>
        <w:gridCol w:w="755"/>
        <w:gridCol w:w="60"/>
        <w:gridCol w:w="60"/>
        <w:gridCol w:w="1790"/>
        <w:gridCol w:w="75"/>
      </w:tblGrid>
      <w:tr>
        <w:trPr/>
        <w:tc>
          <w:tcPr>
            <w:tcW w:w="995" w:type="dxa"/>
            <w:tcBorders>
              <w:bottom w:val="single" w:sz="12" w:space="0" w:color="000000"/>
            </w:tcBorders>
            <w:vAlign w:val="center"/>
          </w:tcPr>
          <w:p>
            <w:pPr>
              <w:pStyle w:val="TableContents"/>
              <w:bidi w:val="0"/>
              <w:spacing w:before="0" w:after="283"/>
              <w:jc w:val="center"/>
              <w:rPr/>
            </w:pPr>
            <w:r>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center"/>
              <w:rPr/>
            </w:pPr>
            <w:r>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center"/>
              <w:rPr/>
            </w:pPr>
            <w:r>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12" w:space="0" w:color="000000"/>
            </w:tcBorders>
            <w:vAlign w:val="center"/>
          </w:tcPr>
          <w:p>
            <w:pPr>
              <w:pStyle w:val="TableContents"/>
              <w:bidi w:val="0"/>
              <w:spacing w:before="0" w:after="283"/>
              <w:jc w:val="center"/>
              <w:rPr/>
            </w:pPr>
            <w:r>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995" w:type="dxa"/>
            <w:tcBorders/>
            <w:shd w:fill="CCEEFF" w:val="clear"/>
            <w:tcMar>
              <w:bottom w:w="0" w:type="dxa"/>
            </w:tcMar>
            <w:vAlign w:val="center"/>
          </w:tcPr>
          <w:p>
            <w:pPr>
              <w:pStyle w:val="TableContents"/>
              <w:bidi w:val="0"/>
              <w:spacing w:before="0" w:after="283"/>
              <w:jc w:val="center"/>
              <w:rPr/>
            </w:pPr>
            <w:r>
              <w:rPr/>
              <w:t>3,369,079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926,769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center"/>
              <w:rPr/>
            </w:pPr>
            <w:r>
              <w:rPr/>
              <w:t>4,311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pPr>
            <w:r>
              <w:rPr/>
              <w:t>4,958,289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775"/>
        <w:gridCol w:w="710"/>
        <w:gridCol w:w="2225"/>
      </w:tblGrid>
      <w:tr>
        <w:trPr/>
        <w:tc>
          <w:tcPr>
            <w:tcW w:w="17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left"/>
              <w:rPr>
                <w:b/>
              </w:rPr>
            </w:pPr>
            <w:r>
              <w:rPr>
                <w:b/>
              </w:rPr>
              <w:t>authID Inc.</w:t>
            </w:r>
          </w:p>
        </w:tc>
      </w:tr>
      <w:tr>
        <w:trPr/>
        <w:tc>
          <w:tcPr>
            <w:tcW w:w="17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7, 2026</w:t>
            </w:r>
          </w:p>
        </w:tc>
        <w:tc>
          <w:tcPr>
            <w:tcW w:w="71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Edward Sellitto</w:t>
            </w:r>
          </w:p>
        </w:tc>
      </w:tr>
      <w:tr>
        <w:trPr/>
        <w:tc>
          <w:tcPr>
            <w:tcW w:w="17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25" w:type="dxa"/>
            <w:tcBorders/>
            <w:vAlign w:val="center"/>
          </w:tcPr>
          <w:p>
            <w:pPr>
              <w:pStyle w:val="TableContents"/>
              <w:bidi w:val="0"/>
              <w:spacing w:before="0" w:after="283"/>
              <w:jc w:val="left"/>
              <w:rPr/>
            </w:pPr>
            <w:r>
              <w:rPr/>
              <w:t>Edward Sellitto</w:t>
            </w:r>
          </w:p>
        </w:tc>
      </w:tr>
      <w:tr>
        <w:trPr/>
        <w:tc>
          <w:tcPr>
            <w:tcW w:w="17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3315</Characters>
  <CharactersWithSpaces>3960</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