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87140-10q_authid.htm"/>
      <w:bookmarkStart w:id="1" w:name="ksea028714010q_authid"/>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REPORT UNDER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001-40747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66950" cy="1762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1762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46-2069547</w:t>
            </w:r>
          </w:p>
        </w:tc>
      </w:tr>
      <w:tr>
        <w:trPr/>
        <w:tc>
          <w:tcPr>
            <w:tcW w:w="252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 North Logan Street, Suite 660, Unit 51767,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80203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516-274-8700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05" w:type="dxa"/>
        <w:jc w:val="left"/>
        <w:tblInd w:w="0" w:type="dxa"/>
        <w:tblLayout w:type="fixed"/>
        <w:tblCellMar>
          <w:top w:w="0" w:type="dxa"/>
          <w:left w:w="0" w:type="dxa"/>
          <w:bottom w:w="28" w:type="dxa"/>
          <w:right w:w="0" w:type="dxa"/>
        </w:tblCellMar>
      </w:tblPr>
      <w:tblGrid>
        <w:gridCol w:w="3605"/>
        <w:gridCol w:w="90"/>
        <w:gridCol w:w="1370"/>
        <w:gridCol w:w="90"/>
        <w:gridCol w:w="3650"/>
      </w:tblGrid>
      <w:tr>
        <w:trPr/>
        <w:tc>
          <w:tcPr>
            <w:tcW w:w="360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7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65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6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$0.0001 per share</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AUID</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6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135"/>
        <w:gridCol w:w="2570"/>
      </w:tblGrid>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center"/>
        <w:rPr>
          <w:caps w:val="false"/>
          <w:smallCaps w:val="false"/>
        </w:rPr>
      </w:pPr>
      <w:r>
        <w:rPr>
          <w:caps w:val="false"/>
          <w:smallCaps w:val="false"/>
        </w:rPr>
        <w:t> </w:t>
      </w:r>
    </w:p>
    <w:tbl>
      <w:tblPr>
        <w:tblW w:w="5350" w:type="dxa"/>
        <w:jc w:val="left"/>
        <w:tblInd w:w="0" w:type="dxa"/>
        <w:tblLayout w:type="fixed"/>
        <w:tblCellMar>
          <w:top w:w="0" w:type="dxa"/>
          <w:left w:w="0" w:type="dxa"/>
          <w:bottom w:w="28" w:type="dxa"/>
          <w:right w:w="0" w:type="dxa"/>
        </w:tblCellMar>
      </w:tblPr>
      <w:tblGrid>
        <w:gridCol w:w="2885"/>
        <w:gridCol w:w="90"/>
        <w:gridCol w:w="2375"/>
      </w:tblGrid>
      <w:tr>
        <w:trPr/>
        <w:tc>
          <w:tcPr>
            <w:tcW w:w="288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May 7, 2026</w:t>
            </w:r>
          </w:p>
        </w:tc>
      </w:tr>
      <w:tr>
        <w:trPr/>
        <w:tc>
          <w:tcPr>
            <w:tcW w:w="28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$0.0001</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16,132,487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8540"/>
        <w:gridCol w:w="90"/>
        <w:gridCol w:w="845"/>
      </w:tblGrid>
      <w:tr>
        <w:trPr/>
        <w:tc>
          <w:tcPr>
            <w:tcW w:w="854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No.</w:t>
            </w:r>
          </w:p>
        </w:tc>
      </w:tr>
      <w:tr>
        <w:trPr/>
        <w:tc>
          <w:tcPr>
            <w:tcW w:w="8540"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i w:val="false"/>
                  <w:caps w:val="false"/>
                  <w:smallCaps w:val="false"/>
                  <w:sz w:val="20"/>
                </w:rPr>
                <w:t>PART I – FINANCIAL INFORMATION</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Item 1. Financial Statements (unaudited)</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Consolidated Balance Sheets as of March 31, 2026 and December 31, 2025</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Consolidated Statements of Operations for the Three Months Ended March 31, 2026 and 2025</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Consolidated Statements of Comprehensive Loss for the Three Months Ended March 31, 2026 and 2025</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Consolidated Statements of Stockholders’ Equity for the Three Months Ended March 31, 2026 and 2025</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Consolidated Statements of Cash Flows for the Three Months Ended March 31, 2026 and 2025</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Notes to Unaudited Consolidated Financial Statements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Item 4. Controls and Procedures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center"/>
              <w:rPr/>
            </w:pPr>
            <w:hyperlink w:anchor="a_012">
              <w:r>
                <w:rPr>
                  <w:rStyle w:val="InternetLink"/>
                  <w:rFonts w:ascii="Times New Roman;Times;Serif" w:hAnsi="Times New Roman;Times;Serif"/>
                  <w:b/>
                  <w:i w:val="false"/>
                  <w:caps w:val="false"/>
                  <w:smallCaps w:val="false"/>
                  <w:sz w:val="20"/>
                </w:rPr>
                <w:t>PART II – OTHER INFORMATION</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1. Legal Proceedings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Item 1A. Risk Factors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Item 3. Defaults Upon Senior Securities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Item 4. Mine Safety Disclosures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Item 5. Other Information</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85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4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Item 6. Exhibits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2025 and our other filings with the Securities and Exchange Commission. Some examples of risk factors which may affect our business are as follows:</w:t>
      </w:r>
    </w:p>
    <w:p>
      <w:pPr>
        <w:pStyle w:val="TextBody"/>
        <w:bidi w:val="0"/>
        <w:spacing w:before="0" w:after="0"/>
        <w:ind w:left="0" w:right="0" w:firstLine="72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105"/>
        <w:gridCol w:w="200"/>
        <w:gridCol w:w="59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significant revenues, positive cash flow and history of losses,</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our products and competition;</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customers for existing and new products;</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105"/>
        <w:gridCol w:w="200"/>
        <w:gridCol w:w="78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maintain and update our technology and product and service portfolio;</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105"/>
        <w:gridCol w:w="200"/>
        <w:gridCol w:w="42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 party software and developers;</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105"/>
        <w:gridCol w:w="200"/>
        <w:gridCol w:w="49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breaches of network or IT security and presentation attacks;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and additional talent;</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capital under acceptable terms;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listing of our common stock on the Nasdaq Capital Market;</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adequately protect our intellectual property, or the loss of some of our intellectual property rights through costly litigation or administrative proceedings;</w:t>
            </w:r>
          </w:p>
        </w:tc>
      </w:tr>
    </w:tbl>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105"/>
        <w:gridCol w:w="200"/>
        <w:gridCol w:w="56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operate in non-US markets;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6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wars in Ukraine and the Middle East;</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6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 and market volatility and the risk of securities litigation;</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6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and government regulation; and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6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inflation and access to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PERTINENT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specifically set forth to the contrary, when used in this report the terms “authID” the “Company,” “we,” “our,” “us,” and similar terms refer to authID Inc., a Delaware corporation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which appears on our website www.authID.ai is not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40"/>
        <w:gridCol w:w="90"/>
        <w:gridCol w:w="170"/>
        <w:gridCol w:w="1325"/>
        <w:gridCol w:w="125"/>
        <w:gridCol w:w="90"/>
        <w:gridCol w:w="170"/>
        <w:gridCol w:w="1325"/>
        <w:gridCol w:w="170"/>
      </w:tblGrid>
      <w:tr>
        <w:trPr/>
        <w:tc>
          <w:tcPr>
            <w:tcW w:w="6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center"/>
              <w:rPr/>
            </w:pPr>
            <w:r>
              <w:rPr/>
              <w:t>ASSETS</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1,191,282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4,608,073</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338,695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238,800</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Contract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9,362</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Deferred contract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166,841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199,380</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426,595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595,692</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2,123,413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5,651,307</w:t>
            </w:r>
          </w:p>
        </w:tc>
        <w:tc>
          <w:tcPr>
            <w:tcW w:w="170" w:type="dxa"/>
            <w:tcBorders/>
            <w:vAlign w:val="center"/>
          </w:tcPr>
          <w:p>
            <w:pPr>
              <w:pStyle w:val="TableContents"/>
              <w:bidi w:val="0"/>
              <w:spacing w:before="0" w:after="283"/>
              <w:ind w:left="0" w:right="0" w:hanging="200"/>
              <w:jc w:val="left"/>
              <w:rPr/>
            </w:pPr>
            <w:r>
              <w:rPr/>
              <w:t> </w:t>
            </w:r>
          </w:p>
        </w:tc>
      </w:tr>
      <w:tr>
        <w:trPr/>
        <w:tc>
          <w:tcPr>
            <w:tcW w:w="67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6740" w:type="dxa"/>
            <w:tcBorders/>
            <w:vAlign w:val="center"/>
          </w:tcPr>
          <w:p>
            <w:pPr>
              <w:pStyle w:val="TableContents"/>
              <w:bidi w:val="0"/>
              <w:spacing w:before="0" w:after="283"/>
              <w:jc w:val="left"/>
              <w:rPr/>
            </w:pPr>
            <w:r>
              <w:rPr/>
              <w:t>Intangible assets,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135,695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147,391</w:t>
            </w:r>
          </w:p>
        </w:tc>
        <w:tc>
          <w:tcPr>
            <w:tcW w:w="170" w:type="dxa"/>
            <w:tcBorders/>
            <w:vAlign w:val="center"/>
          </w:tcPr>
          <w:p>
            <w:pPr>
              <w:pStyle w:val="TableContents"/>
              <w:bidi w:val="0"/>
              <w:spacing w:before="0" w:after="283"/>
              <w:ind w:left="0" w:right="0" w:hanging="200"/>
              <w:jc w:val="left"/>
              <w:rPr/>
            </w:pPr>
            <w:r>
              <w:rPr/>
              <w:t> </w:t>
            </w:r>
          </w:p>
        </w:tc>
      </w:tr>
      <w:tr>
        <w:trPr/>
        <w:tc>
          <w:tcPr>
            <w:tcW w:w="6740" w:type="dxa"/>
            <w:tcBorders/>
            <w:shd w:fill="CCEEFF" w:val="clear"/>
            <w:vAlign w:val="center"/>
          </w:tcPr>
          <w:p>
            <w:pPr>
              <w:pStyle w:val="TableContents"/>
              <w:bidi w:val="0"/>
              <w:spacing w:before="0" w:after="283"/>
              <w:jc w:val="left"/>
              <w:rPr/>
            </w:pPr>
            <w:r>
              <w:rPr/>
              <w:t>Goodwill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4,183,232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4,183,232</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6,442,340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9,981,930</w:t>
            </w:r>
          </w:p>
        </w:tc>
        <w:tc>
          <w:tcPr>
            <w:tcW w:w="170" w:type="dxa"/>
            <w:tcBorders/>
            <w:vAlign w:val="center"/>
          </w:tcPr>
          <w:p>
            <w:pPr>
              <w:pStyle w:val="TableContents"/>
              <w:bidi w:val="0"/>
              <w:spacing w:before="0" w:after="283"/>
              <w:ind w:left="0" w:right="0" w:hanging="200"/>
              <w:jc w:val="left"/>
              <w:rPr/>
            </w:pPr>
            <w:r>
              <w:rPr/>
              <w:t> </w:t>
            </w:r>
          </w:p>
        </w:tc>
      </w:tr>
      <w:tr>
        <w:trPr/>
        <w:tc>
          <w:tcPr>
            <w:tcW w:w="67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center"/>
              <w:rPr/>
            </w:pPr>
            <w:r>
              <w:rPr/>
              <w:t>LIABILITIES AND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200"/>
              <w:jc w:val="left"/>
              <w:rPr/>
            </w:pPr>
            <w:r>
              <w:rPr/>
              <w:t> </w:t>
            </w:r>
          </w:p>
        </w:tc>
      </w:tr>
      <w:tr>
        <w:trPr/>
        <w:tc>
          <w:tcPr>
            <w:tcW w:w="6740"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Accounts payable and accrued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851,904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876,168</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Commission liability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5,390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4,934</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Deferred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384,755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477,058</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1,242,049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1,358,160</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1,242,049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1,358,160</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6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200"/>
              <w:jc w:val="left"/>
              <w:rPr/>
            </w:pPr>
            <w:r>
              <w:rPr/>
              <w:t> </w:t>
            </w:r>
          </w:p>
        </w:tc>
      </w:tr>
      <w:tr>
        <w:trPr/>
        <w:tc>
          <w:tcPr>
            <w:tcW w:w="6740" w:type="dxa"/>
            <w:tcBorders/>
            <w:shd w:fill="CCEEFF" w:val="clear"/>
            <w:vAlign w:val="center"/>
          </w:tcPr>
          <w:p>
            <w:pPr>
              <w:pStyle w:val="TableContents"/>
              <w:bidi w:val="0"/>
              <w:spacing w:before="0" w:after="283"/>
              <w:jc w:val="left"/>
              <w:rPr/>
            </w:pPr>
            <w:r>
              <w:rPr/>
              <w:t>Commitments and Contingencies (Note 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6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200"/>
              <w:jc w:val="left"/>
              <w:rPr/>
            </w:pPr>
            <w:r>
              <w:rPr/>
              <w:t> </w:t>
            </w:r>
          </w:p>
        </w:tc>
      </w:tr>
      <w:tr>
        <w:trPr/>
        <w:tc>
          <w:tcPr>
            <w:tcW w:w="6740" w:type="dxa"/>
            <w:tcBorders/>
            <w:shd w:fill="CCEEFF" w:val="clear"/>
            <w:vAlign w:val="center"/>
          </w:tcPr>
          <w:p>
            <w:pPr>
              <w:pStyle w:val="TableContents"/>
              <w:bidi w:val="0"/>
              <w:spacing w:before="0" w:after="283"/>
              <w:jc w:val="left"/>
              <w:rPr/>
            </w:pPr>
            <w:r>
              <w:rPr/>
              <w:t>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740" w:type="dxa"/>
            <w:tcBorders/>
            <w:vAlign w:val="center"/>
          </w:tcPr>
          <w:p>
            <w:pPr>
              <w:pStyle w:val="TableContents"/>
              <w:bidi w:val="0"/>
              <w:spacing w:before="0" w:after="283"/>
              <w:jc w:val="left"/>
              <w:rPr/>
            </w:pPr>
            <w:r>
              <w:rPr/>
              <w:t>Common stock, $0.0001 par value, 150,000,000 shares authorized as of March 31, 2026 and December 31, 2025 respectively; 16,132,487 shares issued and outstanding as of March 31, 2026 and December 31,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1,613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1,613</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201,393,571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200,353,514</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(196,204,945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(191,741,409</w:t>
            </w:r>
          </w:p>
        </w:tc>
        <w:tc>
          <w:tcPr>
            <w:tcW w:w="170" w:type="dxa"/>
            <w:tcBorders/>
            <w:vAlign w:val="center"/>
          </w:tcPr>
          <w:p>
            <w:pPr>
              <w:pStyle w:val="TableContents"/>
              <w:bidi w:val="0"/>
              <w:spacing w:before="0" w:after="283"/>
              <w:jc w:val="left"/>
              <w:rPr/>
            </w:pPr>
            <w:r>
              <w:rPr/>
              <w:t>)</w:t>
            </w:r>
          </w:p>
        </w:tc>
      </w:tr>
      <w:tr>
        <w:trPr/>
        <w:tc>
          <w:tcPr>
            <w:tcW w:w="6740" w:type="dxa"/>
            <w:tcBorders/>
            <w:shd w:fill="CCEEFF" w:val="clear"/>
            <w:vAlign w:val="center"/>
          </w:tcPr>
          <w:p>
            <w:pPr>
              <w:pStyle w:val="TableContents"/>
              <w:bidi w:val="0"/>
              <w:spacing w:before="0" w:after="283"/>
              <w:jc w:val="left"/>
              <w:rPr/>
            </w:pPr>
            <w:r>
              <w:rPr/>
              <w:t>Accumulated comprehensive income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10,052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10,052</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5,200,291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8,623,770</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6,442,340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9,981,930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780" w:type="dxa"/>
        <w:jc w:val="left"/>
        <w:tblInd w:w="0" w:type="dxa"/>
        <w:tblLayout w:type="fixed"/>
        <w:tblCellMar>
          <w:top w:w="0" w:type="dxa"/>
          <w:left w:w="0" w:type="dxa"/>
          <w:bottom w:w="0" w:type="dxa"/>
          <w:right w:w="0" w:type="dxa"/>
        </w:tblCellMar>
      </w:tblPr>
      <w:tblGrid>
        <w:gridCol w:w="5705"/>
        <w:gridCol w:w="90"/>
        <w:gridCol w:w="170"/>
        <w:gridCol w:w="1130"/>
        <w:gridCol w:w="125"/>
        <w:gridCol w:w="90"/>
        <w:gridCol w:w="170"/>
        <w:gridCol w:w="1130"/>
        <w:gridCol w:w="170"/>
      </w:tblGrid>
      <w:tr>
        <w:trPr/>
        <w:tc>
          <w:tcPr>
            <w:tcW w:w="57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vAlign w:val="center"/>
          </w:tcPr>
          <w:p>
            <w:pPr>
              <w:pStyle w:val="TableContents"/>
              <w:bidi w:val="0"/>
              <w:spacing w:before="0" w:after="283"/>
              <w:jc w:val="center"/>
              <w:rPr>
                <w:b/>
              </w:rPr>
            </w:pPr>
            <w:r>
              <w:rPr>
                <w:b/>
              </w:rPr>
              <w:t>Three Months Ended</w:t>
            </w:r>
          </w:p>
        </w:tc>
        <w:tc>
          <w:tcPr>
            <w:tcW w:w="170"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70"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480,151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296,256</w:t>
            </w:r>
          </w:p>
        </w:tc>
        <w:tc>
          <w:tcPr>
            <w:tcW w:w="170"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2,835,908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2,645,700</w:t>
            </w:r>
          </w:p>
        </w:tc>
        <w:tc>
          <w:tcPr>
            <w:tcW w:w="170"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Research and development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2,113,187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1,998,663</w:t>
            </w:r>
          </w:p>
        </w:tc>
        <w:tc>
          <w:tcPr>
            <w:tcW w:w="17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11,696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30,192</w:t>
            </w:r>
          </w:p>
        </w:tc>
        <w:tc>
          <w:tcPr>
            <w:tcW w:w="170"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4,960,791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4,674,555</w:t>
            </w:r>
          </w:p>
        </w:tc>
        <w:tc>
          <w:tcPr>
            <w:tcW w:w="17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(4,480,640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(4,378,299</w:t>
            </w:r>
          </w:p>
        </w:tc>
        <w:tc>
          <w:tcPr>
            <w:tcW w:w="170" w:type="dxa"/>
            <w:tcBorders/>
            <w:vAlign w:val="center"/>
          </w:tcPr>
          <w:p>
            <w:pPr>
              <w:pStyle w:val="TableContents"/>
              <w:bidi w:val="0"/>
              <w:spacing w:before="0" w:after="283"/>
              <w:jc w:val="left"/>
              <w:rPr/>
            </w:pPr>
            <w:r>
              <w:rPr/>
              <w:t>)</w:t>
            </w:r>
          </w:p>
        </w:tc>
      </w:tr>
      <w:tr>
        <w:trPr/>
        <w:tc>
          <w:tcPr>
            <w:tcW w:w="57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Other income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19,532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51,544</w:t>
            </w:r>
          </w:p>
        </w:tc>
        <w:tc>
          <w:tcPr>
            <w:tcW w:w="170"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Interest expense,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(2,428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(12,712</w:t>
            </w:r>
          </w:p>
        </w:tc>
        <w:tc>
          <w:tcPr>
            <w:tcW w:w="170" w:type="dxa"/>
            <w:tcBorders/>
            <w:vAlign w:val="center"/>
          </w:tcPr>
          <w:p>
            <w:pPr>
              <w:pStyle w:val="TableContents"/>
              <w:bidi w:val="0"/>
              <w:spacing w:before="0" w:after="283"/>
              <w:jc w:val="left"/>
              <w:rPr/>
            </w:pPr>
            <w:r>
              <w:rPr/>
              <w:t>)</w:t>
            </w:r>
          </w:p>
        </w:tc>
      </w:tr>
      <w:tr>
        <w:trPr/>
        <w:tc>
          <w:tcPr>
            <w:tcW w:w="5705" w:type="dxa"/>
            <w:tcBorders/>
            <w:shd w:fill="CCEEFF" w:val="clear"/>
            <w:vAlign w:val="center"/>
          </w:tcPr>
          <w:p>
            <w:pPr>
              <w:pStyle w:val="TableContents"/>
              <w:bidi w:val="0"/>
              <w:spacing w:before="0" w:after="283"/>
              <w:jc w:val="left"/>
              <w:rPr/>
            </w:pPr>
            <w:r>
              <w:rPr/>
              <w:t>Other income,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17,104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38,832</w:t>
            </w:r>
          </w:p>
        </w:tc>
        <w:tc>
          <w:tcPr>
            <w:tcW w:w="170"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Loss from operations before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(4,463,536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(4,339,467</w:t>
            </w:r>
          </w:p>
        </w:tc>
        <w:tc>
          <w:tcPr>
            <w:tcW w:w="170" w:type="dxa"/>
            <w:tcBorders/>
            <w:shd w:fill="CCEEFF" w:val="clear"/>
            <w:vAlign w:val="center"/>
          </w:tcPr>
          <w:p>
            <w:pPr>
              <w:pStyle w:val="TableContents"/>
              <w:bidi w:val="0"/>
              <w:spacing w:before="0" w:after="283"/>
              <w:jc w:val="left"/>
              <w:rPr/>
            </w:pPr>
            <w:r>
              <w:rPr/>
              <w:t>)</w:t>
            </w:r>
          </w:p>
        </w:tc>
      </w:tr>
      <w:tr>
        <w:trPr/>
        <w:tc>
          <w:tcPr>
            <w:tcW w:w="5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(4,463,536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(4,339,467</w:t>
            </w:r>
          </w:p>
        </w:tc>
        <w:tc>
          <w:tcPr>
            <w:tcW w:w="170" w:type="dxa"/>
            <w:tcBorders/>
            <w:shd w:fill="CCEEFF" w:val="clear"/>
            <w:vAlign w:val="center"/>
          </w:tcPr>
          <w:p>
            <w:pPr>
              <w:pStyle w:val="TableContents"/>
              <w:bidi w:val="0"/>
              <w:spacing w:before="0" w:after="283"/>
              <w:jc w:val="left"/>
              <w:rPr/>
            </w:pPr>
            <w:r>
              <w:rPr/>
              <w:t>)</w:t>
            </w:r>
          </w:p>
        </w:tc>
      </w:tr>
      <w:tr>
        <w:trPr/>
        <w:tc>
          <w:tcPr>
            <w:tcW w:w="5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(4,463,536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(4,339,467</w:t>
            </w:r>
          </w:p>
        </w:tc>
        <w:tc>
          <w:tcPr>
            <w:tcW w:w="170" w:type="dxa"/>
            <w:tcBorders/>
            <w:shd w:fill="CCEEFF" w:val="clear"/>
            <w:vAlign w:val="center"/>
          </w:tcPr>
          <w:p>
            <w:pPr>
              <w:pStyle w:val="TableContents"/>
              <w:bidi w:val="0"/>
              <w:spacing w:before="0" w:after="283"/>
              <w:jc w:val="left"/>
              <w:rPr/>
            </w:pPr>
            <w:r>
              <w:rPr/>
              <w:t>)</w:t>
            </w:r>
          </w:p>
        </w:tc>
      </w:tr>
      <w:tr>
        <w:trPr/>
        <w:tc>
          <w:tcPr>
            <w:tcW w:w="5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Net Loss Per Share - 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(0.28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(0.40</w:t>
            </w:r>
          </w:p>
        </w:tc>
        <w:tc>
          <w:tcPr>
            <w:tcW w:w="170" w:type="dxa"/>
            <w:tcBorders/>
            <w:shd w:fill="CCEEFF" w:val="clear"/>
            <w:vAlign w:val="center"/>
          </w:tcPr>
          <w:p>
            <w:pPr>
              <w:pStyle w:val="TableContents"/>
              <w:bidi w:val="0"/>
              <w:spacing w:before="0" w:after="283"/>
              <w:jc w:val="left"/>
              <w:rPr/>
            </w:pPr>
            <w:r>
              <w:rPr/>
              <w:t>)</w:t>
            </w:r>
          </w:p>
        </w:tc>
      </w:tr>
      <w:tr>
        <w:trPr/>
        <w:tc>
          <w:tcPr>
            <w:tcW w:w="5705" w:type="dxa"/>
            <w:tcBorders/>
            <w:vAlign w:val="center"/>
          </w:tcPr>
          <w:p>
            <w:pPr>
              <w:pStyle w:val="TableContents"/>
              <w:bidi w:val="0"/>
              <w:spacing w:before="0" w:after="283"/>
              <w:jc w:val="left"/>
              <w:rPr/>
            </w:pPr>
            <w:r>
              <w:rPr/>
              <w:t>Weighted Average Shares Outstanding - Basic and Diluted: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16,132,487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10,920,909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CONDENSED 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6740" w:type="dxa"/>
        <w:jc w:val="left"/>
        <w:tblInd w:w="0" w:type="dxa"/>
        <w:tblLayout w:type="fixed"/>
        <w:tblCellMar>
          <w:top w:w="0" w:type="dxa"/>
          <w:left w:w="0" w:type="dxa"/>
          <w:bottom w:w="0" w:type="dxa"/>
          <w:right w:w="0" w:type="dxa"/>
        </w:tblCellMar>
      </w:tblPr>
      <w:tblGrid>
        <w:gridCol w:w="3755"/>
        <w:gridCol w:w="90"/>
        <w:gridCol w:w="170"/>
        <w:gridCol w:w="1085"/>
        <w:gridCol w:w="125"/>
        <w:gridCol w:w="90"/>
        <w:gridCol w:w="170"/>
        <w:gridCol w:w="1085"/>
        <w:gridCol w:w="170"/>
      </w:tblGrid>
      <w:tr>
        <w:trPr/>
        <w:tc>
          <w:tcPr>
            <w:tcW w:w="37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vAlign w:val="center"/>
          </w:tcPr>
          <w:p>
            <w:pPr>
              <w:pStyle w:val="TableContents"/>
              <w:bidi w:val="0"/>
              <w:spacing w:before="0" w:after="283"/>
              <w:jc w:val="center"/>
              <w:rPr>
                <w:b/>
              </w:rPr>
            </w:pPr>
            <w:r>
              <w:rPr>
                <w:b/>
              </w:rPr>
              <w:t>Three Months Ended</w:t>
            </w:r>
          </w:p>
        </w:tc>
        <w:tc>
          <w:tcPr>
            <w:tcW w:w="17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7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(4,463,536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(4,339,467</w:t>
            </w:r>
          </w:p>
        </w:tc>
        <w:tc>
          <w:tcPr>
            <w:tcW w:w="17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Foreign currency translation gain/(loss)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(208</w:t>
            </w:r>
          </w:p>
        </w:tc>
        <w:tc>
          <w:tcPr>
            <w:tcW w:w="17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Comprehensive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(4,463,536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(4,339,675</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 xml:space="preserve">CONDENSED CONSOLIDATED STATEMENTS OF CHANGES IN STOCKHOLDERS’ EQUITY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530" w:type="dxa"/>
        <w:jc w:val="left"/>
        <w:tblInd w:w="0" w:type="dxa"/>
        <w:tblLayout w:type="fixed"/>
        <w:tblCellMar>
          <w:top w:w="0" w:type="dxa"/>
          <w:left w:w="0" w:type="dxa"/>
          <w:bottom w:w="0" w:type="dxa"/>
          <w:right w:w="0" w:type="dxa"/>
        </w:tblCellMar>
      </w:tblPr>
      <w:tblGrid>
        <w:gridCol w:w="1370"/>
        <w:gridCol w:w="90"/>
        <w:gridCol w:w="90"/>
        <w:gridCol w:w="1130"/>
        <w:gridCol w:w="90"/>
        <w:gridCol w:w="90"/>
        <w:gridCol w:w="199"/>
        <w:gridCol w:w="691"/>
        <w:gridCol w:w="90"/>
        <w:gridCol w:w="90"/>
        <w:gridCol w:w="170"/>
        <w:gridCol w:w="1250"/>
        <w:gridCol w:w="90"/>
        <w:gridCol w:w="90"/>
        <w:gridCol w:w="170"/>
        <w:gridCol w:w="1325"/>
        <w:gridCol w:w="125"/>
        <w:gridCol w:w="90"/>
        <w:gridCol w:w="316"/>
        <w:gridCol w:w="1324"/>
        <w:gridCol w:w="125"/>
        <w:gridCol w:w="90"/>
        <w:gridCol w:w="170"/>
        <w:gridCol w:w="1130"/>
        <w:gridCol w:w="135"/>
      </w:tblGrid>
      <w:tr>
        <w:trPr/>
        <w:tc>
          <w:tcPr>
            <w:tcW w:w="137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Other</w:t>
              <w:br/>
              <w:t>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Balances,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10,920,909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1,092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185,312,508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(173,808,529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10,118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11,515,189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454,339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454,339</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(4,339,467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(4,339,467</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Foreign currency translation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tcMar>
              <w:bottom w:w="28" w:type="dxa"/>
            </w:tcMar>
            <w:vAlign w:val="center"/>
          </w:tcPr>
          <w:p>
            <w:pPr>
              <w:pStyle w:val="TableContents"/>
              <w:bidi w:val="0"/>
              <w:spacing w:before="0" w:after="283"/>
              <w:jc w:val="right"/>
              <w:rPr/>
            </w:pPr>
            <w:r>
              <w:rPr/>
              <w:t>(208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(208</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Balances,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10,920,909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pPr>
            <w:r>
              <w:rPr/>
              <w:t>1,092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185,766,847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(178,147,996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4" w:type="dxa"/>
            <w:tcBorders>
              <w:bottom w:val="double" w:sz="10" w:space="0" w:color="000000"/>
            </w:tcBorders>
            <w:shd w:fill="CCEEFF" w:val="clear"/>
            <w:tcMar>
              <w:bottom w:w="28" w:type="dxa"/>
            </w:tcMar>
            <w:vAlign w:val="center"/>
          </w:tcPr>
          <w:p>
            <w:pPr>
              <w:pStyle w:val="TableContents"/>
              <w:bidi w:val="0"/>
              <w:spacing w:before="0" w:after="283"/>
              <w:jc w:val="right"/>
              <w:rPr/>
            </w:pPr>
            <w:r>
              <w:rPr/>
              <w:t>9,910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7,629,853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Balances,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16,132,487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1,613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200,353,514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(191,741,409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10,052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8,623,770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840,807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840,807</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Restricted stock award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199,250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(4,463,536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(4,463,536</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Foreign currency translation</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ind w:left="0" w:right="0" w:hanging="180"/>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Balances, March 31, 2026</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16,132,487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tcMar>
              <w:bottom w:w="28" w:type="dxa"/>
            </w:tcMar>
            <w:vAlign w:val="center"/>
          </w:tcPr>
          <w:p>
            <w:pPr>
              <w:pStyle w:val="TableContents"/>
              <w:bidi w:val="0"/>
              <w:spacing w:before="0" w:after="283"/>
              <w:jc w:val="right"/>
              <w:rPr/>
            </w:pPr>
            <w:r>
              <w:rPr/>
              <w:t>1,613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201,393,571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(196,204,945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16" w:type="dxa"/>
            <w:tcBorders>
              <w:bottom w:val="double" w:sz="10" w:space="0" w:color="000000"/>
            </w:tcBorders>
            <w:tcMar>
              <w:bottom w:w="28" w:type="dxa"/>
            </w:tcMar>
            <w:vAlign w:val="center"/>
          </w:tcPr>
          <w:p>
            <w:pPr>
              <w:pStyle w:val="TableContents"/>
              <w:bidi w:val="0"/>
              <w:spacing w:before="0" w:after="283"/>
              <w:jc w:val="left"/>
              <w:rPr/>
            </w:pPr>
            <w:r>
              <w:rPr/>
              <w:t>$</w:t>
            </w:r>
          </w:p>
        </w:tc>
        <w:tc>
          <w:tcPr>
            <w:tcW w:w="1324" w:type="dxa"/>
            <w:tcBorders>
              <w:bottom w:val="double" w:sz="10" w:space="0" w:color="000000"/>
            </w:tcBorders>
            <w:tcMar>
              <w:bottom w:w="28" w:type="dxa"/>
            </w:tcMar>
            <w:vAlign w:val="center"/>
          </w:tcPr>
          <w:p>
            <w:pPr>
              <w:pStyle w:val="TableContents"/>
              <w:bidi w:val="0"/>
              <w:spacing w:before="0" w:after="283"/>
              <w:jc w:val="right"/>
              <w:rPr/>
            </w:pPr>
            <w:r>
              <w:rPr/>
              <w:t>10,052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5,200,291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305" w:type="dxa"/>
        <w:jc w:val="left"/>
        <w:tblInd w:w="0" w:type="dxa"/>
        <w:tblLayout w:type="fixed"/>
        <w:tblCellMar>
          <w:top w:w="0" w:type="dxa"/>
          <w:left w:w="0" w:type="dxa"/>
          <w:bottom w:w="0" w:type="dxa"/>
          <w:right w:w="0" w:type="dxa"/>
        </w:tblCellMar>
      </w:tblPr>
      <w:tblGrid>
        <w:gridCol w:w="6320"/>
        <w:gridCol w:w="90"/>
        <w:gridCol w:w="170"/>
        <w:gridCol w:w="1085"/>
        <w:gridCol w:w="125"/>
        <w:gridCol w:w="90"/>
        <w:gridCol w:w="170"/>
        <w:gridCol w:w="1085"/>
        <w:gridCol w:w="170"/>
      </w:tblGrid>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vAlign w:val="center"/>
          </w:tcPr>
          <w:p>
            <w:pPr>
              <w:pStyle w:val="TableContents"/>
              <w:bidi w:val="0"/>
              <w:spacing w:before="0" w:after="283"/>
              <w:jc w:val="center"/>
              <w:rPr>
                <w:b/>
              </w:rPr>
            </w:pPr>
            <w:r>
              <w:rPr>
                <w:b/>
              </w:rPr>
              <w:t>Three Months Ended</w:t>
            </w:r>
          </w:p>
        </w:tc>
        <w:tc>
          <w:tcPr>
            <w:tcW w:w="170"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70"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CASH FLOWS FROM OPERATING ACTIVITIES:</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(4,463,536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(4,339,467</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Adjustments to reconcile net loss with cash flows from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1,040,057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454,339</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Amortization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11,696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34,308</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(99,895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(930,667</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Contract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9,362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(60,692</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Deferred contract cost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32,539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22,559</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169,097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(163,283</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Accounts payable and accrued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(24,264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(903,476</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Commission liability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(268,138</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Deferred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(92,303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796,211</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Net cash flows from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(3,416,791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(5,358,306</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Purchase of intangible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(1,700</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Net 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(1,700</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Repayment of convertible notes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(245,000</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Net 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(245,000</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Effect of foreign currencies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(208</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Net Change in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(3,416,791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(5,605,214</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Cash, Beginning of the Period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4,608,073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8,471,561</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Cash, End of the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1,191,282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2,866,347</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Supplemental Disclosure of Cash Flow Information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Cash paid for interest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13,137</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authID INC. AND SUBSIDIARIES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 accompanying condensed consolidated financial statements are prepared in accordance with instructions for Form 10-Q and,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(“US GAAP”) have been condensed or omitted. It is suggested that these condensed consolidated financial statements be read in conjunction with the Company’s Annual Report on Form 10-K for the year ended December 31, 2025. The results of operations for the three months ended March 31, 2026 are not necessarily indicative of the results to be expected for future periods or the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authID Inc. and its wholly-owned subsidiaries ID Solutions, Inc., Innovation in Motion Inc., FIN Holdings Inc., authID Enterprises Limited (formerly Ipsidy Enterprises Limited), and authID Gaming Inc. (collectively the “Company”). All significant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have been prepared in accordance with accounting principles generally accepted in the United States (“US GAAP”) assuming the Company will continue on a going concern basis, which implies the Company will continue to meet its obligations and continue its operations for the next year following the issuance date of these consolidated financial statements. As of March 31, 2026, the Company had an accumulated deficit of approximately $196.2 million. For the three months ended March 31, 2026, the Company earned revenue of approximately $0.5 million, used $3.4 million to fund its operations, and incurred a net loss from operations of approximately $4.5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financial support from the Company’s stockholders,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 In April 2026, the Company raised a total of approximately $3.6 million after expenses from accredited investors through the sale of approximately $4.2 million Senior Secured Debentures pursuant to a private placement.  Going forward, the Company plans to raise additional funds as needed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 for a period of twelve months from the date these consolidated financial statements were issued.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Common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potential dilutive common shares if their effect is anti-dilutive. The following potentially dilutive securities were excluded from the calculation of diluted loss per share for the three months ended March 31, 2026 and 2025 because their effect was antidilutive:</w:t>
      </w:r>
    </w:p>
    <w:p>
      <w:pPr>
        <w:pStyle w:val="TextBody"/>
        <w:bidi w:val="0"/>
        <w:spacing w:before="0" w:after="0"/>
        <w:ind w:left="0" w:right="0" w:hanging="0"/>
        <w:jc w:val="both"/>
        <w:rPr>
          <w:caps w:val="false"/>
          <w:smallCaps w:val="false"/>
        </w:rPr>
      </w:pPr>
      <w:r>
        <w:rPr>
          <w:caps w:val="false"/>
          <w:smallCaps w:val="false"/>
        </w:rPr>
        <w:t> </w:t>
      </w:r>
    </w:p>
    <w:tbl>
      <w:tblPr>
        <w:tblW w:w="3960" w:type="dxa"/>
        <w:jc w:val="left"/>
        <w:tblInd w:w="0" w:type="dxa"/>
        <w:tblLayout w:type="fixed"/>
        <w:tblCellMar>
          <w:top w:w="0" w:type="dxa"/>
          <w:left w:w="0" w:type="dxa"/>
          <w:bottom w:w="28" w:type="dxa"/>
          <w:right w:w="0" w:type="dxa"/>
        </w:tblCellMar>
      </w:tblPr>
      <w:tblGrid>
        <w:gridCol w:w="1355"/>
        <w:gridCol w:w="90"/>
        <w:gridCol w:w="90"/>
        <w:gridCol w:w="1010"/>
        <w:gridCol w:w="90"/>
        <w:gridCol w:w="90"/>
        <w:gridCol w:w="90"/>
        <w:gridCol w:w="1010"/>
        <w:gridCol w:w="135"/>
      </w:tblGrid>
      <w:tr>
        <w:trPr/>
        <w:tc>
          <w:tcPr>
            <w:tcW w:w="1355" w:type="dxa"/>
            <w:tcBorders>
              <w:bottom w:val="single" w:sz="12" w:space="0" w:color="000000"/>
            </w:tcBorders>
            <w:vAlign w:val="center"/>
          </w:tcPr>
          <w:p>
            <w:pPr>
              <w:pStyle w:val="TableContents"/>
              <w:bidi w:val="0"/>
              <w:spacing w:before="0" w:after="283"/>
              <w:jc w:val="left"/>
              <w:rPr>
                <w:b/>
              </w:rPr>
            </w:pPr>
            <w:r>
              <w:rPr>
                <w:b/>
              </w:rPr>
              <w:t>Security</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2025</w:t>
            </w:r>
          </w:p>
        </w:tc>
        <w:tc>
          <w:tcPr>
            <w:tcW w:w="135" w:type="dxa"/>
            <w:tcBorders/>
            <w:tcMar>
              <w:bottom w:w="0" w:type="dxa"/>
            </w:tcMar>
            <w:vAlign w:val="center"/>
          </w:tcPr>
          <w:p>
            <w:pPr>
              <w:pStyle w:val="TableContents"/>
              <w:bidi w:val="0"/>
              <w:spacing w:before="0" w:after="283"/>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Warrants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1,139,778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697,446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355" w:type="dxa"/>
            <w:tcBorders/>
            <w:tcMar>
              <w:bottom w:w="0" w:type="dxa"/>
            </w:tcMar>
            <w:vAlign w:val="center"/>
          </w:tcPr>
          <w:p>
            <w:pPr>
              <w:pStyle w:val="TableContents"/>
              <w:bidi w:val="0"/>
              <w:spacing w:before="0" w:after="283"/>
              <w:jc w:val="left"/>
              <w:rPr/>
            </w:pPr>
            <w:r>
              <w:rPr/>
              <w:t>Stock options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2,352,932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2,135,985</w:t>
            </w:r>
          </w:p>
        </w:tc>
        <w:tc>
          <w:tcPr>
            <w:tcW w:w="135" w:type="dxa"/>
            <w:tcBorders/>
            <w:tcMar>
              <w:bottom w:w="0" w:type="dxa"/>
            </w:tcMar>
            <w:vAlign w:val="center"/>
          </w:tcPr>
          <w:p>
            <w:pPr>
              <w:pStyle w:val="TableContents"/>
              <w:bidi w:val="0"/>
              <w:spacing w:before="0" w:after="283"/>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CCEEFF" w:val="clear"/>
            <w:vAlign w:val="center"/>
          </w:tcPr>
          <w:p>
            <w:pPr>
              <w:pStyle w:val="TableContents"/>
              <w:bidi w:val="0"/>
              <w:spacing w:before="0" w:after="283"/>
              <w:jc w:val="left"/>
              <w:rPr/>
            </w:pPr>
            <w:r>
              <w:rPr/>
              <w:t> </w:t>
            </w:r>
          </w:p>
        </w:tc>
        <w:tc>
          <w:tcPr>
            <w:tcW w:w="1010" w:type="dxa"/>
            <w:tcBorders>
              <w:bottom w:val="double" w:sz="10" w:space="0" w:color="000000"/>
            </w:tcBorders>
            <w:shd w:fill="CCEEFF" w:val="clear"/>
            <w:vAlign w:val="center"/>
          </w:tcPr>
          <w:p>
            <w:pPr>
              <w:pStyle w:val="TableContents"/>
              <w:bidi w:val="0"/>
              <w:spacing w:before="0" w:after="283"/>
              <w:jc w:val="right"/>
              <w:rPr/>
            </w:pPr>
            <w:r>
              <w:rPr/>
              <w:t>3,492,710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CCEEFF" w:val="clear"/>
            <w:vAlign w:val="center"/>
          </w:tcPr>
          <w:p>
            <w:pPr>
              <w:pStyle w:val="TableContents"/>
              <w:bidi w:val="0"/>
              <w:spacing w:before="0" w:after="283"/>
              <w:jc w:val="left"/>
              <w:rPr/>
            </w:pPr>
            <w:r>
              <w:rPr/>
              <w:t> </w:t>
            </w:r>
          </w:p>
        </w:tc>
        <w:tc>
          <w:tcPr>
            <w:tcW w:w="1010" w:type="dxa"/>
            <w:tcBorders>
              <w:bottom w:val="double" w:sz="10" w:space="0" w:color="000000"/>
            </w:tcBorders>
            <w:shd w:fill="CCEEFF" w:val="clear"/>
            <w:vAlign w:val="center"/>
          </w:tcPr>
          <w:p>
            <w:pPr>
              <w:pStyle w:val="TableContents"/>
              <w:bidi w:val="0"/>
              <w:spacing w:before="0" w:after="283"/>
              <w:jc w:val="right"/>
              <w:rPr/>
            </w:pPr>
            <w:r>
              <w:rPr/>
              <w:t>2,833,431</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defined as gross revenues, less discounts and sales concessions.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Software License </w:t>
      </w:r>
      <w:r>
        <w:rPr>
          <w:rFonts w:ascii="Times New Roman;Times;Serif" w:hAnsi="Times New Roman;Times;Serif"/>
          <w:b w:val="false"/>
          <w:i w:val="false"/>
          <w:caps w:val="false"/>
          <w:smallCaps w:val="false"/>
          <w:sz w:val="20"/>
        </w:rPr>
        <w:t>– The Company recognizes revenue based on the identified performance obligations over the performance period for fixed consideration and / or variable fees generated. Variable fees are typically earned over time based on monthly users, transaction volumes or a monthly flat fee rate. We allocate the selling price in a contract which has multiple performance obligations based on the contract selling price that we believe represents a fair market price for the service rendered based on estimated standalone selling price. Transaction fees are billed monthly and are constrained to transactions incurred within the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minimum annual fees, the Company generally recognizes the amount of revenue ratably over the contract year and records contract assets for the amount in excess of monthly contract billings relating to variable contract consideration. For certain contracts, the Company enters into an agreement which stipulates a minimum annual fee which is generally due at the end of the contract year, in excess of the amount of monthly billings. The Company may also require milestone payments of the minimum annual fee. The amount of any billed fees in excess of revenue recognized is recorded as deferred revenue. The Company accounts for price concessions as reductions to the transaction price under ASC 606. Price concessions represent implied or estimated future reductions in consideration that the Company expects to grant, based on known facts and circumstances, including customer usage patterns and strategic considerations. These concessions are treated as variable consideration and are included in the transaction price only to the extent that it is probable that a significant reversal of cumulative revenue will not occur when the uncertainty is resolved. The Company did not grant any concessions during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usage-based fees in excess of the minimum contract amount are charged to the customer and allocated to the annual period in which they are earned under the contract. At the beginning of each annual period in the contract, the Company estimates the variable amounts for the annual period subject to the constrained variable consideration (usage-based fees) and recognizes that amount on a time-elapsed basis over the annual period. At each reporting date within an annual period, the Company reassesses its estimate of the excess variable amounts for the annual period and updates the amount recognized on a time-elapsed basis over the remainder of the annual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deferred revenue contract liabilities of approximately $385,000 and $477,000 as of March 31, 2026 and December 31, 2025 respectively for certain revenue that will be earned in future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Company’s Remaining Performance Obligation (RPO) was $2.0 million, of which $0.38 million is recorded as deferred revenue and $1.62 million is related to other non-cancellable contracted amounts. The Company expects approximately 71% of the RPO to be recognized as revenue over the twelve months ending March 31, 2027, based on contractual commitments and expected usage patterns However, the amount and timing of revenue recognition are generally dependent upon customers’ future consumption, which is inherently variable at customers’ discretion. Furthermore, the Company does not have sufficient historical information to estimate the timing of recognition of revenue due to its current operations and has approximated such amount based on discussions with the contracted parties.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customers are granted credit on a short-term basis. Accounts receivable, net is stated net of the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estimated credit losses. This allowance is based upon historical loss patterns, the number of days that billings are past due, and evaluation of the potential risk of loss associated with delinquent accounts, current market conditions and reasonable and supportable forecasts of future billable product usage compared with contracted minimums. The Company records the allowance against bad debt expense through the condensed consolidated statement of operations, included in general and administrative expense, up to the amount of revenue recognized to date. Any incremental allowance is recorded as an offset to unearned revenue on the condensed consolidated balance sheet. Receivables are written off and charged against recorded allowance when the Company has exhausted collection efforts without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accounts receivable and contract assets balances using the Current Expected Credit Loss (“CECL”) model in accordance with ASC 326. The Company routinely reviews its accounts receivables and contract assets and uses a risk-based probability-weighted approach to record provisions. However, those provisions are estimates and actual results could differ from those estimates, and those differences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no allowance for credit losses as of March 31, 2026 and 2025 respectively. Credit loss write-offs during the three months ended March 31, 2026 and 2025 were $0 and $149,720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potentially expose the Company to a concentration of credit risk consist of cash and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is deposited at financial institutions and cash balances held in United States (“US”) bank accounts are insured by the Federal Deposit Insurance Corporation (“FDIC”) up to $250,000. Cash balances are generally in excess of the amounts insured by FDIC. At March 31, 2026, the Company had approximately $1.2 million in funds in the United States which are approximately $0.9 million in excess of the insured amounts by the FDIC. For the Company’s foreign subsidiaries, no amounts are insured.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also exposed to concentration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three customers represented 81% of gross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three customers represented 68% of gross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three customers accounted for 76% of the Company’s gross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two customers accounted for 72% of the Company’s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two customers accounted for 77% of the Company’s Remaining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two customers accounted for 84% of the Company’s Remaining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Contract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defer the portion of sales commission that is considered a cost of obtaining a new contract with a customer and amortize these deferred costs over the period of benefit. We expense the remaining sales commissions as incurred. The following table summarizes deferred contract cost activity for the period ended March 31, 2026:</w:t>
      </w:r>
    </w:p>
    <w:p>
      <w:pPr>
        <w:pStyle w:val="TextBody"/>
        <w:bidi w:val="0"/>
        <w:spacing w:before="0" w:after="0"/>
        <w:ind w:left="0" w:right="0" w:hanging="0"/>
        <w:jc w:val="left"/>
        <w:rPr>
          <w:caps w:val="false"/>
          <w:smallCaps w:val="false"/>
        </w:rPr>
      </w:pPr>
      <w:r>
        <w:rPr>
          <w:caps w:val="false"/>
          <w:smallCaps w:val="false"/>
        </w:rPr>
        <w:t> </w:t>
      </w:r>
    </w:p>
    <w:tbl>
      <w:tblPr>
        <w:tblW w:w="5535" w:type="dxa"/>
        <w:jc w:val="left"/>
        <w:tblInd w:w="0" w:type="dxa"/>
        <w:tblLayout w:type="fixed"/>
        <w:tblCellMar>
          <w:top w:w="0" w:type="dxa"/>
          <w:left w:w="0" w:type="dxa"/>
          <w:bottom w:w="0" w:type="dxa"/>
          <w:right w:w="0" w:type="dxa"/>
        </w:tblCellMar>
      </w:tblPr>
      <w:tblGrid>
        <w:gridCol w:w="3695"/>
        <w:gridCol w:w="90"/>
        <w:gridCol w:w="268"/>
        <w:gridCol w:w="1312"/>
        <w:gridCol w:w="170"/>
      </w:tblGrid>
      <w:tr>
        <w:trPr/>
        <w:tc>
          <w:tcPr>
            <w:tcW w:w="36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Deferred</w:t>
              <w:br/>
              <w:t>Contract Costs</w:t>
            </w:r>
          </w:p>
        </w:tc>
        <w:tc>
          <w:tcPr>
            <w:tcW w:w="170" w:type="dxa"/>
            <w:tcBorders/>
            <w:vAlign w:val="center"/>
          </w:tcPr>
          <w:p>
            <w:pPr>
              <w:pStyle w:val="TableContents"/>
              <w:bidi w:val="0"/>
              <w:spacing w:before="0" w:after="283"/>
              <w:jc w:val="center"/>
              <w:rPr/>
            </w:pPr>
            <w:r>
              <w:rPr/>
              <w:t> </w:t>
            </w:r>
          </w:p>
        </w:tc>
      </w:tr>
      <w:tr>
        <w:trPr/>
        <w:tc>
          <w:tcPr>
            <w:tcW w:w="3695" w:type="dxa"/>
            <w:tcBorders/>
            <w:shd w:fill="CCEEFF" w:val="clear"/>
            <w:vAlign w:val="center"/>
          </w:tcPr>
          <w:p>
            <w:pPr>
              <w:pStyle w:val="TableContents"/>
              <w:bidi w:val="0"/>
              <w:spacing w:before="0" w:after="283"/>
              <w:jc w:val="left"/>
              <w:rPr/>
            </w:pPr>
            <w:r>
              <w:rPr/>
              <w:t>Carrying Value at December 31, 2025</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199,380</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right"/>
              <w:rPr/>
            </w:pPr>
            <w:r>
              <w:rPr/>
              <w:t>3,053</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Reductions</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Amortization</w:t>
            </w:r>
          </w:p>
        </w:tc>
        <w:tc>
          <w:tcPr>
            <w:tcW w:w="90" w:type="dxa"/>
            <w:tcBorders/>
            <w:vAlign w:val="center"/>
          </w:tcPr>
          <w:p>
            <w:pPr>
              <w:pStyle w:val="TableContents"/>
              <w:bidi w:val="0"/>
              <w:spacing w:before="0" w:after="283"/>
              <w:jc w:val="left"/>
              <w:rPr/>
            </w:pPr>
            <w:r>
              <w:rPr/>
              <w:t> </w:t>
            </w:r>
          </w:p>
        </w:tc>
        <w:tc>
          <w:tcPr>
            <w:tcW w:w="26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2" w:type="dxa"/>
            <w:tcBorders>
              <w:bottom w:val="single" w:sz="12" w:space="0" w:color="000000"/>
            </w:tcBorders>
            <w:tcMar>
              <w:bottom w:w="28" w:type="dxa"/>
            </w:tcMar>
            <w:vAlign w:val="center"/>
          </w:tcPr>
          <w:p>
            <w:pPr>
              <w:pStyle w:val="TableContents"/>
              <w:bidi w:val="0"/>
              <w:spacing w:before="0" w:after="283"/>
              <w:jc w:val="right"/>
              <w:rPr/>
            </w:pPr>
            <w:r>
              <w:rPr/>
              <w:t>(35,592</w:t>
            </w:r>
          </w:p>
        </w:tc>
        <w:tc>
          <w:tcPr>
            <w:tcW w:w="170" w:type="dxa"/>
            <w:tcBorders/>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Carrying Value at March 31, 2026</w:t>
            </w:r>
          </w:p>
        </w:tc>
        <w:tc>
          <w:tcPr>
            <w:tcW w:w="90" w:type="dxa"/>
            <w:tcBorders/>
            <w:shd w:fill="CCEEFF" w:val="clear"/>
            <w:vAlign w:val="center"/>
          </w:tcPr>
          <w:p>
            <w:pPr>
              <w:pStyle w:val="TableContents"/>
              <w:bidi w:val="0"/>
              <w:spacing w:before="0" w:after="283"/>
              <w:jc w:val="left"/>
              <w:rPr/>
            </w:pPr>
            <w:r>
              <w:rPr/>
              <w:t> </w:t>
            </w:r>
          </w:p>
        </w:tc>
        <w:tc>
          <w:tcPr>
            <w:tcW w:w="2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12" w:type="dxa"/>
            <w:tcBorders>
              <w:bottom w:val="double" w:sz="10" w:space="0" w:color="000000"/>
            </w:tcBorders>
            <w:shd w:fill="CCEEFF" w:val="clear"/>
            <w:tcMar>
              <w:bottom w:w="28" w:type="dxa"/>
            </w:tcMar>
            <w:vAlign w:val="center"/>
          </w:tcPr>
          <w:p>
            <w:pPr>
              <w:pStyle w:val="TableContents"/>
              <w:bidi w:val="0"/>
              <w:spacing w:before="0" w:after="283"/>
              <w:jc w:val="right"/>
              <w:rPr/>
            </w:pPr>
            <w:r>
              <w:rPr/>
              <w:t>166,841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consisted of the following at March 31, 2026 and December 31, 2025:</w:t>
      </w:r>
    </w:p>
    <w:p>
      <w:pPr>
        <w:pStyle w:val="TextBody"/>
        <w:bidi w:val="0"/>
        <w:spacing w:before="0" w:after="0"/>
        <w:ind w:left="0" w:right="0" w:hanging="0"/>
        <w:jc w:val="both"/>
        <w:rPr>
          <w:caps w:val="false"/>
          <w:smallCaps w:val="false"/>
        </w:rPr>
      </w:pPr>
      <w:r>
        <w:rPr>
          <w:caps w:val="false"/>
          <w:smallCaps w:val="false"/>
        </w:rPr>
        <w:t> </w:t>
      </w:r>
    </w:p>
    <w:tbl>
      <w:tblPr>
        <w:tblW w:w="7229" w:type="dxa"/>
        <w:jc w:val="left"/>
        <w:tblInd w:w="0" w:type="dxa"/>
        <w:tblLayout w:type="fixed"/>
        <w:tblCellMar>
          <w:top w:w="0" w:type="dxa"/>
          <w:left w:w="0" w:type="dxa"/>
          <w:bottom w:w="0" w:type="dxa"/>
          <w:right w:w="0" w:type="dxa"/>
        </w:tblCellMar>
      </w:tblPr>
      <w:tblGrid>
        <w:gridCol w:w="4280"/>
        <w:gridCol w:w="90"/>
        <w:gridCol w:w="187"/>
        <w:gridCol w:w="913"/>
        <w:gridCol w:w="90"/>
        <w:gridCol w:w="90"/>
        <w:gridCol w:w="245"/>
        <w:gridCol w:w="1199"/>
        <w:gridCol w:w="135"/>
      </w:tblGrid>
      <w:tr>
        <w:trPr/>
        <w:tc>
          <w:tcPr>
            <w:tcW w:w="4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Prepaid third-party and related party services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335,661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246,964</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Prepaid insurance</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65,934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164,836</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Commissions advances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183,892</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Deferred offering costs</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tcMar>
              <w:bottom w:w="28" w:type="dxa"/>
            </w:tcMar>
            <w:vAlign w:val="center"/>
          </w:tcPr>
          <w:p>
            <w:pPr>
              <w:pStyle w:val="TableContents"/>
              <w:bidi w:val="0"/>
              <w:spacing w:before="0" w:after="283"/>
              <w:jc w:val="right"/>
              <w:rPr/>
            </w:pPr>
            <w:r>
              <w:rPr/>
              <w:t>25,000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pPr>
            <w:r>
              <w:rPr/>
              <w:t>426,595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595,692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INTANGIBLE ASSETS, NET (OTHER THAN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primarily consist of acquired and developed software that is being amortized over their estimated useful lives as indicated below. The following is a summary of activity related to intangible assets for the three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7769" w:type="dxa"/>
        <w:jc w:val="left"/>
        <w:tblInd w:w="0" w:type="dxa"/>
        <w:tblLayout w:type="fixed"/>
        <w:tblCellMar>
          <w:top w:w="0" w:type="dxa"/>
          <w:left w:w="0" w:type="dxa"/>
          <w:bottom w:w="0" w:type="dxa"/>
          <w:right w:w="0" w:type="dxa"/>
        </w:tblCellMar>
      </w:tblPr>
      <w:tblGrid>
        <w:gridCol w:w="3695"/>
        <w:gridCol w:w="90"/>
        <w:gridCol w:w="281"/>
        <w:gridCol w:w="1178"/>
        <w:gridCol w:w="125"/>
        <w:gridCol w:w="90"/>
        <w:gridCol w:w="170"/>
        <w:gridCol w:w="755"/>
        <w:gridCol w:w="125"/>
        <w:gridCol w:w="90"/>
        <w:gridCol w:w="170"/>
        <w:gridCol w:w="830"/>
        <w:gridCol w:w="170"/>
      </w:tblGrid>
      <w:tr>
        <w:trPr/>
        <w:tc>
          <w:tcPr>
            <w:tcW w:w="36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Acquired and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Developed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Software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Patents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Useful Lives</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 Years</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 Years</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Carrying Value at December 31, 2025</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50,147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97,244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147,391</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Amortization</w:t>
            </w:r>
          </w:p>
        </w:tc>
        <w:tc>
          <w:tcPr>
            <w:tcW w:w="90" w:type="dxa"/>
            <w:tcBorders/>
            <w:shd w:fill="CCEEFF" w:val="clear"/>
            <w:vAlign w:val="center"/>
          </w:tcPr>
          <w:p>
            <w:pPr>
              <w:pStyle w:val="TableContents"/>
              <w:bidi w:val="0"/>
              <w:spacing w:before="0" w:after="283"/>
              <w:jc w:val="left"/>
              <w:rPr/>
            </w:pPr>
            <w:r>
              <w:rPr/>
              <w:t> </w:t>
            </w:r>
          </w:p>
        </w:tc>
        <w:tc>
          <w:tcPr>
            <w:tcW w:w="2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(7,101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(4,595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(11,696</w:t>
            </w:r>
          </w:p>
        </w:tc>
        <w:tc>
          <w:tcPr>
            <w:tcW w:w="170" w:type="dxa"/>
            <w:tcBorders/>
            <w:shd w:fill="CCEEFF" w:val="clear"/>
            <w:vAlign w:val="center"/>
          </w:tcPr>
          <w:p>
            <w:pPr>
              <w:pStyle w:val="TableContents"/>
              <w:bidi w:val="0"/>
              <w:spacing w:before="0" w:after="283"/>
              <w:jc w:val="left"/>
              <w:rPr/>
            </w:pPr>
            <w:r>
              <w:rPr/>
              <w:t>)</w:t>
            </w:r>
          </w:p>
        </w:tc>
      </w:tr>
      <w:tr>
        <w:trPr/>
        <w:tc>
          <w:tcPr>
            <w:tcW w:w="3695" w:type="dxa"/>
            <w:tcBorders/>
            <w:vAlign w:val="center"/>
          </w:tcPr>
          <w:p>
            <w:pPr>
              <w:pStyle w:val="TableContents"/>
              <w:bidi w:val="0"/>
              <w:spacing w:before="0" w:after="283"/>
              <w:jc w:val="left"/>
              <w:rPr/>
            </w:pPr>
            <w:r>
              <w:rPr/>
              <w:t>Carrying Value at March 31, 2026</w:t>
            </w:r>
          </w:p>
        </w:tc>
        <w:tc>
          <w:tcPr>
            <w:tcW w:w="90" w:type="dxa"/>
            <w:tcBorders/>
            <w:vAlign w:val="center"/>
          </w:tcPr>
          <w:p>
            <w:pPr>
              <w:pStyle w:val="TableContents"/>
              <w:bidi w:val="0"/>
              <w:spacing w:before="0" w:after="283"/>
              <w:jc w:val="left"/>
              <w:rPr/>
            </w:pPr>
            <w:r>
              <w:rPr/>
              <w:t> </w:t>
            </w:r>
          </w:p>
        </w:tc>
        <w:tc>
          <w:tcPr>
            <w:tcW w:w="281" w:type="dxa"/>
            <w:tcBorders>
              <w:bottom w:val="double" w:sz="10" w:space="0" w:color="000000"/>
            </w:tcBorders>
            <w:tcMar>
              <w:bottom w:w="28" w:type="dxa"/>
            </w:tcMar>
            <w:vAlign w:val="center"/>
          </w:tcPr>
          <w:p>
            <w:pPr>
              <w:pStyle w:val="TableContents"/>
              <w:bidi w:val="0"/>
              <w:spacing w:before="0" w:after="283"/>
              <w:jc w:val="left"/>
              <w:rPr/>
            </w:pPr>
            <w:r>
              <w:rPr/>
              <w:t>$</w:t>
            </w:r>
          </w:p>
        </w:tc>
        <w:tc>
          <w:tcPr>
            <w:tcW w:w="1178" w:type="dxa"/>
            <w:tcBorders>
              <w:bottom w:val="double" w:sz="10" w:space="0" w:color="000000"/>
            </w:tcBorders>
            <w:tcMar>
              <w:bottom w:w="28" w:type="dxa"/>
            </w:tcMar>
            <w:vAlign w:val="center"/>
          </w:tcPr>
          <w:p>
            <w:pPr>
              <w:pStyle w:val="TableContents"/>
              <w:bidi w:val="0"/>
              <w:spacing w:before="0" w:after="283"/>
              <w:jc w:val="right"/>
              <w:rPr/>
            </w:pPr>
            <w:r>
              <w:rPr/>
              <w:t>43,046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tcMar>
              <w:bottom w:w="28" w:type="dxa"/>
            </w:tcMar>
            <w:vAlign w:val="center"/>
          </w:tcPr>
          <w:p>
            <w:pPr>
              <w:pStyle w:val="TableContents"/>
              <w:bidi w:val="0"/>
              <w:spacing w:before="0" w:after="283"/>
              <w:jc w:val="right"/>
              <w:rPr/>
            </w:pPr>
            <w:r>
              <w:rPr/>
              <w:t>92,649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135,695</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intangible assets as of March 31, 2026:</w:t>
      </w:r>
    </w:p>
    <w:p>
      <w:pPr>
        <w:pStyle w:val="TextBody"/>
        <w:bidi w:val="0"/>
        <w:spacing w:before="0" w:after="0"/>
        <w:ind w:left="0" w:right="0" w:hanging="0"/>
        <w:jc w:val="left"/>
        <w:rPr>
          <w:caps w:val="false"/>
          <w:smallCaps w:val="false"/>
        </w:rPr>
      </w:pPr>
      <w:r>
        <w:rPr>
          <w:caps w:val="false"/>
          <w:smallCaps w:val="false"/>
        </w:rPr>
        <w:t> </w:t>
      </w:r>
    </w:p>
    <w:tbl>
      <w:tblPr>
        <w:tblW w:w="7739" w:type="dxa"/>
        <w:jc w:val="left"/>
        <w:tblInd w:w="0" w:type="dxa"/>
        <w:tblLayout w:type="fixed"/>
        <w:tblCellMar>
          <w:top w:w="0" w:type="dxa"/>
          <w:left w:w="0" w:type="dxa"/>
          <w:bottom w:w="0" w:type="dxa"/>
          <w:right w:w="0" w:type="dxa"/>
        </w:tblCellMar>
      </w:tblPr>
      <w:tblGrid>
        <w:gridCol w:w="3335"/>
        <w:gridCol w:w="90"/>
        <w:gridCol w:w="197"/>
        <w:gridCol w:w="1262"/>
        <w:gridCol w:w="125"/>
        <w:gridCol w:w="90"/>
        <w:gridCol w:w="170"/>
        <w:gridCol w:w="830"/>
        <w:gridCol w:w="125"/>
        <w:gridCol w:w="90"/>
        <w:gridCol w:w="170"/>
        <w:gridCol w:w="1085"/>
        <w:gridCol w:w="170"/>
      </w:tblGrid>
      <w:tr>
        <w:trPr/>
        <w:tc>
          <w:tcPr>
            <w:tcW w:w="33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Acquired and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Developed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Software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Patents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Cost</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62" w:type="dxa"/>
            <w:tcBorders/>
            <w:shd w:fill="CCEEFF" w:val="clear"/>
            <w:vAlign w:val="center"/>
          </w:tcPr>
          <w:p>
            <w:pPr>
              <w:pStyle w:val="TableContents"/>
              <w:bidi w:val="0"/>
              <w:spacing w:before="0" w:after="283"/>
              <w:jc w:val="right"/>
              <w:rPr/>
            </w:pPr>
            <w:r>
              <w:rPr/>
              <w:t>1,803,273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183,899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1,987,172</w:t>
            </w:r>
          </w:p>
        </w:tc>
        <w:tc>
          <w:tcPr>
            <w:tcW w:w="170"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Accumulated amortization</w:t>
            </w:r>
          </w:p>
        </w:tc>
        <w:tc>
          <w:tcPr>
            <w:tcW w:w="9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2" w:type="dxa"/>
            <w:tcBorders>
              <w:bottom w:val="single" w:sz="12" w:space="0" w:color="000000"/>
            </w:tcBorders>
            <w:tcMar>
              <w:bottom w:w="28" w:type="dxa"/>
            </w:tcMar>
            <w:vAlign w:val="center"/>
          </w:tcPr>
          <w:p>
            <w:pPr>
              <w:pStyle w:val="TableContents"/>
              <w:bidi w:val="0"/>
              <w:spacing w:before="0" w:after="283"/>
              <w:jc w:val="right"/>
              <w:rPr/>
            </w:pPr>
            <w:r>
              <w:rPr/>
              <w:t>(1,760,227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(91,250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(1,851,477</w:t>
            </w:r>
          </w:p>
        </w:tc>
        <w:tc>
          <w:tcPr>
            <w:tcW w:w="170" w:type="dxa"/>
            <w:tcBorders/>
            <w:vAlign w:val="center"/>
          </w:tcPr>
          <w:p>
            <w:pPr>
              <w:pStyle w:val="TableContents"/>
              <w:bidi w:val="0"/>
              <w:spacing w:before="0" w:after="283"/>
              <w:jc w:val="left"/>
              <w:rPr/>
            </w:pPr>
            <w:r>
              <w:rPr/>
              <w:t>)</w:t>
            </w:r>
          </w:p>
        </w:tc>
      </w:tr>
      <w:tr>
        <w:trPr/>
        <w:tc>
          <w:tcPr>
            <w:tcW w:w="3335" w:type="dxa"/>
            <w:tcBorders/>
            <w:shd w:fill="CCEEFF" w:val="clear"/>
            <w:vAlign w:val="center"/>
          </w:tcPr>
          <w:p>
            <w:pPr>
              <w:pStyle w:val="TableContents"/>
              <w:bidi w:val="0"/>
              <w:spacing w:before="0" w:after="283"/>
              <w:jc w:val="left"/>
              <w:rPr/>
            </w:pPr>
            <w:r>
              <w:rPr/>
              <w:t>Carrying Value at March 31, 2026</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2" w:type="dxa"/>
            <w:tcBorders>
              <w:bottom w:val="double" w:sz="10" w:space="0" w:color="000000"/>
            </w:tcBorders>
            <w:shd w:fill="CCEEFF" w:val="clear"/>
            <w:tcMar>
              <w:bottom w:w="28" w:type="dxa"/>
            </w:tcMar>
            <w:vAlign w:val="center"/>
          </w:tcPr>
          <w:p>
            <w:pPr>
              <w:pStyle w:val="TableContents"/>
              <w:bidi w:val="0"/>
              <w:spacing w:before="0" w:after="283"/>
              <w:jc w:val="right"/>
              <w:rPr/>
            </w:pPr>
            <w:r>
              <w:rPr/>
              <w:t>43,046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92,649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135,695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totaled approximately $12,000 and $30,000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expected amortization of intangible assets is as follows:</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2915"/>
        <w:gridCol w:w="90"/>
        <w:gridCol w:w="170"/>
        <w:gridCol w:w="830"/>
        <w:gridCol w:w="135"/>
      </w:tblGrid>
      <w:tr>
        <w:trPr/>
        <w:tc>
          <w:tcPr>
            <w:tcW w:w="2915" w:type="dxa"/>
            <w:tcBorders/>
            <w:shd w:fill="CCEEFF" w:val="clear"/>
            <w:vAlign w:val="center"/>
          </w:tcPr>
          <w:p>
            <w:pPr>
              <w:pStyle w:val="TableContents"/>
              <w:bidi w:val="0"/>
              <w:spacing w:before="0" w:after="283"/>
              <w:jc w:val="left"/>
              <w:rPr/>
            </w:pPr>
            <w:r>
              <w:rPr/>
              <w:t>2026 (Remainder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32,331</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2027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37,242</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2028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24,057</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2029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18,389</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2030</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15,169</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Thereafter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8,507</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135,695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impairment indicators noted with respect to Company’s long-lived assets, including intangible assets,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consisted of the following as of March 31, 2026 and December 31, 2025:</w:t>
      </w:r>
    </w:p>
    <w:p>
      <w:pPr>
        <w:pStyle w:val="TextBody"/>
        <w:bidi w:val="0"/>
        <w:spacing w:before="0" w:after="0"/>
        <w:ind w:left="0" w:right="0" w:hanging="0"/>
        <w:jc w:val="both"/>
        <w:rPr>
          <w:caps w:val="false"/>
          <w:smallCaps w:val="false"/>
        </w:rPr>
      </w:pPr>
      <w:r>
        <w:rPr>
          <w:caps w:val="false"/>
          <w:smallCaps w:val="false"/>
        </w:rPr>
        <w:t> </w:t>
      </w:r>
    </w:p>
    <w:tbl>
      <w:tblPr>
        <w:tblW w:w="6734" w:type="dxa"/>
        <w:jc w:val="left"/>
        <w:tblInd w:w="0" w:type="dxa"/>
        <w:tblLayout w:type="fixed"/>
        <w:tblCellMar>
          <w:top w:w="0" w:type="dxa"/>
          <w:left w:w="0" w:type="dxa"/>
          <w:bottom w:w="0" w:type="dxa"/>
          <w:right w:w="0" w:type="dxa"/>
        </w:tblCellMar>
      </w:tblPr>
      <w:tblGrid>
        <w:gridCol w:w="3785"/>
        <w:gridCol w:w="90"/>
        <w:gridCol w:w="187"/>
        <w:gridCol w:w="913"/>
        <w:gridCol w:w="90"/>
        <w:gridCol w:w="90"/>
        <w:gridCol w:w="245"/>
        <w:gridCol w:w="1199"/>
        <w:gridCol w:w="135"/>
      </w:tblGrid>
      <w:tr>
        <w:trPr/>
        <w:tc>
          <w:tcPr>
            <w:tcW w:w="37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Trade payables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418,558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346,709</w:t>
            </w:r>
          </w:p>
        </w:tc>
        <w:tc>
          <w:tcPr>
            <w:tcW w:w="13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Accrued payroll and related obligations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284,242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284,242</w:t>
            </w:r>
          </w:p>
        </w:tc>
        <w:tc>
          <w:tcPr>
            <w:tcW w:w="13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Other accrued expenses</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149,104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245,217</w:t>
            </w:r>
          </w:p>
        </w:tc>
        <w:tc>
          <w:tcPr>
            <w:tcW w:w="13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bottom w:val="double" w:sz="10" w:space="0" w:color="000000"/>
            </w:tcBorders>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tcMar>
              <w:bottom w:w="28" w:type="dxa"/>
            </w:tcMar>
            <w:vAlign w:val="center"/>
          </w:tcPr>
          <w:p>
            <w:pPr>
              <w:pStyle w:val="TableContents"/>
              <w:bidi w:val="0"/>
              <w:spacing w:before="0" w:after="283"/>
              <w:jc w:val="right"/>
              <w:rPr/>
            </w:pPr>
            <w:r>
              <w:rPr/>
              <w:t>851,904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tcMar>
              <w:bottom w:w="28" w:type="dxa"/>
            </w:tcMar>
            <w:vAlign w:val="center"/>
          </w:tcPr>
          <w:p>
            <w:pPr>
              <w:pStyle w:val="TableContents"/>
              <w:bidi w:val="0"/>
              <w:spacing w:before="0" w:after="283"/>
              <w:jc w:val="right"/>
              <w:rPr/>
            </w:pPr>
            <w:r>
              <w:rPr/>
              <w:t>876,168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the Company entered into a services agreement with The Pipeline Group, Inc. (“TPG”). Ken Jisser, a director of the Company, is the founder and CEO of TPG, a technology-enabled services company that aims to deliver business results for companies looking to build a predictable and profitable pipeline. The agreement provides that TPG will assist in providing outsourced sales including business development resources for outbound calling, provide support for automated dialing technology, classify customer data and other sales related services for an initial term of one year. On October 25, 2023, on December 19, 2023 and on August 26, 2024, the Company entered into amendments to the above services agreement, pursuant to which TPG will provide certain additional services to the Company. In consideration of the services, the Company paid TPG $70,000 per month. On September 26, 2025 and April 13, 2026, the Company signed another amendment with TPG to reduce the monthly fees to $42,000 and $13,500, respectively. The September amendment is effective October 1, 2025 and the April amendment is effective June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 incurred under contract during the three months ended March 31, 2026 was approximately $126,000. Total expense incurred under contract during the three months ended March 31, 2025 was approximately $210,000.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2025, the Company entered into a services agreement with TPG. The agreement provides that the Company will provide biometric authentication services to TPG for an initial term of two years, with an annual license fee of $2,500 and monthly minimum fees ramping to $1,000 per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June 2023, the Company has employed Dale Daguro, the brother of our CEO, Rhon Daguro as a VP Sales. Dale Daguro’s employment is at will and may be terminated at any time, with or without cause. Dale’s compensation is commensurate with other executives employed by the Company at a similar level of seniority and experience. During the three months ended March 31, 2026, Dale Daguro earned approximately $55,000 in base salary and sales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common stock issued during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warrant activity for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7144" w:type="dxa"/>
        <w:jc w:val="left"/>
        <w:tblInd w:w="0" w:type="dxa"/>
        <w:tblLayout w:type="fixed"/>
        <w:tblCellMar>
          <w:top w:w="0" w:type="dxa"/>
          <w:left w:w="0" w:type="dxa"/>
          <w:bottom w:w="0" w:type="dxa"/>
          <w:right w:w="0" w:type="dxa"/>
        </w:tblCellMar>
      </w:tblPr>
      <w:tblGrid>
        <w:gridCol w:w="3215"/>
        <w:gridCol w:w="90"/>
        <w:gridCol w:w="94"/>
        <w:gridCol w:w="1065"/>
        <w:gridCol w:w="90"/>
        <w:gridCol w:w="90"/>
        <w:gridCol w:w="272"/>
        <w:gridCol w:w="753"/>
        <w:gridCol w:w="90"/>
        <w:gridCol w:w="90"/>
        <w:gridCol w:w="176"/>
        <w:gridCol w:w="984"/>
        <w:gridCol w:w="135"/>
      </w:tblGrid>
      <w:tr>
        <w:trPr/>
        <w:tc>
          <w:tcPr>
            <w:tcW w:w="3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Life</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December 31, 2025</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1,139,778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753" w:type="dxa"/>
            <w:tcBorders/>
            <w:shd w:fill="CCEEFF" w:val="clear"/>
            <w:vAlign w:val="center"/>
          </w:tcPr>
          <w:p>
            <w:pPr>
              <w:pStyle w:val="TableContents"/>
              <w:bidi w:val="0"/>
              <w:spacing w:before="0" w:after="283"/>
              <w:jc w:val="right"/>
              <w:rPr/>
            </w:pPr>
            <w:r>
              <w:rPr/>
              <w:t>4.36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 xml:space="preserve">4.0 Years </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75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Exercised/Cancelled</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Outstanding, March 31, 2026</w:t>
            </w:r>
          </w:p>
        </w:tc>
        <w:tc>
          <w:tcPr>
            <w:tcW w:w="90" w:type="dxa"/>
            <w:tcBorders/>
            <w:vAlign w:val="center"/>
          </w:tcPr>
          <w:p>
            <w:pPr>
              <w:pStyle w:val="TableContents"/>
              <w:bidi w:val="0"/>
              <w:spacing w:before="0" w:after="283"/>
              <w:jc w:val="left"/>
              <w:rPr/>
            </w:pPr>
            <w:r>
              <w:rPr/>
              <w:t> </w:t>
            </w:r>
          </w:p>
        </w:tc>
        <w:tc>
          <w:tcPr>
            <w:tcW w:w="94" w:type="dxa"/>
            <w:tcBorders>
              <w:bottom w:val="double" w:sz="10" w:space="0" w:color="000000"/>
            </w:tcBorders>
            <w:tcMar>
              <w:bottom w:w="28" w:type="dxa"/>
            </w:tcMar>
            <w:vAlign w:val="center"/>
          </w:tcPr>
          <w:p>
            <w:pPr>
              <w:pStyle w:val="TableContents"/>
              <w:bidi w:val="0"/>
              <w:spacing w:before="0" w:after="283"/>
              <w:jc w:val="left"/>
              <w:rPr/>
            </w:pPr>
            <w:r>
              <w:rPr/>
              <w:t> </w:t>
            </w:r>
          </w:p>
        </w:tc>
        <w:tc>
          <w:tcPr>
            <w:tcW w:w="1065" w:type="dxa"/>
            <w:tcBorders>
              <w:bottom w:val="double" w:sz="10" w:space="0" w:color="000000"/>
            </w:tcBorders>
            <w:tcMar>
              <w:bottom w:w="28" w:type="dxa"/>
            </w:tcMar>
            <w:vAlign w:val="center"/>
          </w:tcPr>
          <w:p>
            <w:pPr>
              <w:pStyle w:val="TableContents"/>
              <w:bidi w:val="0"/>
              <w:spacing w:before="0" w:after="283"/>
              <w:jc w:val="right"/>
              <w:rPr/>
            </w:pPr>
            <w:r>
              <w:rPr/>
              <w:t>1,139,778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double" w:sz="10" w:space="0" w:color="000000"/>
            </w:tcBorders>
            <w:tcMar>
              <w:bottom w:w="28" w:type="dxa"/>
            </w:tcMar>
            <w:vAlign w:val="center"/>
          </w:tcPr>
          <w:p>
            <w:pPr>
              <w:pStyle w:val="TableContents"/>
              <w:bidi w:val="0"/>
              <w:spacing w:before="0" w:after="283"/>
              <w:jc w:val="left"/>
              <w:rPr/>
            </w:pPr>
            <w:r>
              <w:rPr/>
              <w:t>$</w:t>
            </w:r>
          </w:p>
        </w:tc>
        <w:tc>
          <w:tcPr>
            <w:tcW w:w="753" w:type="dxa"/>
            <w:tcBorders>
              <w:bottom w:val="double" w:sz="10" w:space="0" w:color="000000"/>
            </w:tcBorders>
            <w:tcMar>
              <w:bottom w:w="28" w:type="dxa"/>
            </w:tcMar>
            <w:vAlign w:val="center"/>
          </w:tcPr>
          <w:p>
            <w:pPr>
              <w:pStyle w:val="TableContents"/>
              <w:bidi w:val="0"/>
              <w:spacing w:before="0" w:after="283"/>
              <w:jc w:val="right"/>
              <w:rPr/>
            </w:pPr>
            <w:r>
              <w:rPr/>
              <w:t>4.36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pPr>
            <w:r>
              <w:rPr/>
              <w:t> </w:t>
            </w:r>
          </w:p>
        </w:tc>
        <w:tc>
          <w:tcPr>
            <w:tcW w:w="984" w:type="dxa"/>
            <w:tcBorders>
              <w:bottom w:val="double" w:sz="10" w:space="0" w:color="000000"/>
            </w:tcBorders>
            <w:tcMar>
              <w:bottom w:w="28" w:type="dxa"/>
            </w:tcMar>
            <w:vAlign w:val="center"/>
          </w:tcPr>
          <w:p>
            <w:pPr>
              <w:pStyle w:val="TableContents"/>
              <w:bidi w:val="0"/>
              <w:spacing w:before="0" w:after="283"/>
              <w:jc w:val="right"/>
              <w:rPr/>
            </w:pPr>
            <w:r>
              <w:rPr/>
              <w:t> </w:t>
            </w:r>
            <w:r>
              <w:rPr>
                <w:rFonts w:ascii="Times New Roman;Times;Serif" w:hAnsi="Times New Roman;Times;Serif"/>
                <w:sz w:val="20"/>
              </w:rPr>
              <w:t xml:space="preserve">3.8 Years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2025, the Company granted 200,000 restricted stock awards (RSAs) at par value to non-employee advisors under advisory agreements. The awards were issued on the grant date and vest in four equal tranches of 50,000 shares each: (i) immediately upon execution of the advisory agreements on March 30, 2025, (ii) six months later, (iii) twelve months later, and (iv) eighteen months later. The Company has the option to repurchase all or a portion of unvested shares in the event that the advisors voluntarily cease to serve as an advisor of the Company. The fair value per share on the grant date was $7.97, resulting in a total grant-date fair value of $1,594,000. As of September 30, 2025, $797,000 of fair value was recognized as expense, with $797,000 of unrecognized compensation expense to be recognized through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RSA activity for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5608" w:type="dxa"/>
        <w:jc w:val="left"/>
        <w:tblInd w:w="0" w:type="dxa"/>
        <w:tblLayout w:type="fixed"/>
        <w:tblCellMar>
          <w:top w:w="0" w:type="dxa"/>
          <w:left w:w="0" w:type="dxa"/>
          <w:bottom w:w="0" w:type="dxa"/>
          <w:right w:w="0" w:type="dxa"/>
        </w:tblCellMar>
      </w:tblPr>
      <w:tblGrid>
        <w:gridCol w:w="3215"/>
        <w:gridCol w:w="90"/>
        <w:gridCol w:w="92"/>
        <w:gridCol w:w="857"/>
        <w:gridCol w:w="90"/>
        <w:gridCol w:w="90"/>
        <w:gridCol w:w="275"/>
        <w:gridCol w:w="764"/>
        <w:gridCol w:w="135"/>
      </w:tblGrid>
      <w:tr>
        <w:trPr/>
        <w:tc>
          <w:tcPr>
            <w:tcW w:w="3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w:t>
              <w:b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br/>
              <w:t>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Price</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December 31, 2025</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7.97</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w:t>
            </w:r>
          </w:p>
        </w:tc>
        <w:tc>
          <w:tcPr>
            <w:tcW w:w="764"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7.97</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Outstanding, March 31, 2026</w:t>
            </w:r>
          </w:p>
        </w:tc>
        <w:tc>
          <w:tcPr>
            <w:tcW w:w="90" w:type="dxa"/>
            <w:tcBorders/>
            <w:vAlign w:val="center"/>
          </w:tcPr>
          <w:p>
            <w:pPr>
              <w:pStyle w:val="TableContents"/>
              <w:bidi w:val="0"/>
              <w:spacing w:before="0" w:after="283"/>
              <w:jc w:val="left"/>
              <w:rPr/>
            </w:pPr>
            <w:r>
              <w:rPr/>
              <w:t> </w:t>
            </w:r>
          </w:p>
        </w:tc>
        <w:tc>
          <w:tcPr>
            <w:tcW w:w="92" w:type="dxa"/>
            <w:tcBorders>
              <w:bottom w:val="double" w:sz="10" w:space="0" w:color="000000"/>
            </w:tcBorders>
            <w:tcMar>
              <w:bottom w:w="28" w:type="dxa"/>
            </w:tcMar>
            <w:vAlign w:val="center"/>
          </w:tcPr>
          <w:p>
            <w:pPr>
              <w:pStyle w:val="TableContents"/>
              <w:bidi w:val="0"/>
              <w:spacing w:before="0" w:after="283"/>
              <w:jc w:val="left"/>
              <w:rPr/>
            </w:pPr>
            <w:r>
              <w:rPr/>
              <w:t> </w:t>
            </w:r>
          </w:p>
        </w:tc>
        <w:tc>
          <w:tcPr>
            <w:tcW w:w="857" w:type="dxa"/>
            <w:tcBorders>
              <w:bottom w:val="double" w:sz="10" w:space="0" w:color="000000"/>
            </w:tcBorders>
            <w:tcMar>
              <w:bottom w:w="28" w:type="dxa"/>
            </w:tcMar>
            <w:vAlign w:val="center"/>
          </w:tcPr>
          <w:p>
            <w:pPr>
              <w:pStyle w:val="TableContents"/>
              <w:bidi w:val="0"/>
              <w:spacing w:before="0" w:after="283"/>
              <w:jc w:val="right"/>
              <w:rPr/>
            </w:pPr>
            <w:r>
              <w:rPr/>
              <w:t>50,000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5" w:type="dxa"/>
            <w:tcBorders>
              <w:bottom w:val="double" w:sz="10" w:space="0" w:color="000000"/>
            </w:tcBorders>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tcMar>
              <w:bottom w:w="28" w:type="dxa"/>
            </w:tcMar>
            <w:vAlign w:val="center"/>
          </w:tcPr>
          <w:p>
            <w:pPr>
              <w:pStyle w:val="TableContents"/>
              <w:bidi w:val="0"/>
              <w:spacing w:before="0" w:after="283"/>
              <w:jc w:val="right"/>
              <w:rPr/>
            </w:pPr>
            <w:r>
              <w:rPr/>
              <w:t>7.97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related to stock options for the three months ended March 31, 2026 is summarized as follows: </w:t>
      </w:r>
    </w:p>
    <w:p>
      <w:pPr>
        <w:pStyle w:val="TextBody"/>
        <w:bidi w:val="0"/>
        <w:spacing w:before="0" w:after="0"/>
        <w:ind w:left="0" w:right="0" w:hanging="0"/>
        <w:jc w:val="left"/>
        <w:rPr>
          <w:caps w:val="false"/>
          <w:smallCaps w:val="false"/>
        </w:rPr>
      </w:pPr>
      <w:r>
        <w:rPr>
          <w:caps w:val="false"/>
          <w:smallCaps w:val="false"/>
        </w:rPr>
        <w:t> </w:t>
      </w:r>
    </w:p>
    <w:tbl>
      <w:tblPr>
        <w:tblW w:w="8579" w:type="dxa"/>
        <w:jc w:val="left"/>
        <w:tblInd w:w="0" w:type="dxa"/>
        <w:tblLayout w:type="fixed"/>
        <w:tblCellMar>
          <w:top w:w="0" w:type="dxa"/>
          <w:left w:w="0" w:type="dxa"/>
          <w:bottom w:w="0" w:type="dxa"/>
          <w:right w:w="0" w:type="dxa"/>
        </w:tblCellMar>
      </w:tblPr>
      <w:tblGrid>
        <w:gridCol w:w="3215"/>
        <w:gridCol w:w="90"/>
        <w:gridCol w:w="94"/>
        <w:gridCol w:w="1065"/>
        <w:gridCol w:w="125"/>
        <w:gridCol w:w="90"/>
        <w:gridCol w:w="229"/>
        <w:gridCol w:w="796"/>
        <w:gridCol w:w="90"/>
        <w:gridCol w:w="90"/>
        <w:gridCol w:w="260"/>
        <w:gridCol w:w="1020"/>
        <w:gridCol w:w="90"/>
        <w:gridCol w:w="90"/>
        <w:gridCol w:w="633"/>
        <w:gridCol w:w="467"/>
        <w:gridCol w:w="135"/>
      </w:tblGrid>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Weighted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Weighted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Aggregate</w:t>
            </w:r>
          </w:p>
        </w:tc>
        <w:tc>
          <w:tcPr>
            <w:tcW w:w="13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Number of</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Contractual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Intrinsic</w:t>
            </w:r>
          </w:p>
        </w:tc>
        <w:tc>
          <w:tcPr>
            <w:tcW w:w="13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Life (Yrs.)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December 31, 2025</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2,391,683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18.75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w:t>
            </w:r>
          </w:p>
        </w:tc>
        <w:tc>
          <w:tcPr>
            <w:tcW w:w="467"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Forfeited/cancelled</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tcMar>
              <w:bottom w:w="28" w:type="dxa"/>
            </w:tcMar>
            <w:vAlign w:val="center"/>
          </w:tcPr>
          <w:p>
            <w:pPr>
              <w:pStyle w:val="TableContents"/>
              <w:bidi w:val="0"/>
              <w:spacing w:before="0" w:after="283"/>
              <w:jc w:val="right"/>
              <w:rPr/>
            </w:pPr>
            <w:r>
              <w:rPr/>
              <w:t>(38,751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6" w:type="dxa"/>
            <w:tcBorders>
              <w:bottom w:val="single" w:sz="12" w:space="0" w:color="000000"/>
            </w:tcBorders>
            <w:tcMar>
              <w:bottom w:w="28" w:type="dxa"/>
            </w:tcMar>
            <w:vAlign w:val="center"/>
          </w:tcPr>
          <w:p>
            <w:pPr>
              <w:pStyle w:val="TableContents"/>
              <w:bidi w:val="0"/>
              <w:spacing w:before="0" w:after="283"/>
              <w:jc w:val="right"/>
              <w:rPr/>
            </w:pPr>
            <w:r>
              <w:rPr/>
              <w:t>26.56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3" w:type="dxa"/>
            <w:tcBorders>
              <w:bottom w:val="single" w:sz="12" w:space="0" w:color="000000"/>
            </w:tcBorders>
            <w:tcMar>
              <w:bottom w:w="28" w:type="dxa"/>
            </w:tcMar>
            <w:vAlign w:val="center"/>
          </w:tcPr>
          <w:p>
            <w:pPr>
              <w:pStyle w:val="TableContents"/>
              <w:bidi w:val="0"/>
              <w:spacing w:before="0" w:after="283"/>
              <w:jc w:val="left"/>
              <w:rPr/>
            </w:pPr>
            <w:r>
              <w:rPr/>
              <w:t> </w:t>
            </w:r>
          </w:p>
        </w:tc>
        <w:tc>
          <w:tcPr>
            <w:tcW w:w="467"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March 31, 2026</w:t>
            </w:r>
          </w:p>
        </w:tc>
        <w:tc>
          <w:tcPr>
            <w:tcW w:w="9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double" w:sz="10" w:space="0" w:color="000000"/>
            </w:tcBorders>
            <w:shd w:fill="CCEEFF" w:val="clear"/>
            <w:tcMar>
              <w:bottom w:w="28" w:type="dxa"/>
            </w:tcMar>
            <w:vAlign w:val="center"/>
          </w:tcPr>
          <w:p>
            <w:pPr>
              <w:pStyle w:val="TableContents"/>
              <w:bidi w:val="0"/>
              <w:spacing w:before="0" w:after="283"/>
              <w:jc w:val="right"/>
              <w:rPr/>
            </w:pPr>
            <w:r>
              <w:rPr/>
              <w:t>2,352,932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double" w:sz="10" w:space="0" w:color="000000"/>
            </w:tcBorders>
            <w:shd w:fill="CCEEFF" w:val="clear"/>
            <w:tcMar>
              <w:bottom w:w="28" w:type="dxa"/>
            </w:tcMar>
            <w:vAlign w:val="center"/>
          </w:tcPr>
          <w:p>
            <w:pPr>
              <w:pStyle w:val="TableContents"/>
              <w:bidi w:val="0"/>
              <w:spacing w:before="0" w:after="283"/>
              <w:jc w:val="right"/>
              <w:rPr/>
            </w:pPr>
            <w:r>
              <w:rPr/>
              <w:t>11.42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3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67"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Exercisable, March 31, 2026</w:t>
            </w:r>
          </w:p>
        </w:tc>
        <w:tc>
          <w:tcPr>
            <w:tcW w:w="90" w:type="dxa"/>
            <w:tcBorders/>
            <w:vAlign w:val="center"/>
          </w:tcPr>
          <w:p>
            <w:pPr>
              <w:pStyle w:val="TableContents"/>
              <w:bidi w:val="0"/>
              <w:spacing w:before="0" w:after="283"/>
              <w:jc w:val="left"/>
              <w:rPr/>
            </w:pPr>
            <w:r>
              <w:rPr/>
              <w:t> </w:t>
            </w:r>
          </w:p>
        </w:tc>
        <w:tc>
          <w:tcPr>
            <w:tcW w:w="94" w:type="dxa"/>
            <w:tcBorders>
              <w:bottom w:val="double" w:sz="10" w:space="0" w:color="000000"/>
            </w:tcBorders>
            <w:tcMar>
              <w:bottom w:w="28" w:type="dxa"/>
            </w:tcMar>
            <w:vAlign w:val="center"/>
          </w:tcPr>
          <w:p>
            <w:pPr>
              <w:pStyle w:val="TableContents"/>
              <w:bidi w:val="0"/>
              <w:spacing w:before="0" w:after="283"/>
              <w:jc w:val="left"/>
              <w:rPr/>
            </w:pPr>
            <w:r>
              <w:rPr/>
              <w:t> </w:t>
            </w:r>
          </w:p>
        </w:tc>
        <w:tc>
          <w:tcPr>
            <w:tcW w:w="1065" w:type="dxa"/>
            <w:tcBorders>
              <w:bottom w:val="double" w:sz="10" w:space="0" w:color="000000"/>
            </w:tcBorders>
            <w:tcMar>
              <w:bottom w:w="28" w:type="dxa"/>
            </w:tcMar>
            <w:vAlign w:val="center"/>
          </w:tcPr>
          <w:p>
            <w:pPr>
              <w:pStyle w:val="TableContents"/>
              <w:bidi w:val="0"/>
              <w:spacing w:before="0" w:after="283"/>
              <w:jc w:val="right"/>
              <w:rPr/>
            </w:pPr>
            <w:r>
              <w:rPr/>
              <w:t>1,794,754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bottom w:val="double" w:sz="10" w:space="0" w:color="000000"/>
            </w:tcBorders>
            <w:tcMar>
              <w:bottom w:w="28" w:type="dxa"/>
            </w:tcMar>
            <w:vAlign w:val="center"/>
          </w:tcPr>
          <w:p>
            <w:pPr>
              <w:pStyle w:val="TableContents"/>
              <w:bidi w:val="0"/>
              <w:spacing w:before="0" w:after="283"/>
              <w:jc w:val="left"/>
              <w:rPr/>
            </w:pPr>
            <w:r>
              <w:rPr/>
              <w:t> </w:t>
            </w:r>
          </w:p>
        </w:tc>
        <w:tc>
          <w:tcPr>
            <w:tcW w:w="796" w:type="dxa"/>
            <w:tcBorders>
              <w:bottom w:val="double" w:sz="10" w:space="0" w:color="000000"/>
            </w:tcBorders>
            <w:tcMar>
              <w:bottom w:w="28" w:type="dxa"/>
            </w:tcMar>
            <w:vAlign w:val="center"/>
          </w:tcPr>
          <w:p>
            <w:pPr>
              <w:pStyle w:val="TableContents"/>
              <w:bidi w:val="0"/>
              <w:spacing w:before="0" w:after="283"/>
              <w:jc w:val="right"/>
              <w:rPr/>
            </w:pPr>
            <w:r>
              <w:rPr/>
              <w:t>10.67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3" w:type="dxa"/>
            <w:tcBorders>
              <w:bottom w:val="double" w:sz="10" w:space="0" w:color="000000"/>
            </w:tcBorders>
            <w:tcMar>
              <w:bottom w:w="28" w:type="dxa"/>
            </w:tcMar>
            <w:vAlign w:val="center"/>
          </w:tcPr>
          <w:p>
            <w:pPr>
              <w:pStyle w:val="TableContents"/>
              <w:bidi w:val="0"/>
              <w:spacing w:before="0" w:after="283"/>
              <w:jc w:val="left"/>
              <w:rPr/>
            </w:pPr>
            <w:r>
              <w:rPr/>
              <w:t> </w:t>
            </w:r>
          </w:p>
        </w:tc>
        <w:tc>
          <w:tcPr>
            <w:tcW w:w="467" w:type="dxa"/>
            <w:tcBorders>
              <w:bottom w:val="double" w:sz="10"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108"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 option information as of March 31, 2026: </w:t>
      </w:r>
    </w:p>
    <w:p>
      <w:pPr>
        <w:pStyle w:val="TextBody"/>
        <w:bidi w:val="0"/>
        <w:spacing w:before="0" w:after="0"/>
        <w:ind w:left="0" w:right="0" w:hanging="0"/>
        <w:jc w:val="left"/>
        <w:rPr>
          <w:caps w:val="false"/>
          <w:smallCaps w:val="false"/>
        </w:rPr>
      </w:pPr>
      <w:r>
        <w:rPr>
          <w:caps w:val="false"/>
          <w:smallCaps w:val="false"/>
        </w:rPr>
        <w:t> </w:t>
      </w:r>
    </w:p>
    <w:tbl>
      <w:tblPr>
        <w:tblW w:w="6140" w:type="dxa"/>
        <w:jc w:val="left"/>
        <w:tblInd w:w="0" w:type="dxa"/>
        <w:tblLayout w:type="fixed"/>
        <w:tblCellMar>
          <w:top w:w="0" w:type="dxa"/>
          <w:left w:w="0" w:type="dxa"/>
          <w:bottom w:w="0" w:type="dxa"/>
          <w:right w:w="0" w:type="dxa"/>
        </w:tblCellMar>
      </w:tblPr>
      <w:tblGrid>
        <w:gridCol w:w="1745"/>
        <w:gridCol w:w="90"/>
        <w:gridCol w:w="107"/>
        <w:gridCol w:w="1203"/>
        <w:gridCol w:w="90"/>
        <w:gridCol w:w="90"/>
        <w:gridCol w:w="261"/>
        <w:gridCol w:w="1019"/>
        <w:gridCol w:w="90"/>
        <w:gridCol w:w="90"/>
        <w:gridCol w:w="99"/>
        <w:gridCol w:w="1121"/>
        <w:gridCol w:w="135"/>
      </w:tblGrid>
      <w:tr>
        <w:trPr/>
        <w:tc>
          <w:tcPr>
            <w:tcW w:w="17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Contractual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745" w:type="dxa"/>
            <w:tcBorders>
              <w:bottom w:val="single" w:sz="12" w:space="0" w:color="000000"/>
            </w:tcBorders>
            <w:tcMar>
              <w:bottom w:w="28" w:type="dxa"/>
            </w:tcMar>
            <w:vAlign w:val="center"/>
          </w:tcPr>
          <w:p>
            <w:pPr>
              <w:pStyle w:val="TableContents"/>
              <w:bidi w:val="0"/>
              <w:spacing w:before="0" w:after="283"/>
              <w:jc w:val="left"/>
              <w:rPr>
                <w:b/>
              </w:rPr>
            </w:pPr>
            <w:r>
              <w:rPr>
                <w:b/>
              </w:rPr>
              <w:t>Exercise Price</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Life (Yrs.)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Exercisable</w:t>
            </w:r>
          </w:p>
        </w:tc>
        <w:tc>
          <w:tcPr>
            <w:tcW w:w="13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pPr>
            <w:r>
              <w:rPr/>
              <w:t>$2.64 – $5.00</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777,736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577,771</w:t>
            </w:r>
          </w:p>
        </w:tc>
        <w:tc>
          <w:tcPr>
            <w:tcW w:w="13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$5.01 – $10.00</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1,159,742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884,912</w:t>
            </w:r>
          </w:p>
        </w:tc>
        <w:tc>
          <w:tcPr>
            <w:tcW w:w="13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pPr>
            <w:r>
              <w:rPr/>
              <w:t>$10.01 – $15.00</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42,578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42,578</w:t>
            </w:r>
          </w:p>
        </w:tc>
        <w:tc>
          <w:tcPr>
            <w:tcW w:w="13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$15.01 – $20.00</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43,749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43,750</w:t>
            </w:r>
          </w:p>
        </w:tc>
        <w:tc>
          <w:tcPr>
            <w:tcW w:w="13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pPr>
            <w:r>
              <w:rPr/>
              <w:t>$20.01 – $121.28</w:t>
            </w:r>
          </w:p>
        </w:tc>
        <w:tc>
          <w:tcPr>
            <w:tcW w:w="9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330,127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pPr>
            <w:r>
              <w:rPr/>
              <w:t>245,742</w:t>
            </w:r>
          </w:p>
        </w:tc>
        <w:tc>
          <w:tcPr>
            <w:tcW w:w="13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tcMar>
              <w:bottom w:w="28" w:type="dxa"/>
            </w:tcMar>
            <w:vAlign w:val="center"/>
          </w:tcPr>
          <w:p>
            <w:pPr>
              <w:pStyle w:val="TableContents"/>
              <w:bidi w:val="0"/>
              <w:spacing w:before="0" w:after="283"/>
              <w:jc w:val="right"/>
              <w:rPr/>
            </w:pPr>
            <w:r>
              <w:rPr/>
              <w:t>2,352,932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bottom w:val="double" w:sz="10" w:space="0" w:color="000000"/>
            </w:tcBorders>
            <w:tcMar>
              <w:bottom w:w="28" w:type="dxa"/>
            </w:tcMar>
            <w:vAlign w:val="center"/>
          </w:tcPr>
          <w:p>
            <w:pPr>
              <w:pStyle w:val="TableContents"/>
              <w:bidi w:val="0"/>
              <w:spacing w:before="0" w:after="283"/>
              <w:jc w:val="left"/>
              <w:rPr/>
            </w:pPr>
            <w:r>
              <w:rPr/>
              <w:t> </w:t>
            </w:r>
          </w:p>
        </w:tc>
        <w:tc>
          <w:tcPr>
            <w:tcW w:w="1121" w:type="dxa"/>
            <w:tcBorders>
              <w:bottom w:val="double" w:sz="10" w:space="0" w:color="000000"/>
            </w:tcBorders>
            <w:tcMar>
              <w:bottom w:w="28" w:type="dxa"/>
            </w:tcMar>
            <w:vAlign w:val="center"/>
          </w:tcPr>
          <w:p>
            <w:pPr>
              <w:pStyle w:val="TableContents"/>
              <w:bidi w:val="0"/>
              <w:spacing w:before="0" w:after="283"/>
              <w:jc w:val="right"/>
              <w:rPr/>
            </w:pPr>
            <w:r>
              <w:rPr/>
              <w:t>1,794,754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recognized approximately $0.8 million of stock option-based compensation expense. As of March 31, 2026, there was approximately $2.0 million of unrecognized compensation costs related to employee stock options outstanding which will be recognized in 2026 through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our business. Litigation can be expensive and disruptive to normal business operations. Moreover, the results of complex legal proceedings are difficult to predict, and the Company’s view of these matters may change in the future as the litigation and events related thereto unfold. The Company expenses legal fees as incurred. The Company records a provision for contingent losses when it is probable that a liability has been incurred, and the amount of the loss can be reasonably estimated. No such provision has been recorded as of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2026, the Company was served with a Summons and Complaint in the matter of Perez v. Intellicheck, Inc. and authID Inc., filed in the U.S. District Court for the Northern District of Illinois. The Complaint alleges that one of the Company’s partners (Intellicheck, Inc., a reseller of the Company’s services) and the Company collected, stored and used biometric information from the Plaintiff and similarly situated individuals in Illinois in violation of the Illinois Biometric Information Privacy Act, 740 ILCS 14/1 et seq. (“BIPA”). BIPA provides for statutory damages of $1,000 per negligent violation or $5,000 per intentional or reckless violation, and the Plaintiff seeks class action certification, damages, attorneys’ fees, and other relief. The Company is not able to fully assess the probability and outcome of the matter at this time due to the need to conduct further investigation. However, the Company believes the case is without merit and it does not currently believe that a material loss is probable or reasonably estimable. As such, the Company has not recognized a liability related to this matter and intends to vigorously defend the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employment agreements with members of the management team providing base salary amounts and provisions for stock compensation, cash bonuses and other benefits to be granted at the discretion of the Board of Directors. Additionally, certain employment agreements include provisions for base salary, bonus amounts upon meeting certain performance milestones, severance benefits for involuntary termination from a change in control or other events as defined in their respective agreements. Additionally, the vesting of certain awards could be accelerated upon a change in control (as defined) or by action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for which separate financial information is available and which is evaluated regularly by the chief operating decision maker (“CODM”) in deciding how to allocate resources and in assessing performance. The Company’s chief operating decision maker (“CODM”) is the Chief Executive Officer. The CODM is the highest level of management responsible for assessing the Company’s overall performance, and making operational decisions such as resource allocations related to operations, product prioritization and delegations of authority. The CODM has determined that the Company operates in a single operating and reportable segment and manages segment profit (loss) based upon consolidated net income (loss). The measure of segment assets is reported on the consolidated balance sheet as total consolidated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the Company signed an amendment with TPG to reduce the monthly fees from $42,000 to $13,500. The amendment is effective June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April 29, 2026, the Company entered into Securities Purchase Agreements with accredited investors (“Investors”) in a private placement, pursuant to which the Company sold approximately $4.2 million of Senior Secured Debentures (“Debentures”) as well as 4,165,000 warrants to existing and new Investors, for net proceeds of approximately $3.6 million, after placement agent fees and offering expenses. The Debentures are secured by the assets of the Company and mature October 29, 2026. The Company issued 587,782 shares of common stock to the Investors in lieu of fees and interest under the Debentures.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and analysis of our financial condition and results of operations are based on our financial statements, which we have prepared in accordance with accounting principles generally accepted in the United States of America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“Management’s Discussion and Analysis of Financial Condition and Results of Operation,” except where the context otherwise requires, the term “we,” “us,” “our,” “authID” or “the Company,” refers to the business of authID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Overview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ensures enterprises “Know Who’s Behind the Device”</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for every customer or employee login and transaction, through its easy-to-integrate, patented, biometric identity platform. authID powers biometric identity proofing, biometric authentication, and account recovery with a fast, accurate, user-friendly experience. With our PrivacyKey™ solution, authID provides a highly accurate biometric authentication, while storing no biometric data. authID stops fraud at onboarding, blocks deepfakes, prevents account takeover, and eliminates password risks and costs, through the faster, frictionless, and most accurate user identity experience demanded by today’s digital ecosystem.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cloud-based platform was developed with internally developed software as well as acquired and licensed technology and provides the following core services:</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05"/>
        <w:gridCol w:w="200"/>
        <w:gridCol w:w="35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Verification – Proof</w:t>
            </w:r>
            <w:r>
              <w:rPr>
                <w:rFonts w:ascii="Times New Roman;Times;Serif" w:hAnsi="Times New Roman;Times;Serif"/>
                <w:b w:val="false"/>
                <w:i w:val="false"/>
                <w:caps w:val="false"/>
                <w:smallCaps w:val="false"/>
                <w:position w:val="7"/>
                <w:sz w:val="16"/>
                <w:sz w:val="20"/>
              </w:rPr>
              <w:t>TM</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05"/>
        <w:gridCol w:w="200"/>
        <w:gridCol w:w="39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Authentication – Verified</w:t>
            </w:r>
            <w:r>
              <w:rPr>
                <w:rFonts w:ascii="Times New Roman;Times;Serif" w:hAnsi="Times New Roman;Times;Serif"/>
                <w:b w:val="false"/>
                <w:i w:val="false"/>
                <w:caps w:val="false"/>
                <w:smallCaps w:val="false"/>
                <w:position w:val="7"/>
                <w:sz w:val="16"/>
                <w:sz w:val="20"/>
              </w:rPr>
              <w:t>TM</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05"/>
        <w:gridCol w:w="200"/>
        <w:gridCol w:w="37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PrivacyKey</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Privacy Preserving Biometrics</w:t>
            </w:r>
          </w:p>
        </w:tc>
      </w:tr>
    </w:tbl>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105"/>
        <w:gridCol w:w="200"/>
        <w:gridCol w:w="23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 Access Recovery</w:t>
            </w:r>
          </w:p>
        </w:tc>
      </w:tr>
    </w:tbl>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05"/>
        <w:gridCol w:w="200"/>
        <w:gridCol w:w="28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Identity Exchange (IDX) Platform</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105"/>
        <w:gridCol w:w="200"/>
        <w:gridCol w:w="30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Mandate Agentic AI 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Biometric Identity Verification - Proof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verification establishes the trusted identity of a user based on a variety of ground truth sources, including government-issued identity documents such as national IDs, driver’s licenses and passports or electronic machine-readable travel documents (or eMRTDs). Our Verified</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platform detects presentation attack and spoofing threats, evaluates the authenticity of security features present on a government-issued identity document, and biometrically matches the reference picture of the document with a live user’s selfie (a photograph that the user has taken of themselves). Usually occurring at account opening or onboarding, identity verification ensures that the enterprise knows that the person interacting with the enterprise is who they say they are, in real time. authID’s Proof</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identity verification product eliminates the need for costly and less accurate face-to-face, in-person ID checks and instead provides a verified identity in seconds. Additionally, authID’s PrivacyKey</w:t>
      </w:r>
      <w:r>
        <w:rPr>
          <w:rFonts w:ascii="Times New Roman;Times;Serif" w:hAnsi="Times New Roman;Times;Serif"/>
          <w:b w:val="false"/>
          <w:i w:val="false"/>
          <w:caps w:val="false"/>
          <w:smallCaps w:val="false"/>
          <w:position w:val="7"/>
          <w:sz w:val="16"/>
          <w:sz w:val="20"/>
        </w:rPr>
        <w:t xml:space="preserve">TM </w:t>
      </w:r>
      <w:r>
        <w:rPr>
          <w:rFonts w:ascii="Times New Roman;Times;Serif" w:hAnsi="Times New Roman;Times;Serif"/>
          <w:b w:val="false"/>
          <w:i w:val="false"/>
          <w:caps w:val="false"/>
          <w:smallCaps w:val="false"/>
          <w:sz w:val="20"/>
        </w:rPr>
        <w:t>technology enables customers to perform biometric verification through the use of Public/Private Keys that is performed without storing any biometric data, which ensures individual data privacy. In a digital, online world of increasing fraud and security threats, Proof speeds up onboarding and offers our customers confidence in the identities of consumers, employees or third-party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Biometric Identity Authentication - Verified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authentication provides any organization with a secure, convenient solution to validate that an individual is the verified account owner for various purposes including passwordless login and performing specific transactions, or functions. The authID Verified product allows users to confirm their identity with their facial biometric by simply taking a selfie on a mobile phone or device of their choosing (as opposed to dedicated hardware). The solution includes a patented audit trail created for each transaction, containing the digitally signed transaction details, with proof of identity authentication and consent. Verified allows users to recover, via a facial biometric, account access that is lost or blocked due to expired credentials, lockouts, lost or stolen devices, or compromised accounts. Because the account owner’s root of trust is established in the cloud, recovery is independent of any device or hardware. In this way, account recovery is instant, portable, and does not require the presence of or access to a previously provisioned device in order to secure access from a different device.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PrivacyKey Privacy Preserving Biometrics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PrivacyKey solution provides biometric authentication without the requirement to store any biometric or derivative of biometric data. The technology transforms biometric verification into Public/Private Key cryptography whereby the facial image of the person is converted into an elliptical public/private key pair where only the public key is stored and the private key only exists during authentication and is deleted immediately after. The solution is compliant to the ISO30136 Privacy Biometric standard and provides a False Match Rate accuracy of 1:1 Billion at a False Rejection Rate of 0.3%, as confirmed by independent tests conducted by The Commonwealth Scientific and Industrial Research Organization (“CSRIO”).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Identity Exchange (IDX</w:t>
      </w:r>
      <w:r>
        <w:rPr>
          <w:rFonts w:ascii="Times New Roman;Times;Serif" w:hAnsi="Times New Roman;Times;Serif"/>
          <w:b w:val="false"/>
          <w:i/>
          <w:caps w:val="false"/>
          <w:smallCaps w:val="false"/>
          <w:position w:val="7"/>
          <w:sz w:val="16"/>
          <w:sz w:val="20"/>
        </w:rPr>
        <w:t>TM</w:t>
      </w:r>
      <w:r>
        <w:rPr>
          <w:rFonts w:ascii="Times New Roman;Times;Serif" w:hAnsi="Times New Roman;Times;Serif"/>
          <w:b w:val="false"/>
          <w:i/>
          <w:caps w:val="false"/>
          <w:smallCaps w:val="false"/>
          <w:sz w:val="20"/>
        </w:rPr>
        <w:t>)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Identity Exchange (IDX) is a next-generation platform purpose-built to allow authorized personnel to create or claim a central credential that can be leveraged across multiple subsidiaries of a large enterprise, simplifying and securing the management of workforce identities. IDX modernizes identity management with biometric-bound, passwordless, interoperable and reusable credentials that stop phishing attacks, ensuring only verified users can access sensitive systems and data. IDX is the first enterprise platform built on the Accountable Digital Identity Association (ADI Association) specification, ensuring it is aligned with global interoperability and data sovereignty standards as well as privacy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authID Mandate- Agentic AI Security Framework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Mandate is a framework for biometrically binding human sponsors to the AI agents they launched, ensuring that agentic activity is governed by the user’s own scope, while also providing an immutable audit trail of that sponsorship. This provides a level of governance far beyond machine IDs or vulnerable tokens that are otherwise the basis for most agentic deployment of auditability.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Customer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allows our enterprise customers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Verify and Authenticate users. </w:t>
            </w:r>
            <w:r>
              <w:rPr>
                <w:rFonts w:ascii="Times New Roman;Times;Serif" w:hAnsi="Times New Roman;Times;Serif"/>
                <w:b w:val="false"/>
                <w:i w:val="false"/>
                <w:caps w:val="false"/>
                <w:smallCaps w:val="false"/>
                <w:sz w:val="20"/>
              </w:rPr>
              <w:t>Customers can use the authID platform not only to verify the identity of new users, but also to authenticate those users seamlessly on an ongoing basis to enable quick, secure logins and transaction authentications.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Benefit from high-speed processing</w:t>
            </w:r>
            <w:r>
              <w:rPr>
                <w:rFonts w:ascii="Times New Roman;Times;Serif" w:hAnsi="Times New Roman;Times;Serif"/>
                <w:b w:val="false"/>
                <w:i w:val="false"/>
                <w:caps w:val="false"/>
                <w:smallCaps w:val="false"/>
                <w:sz w:val="20"/>
              </w:rPr>
              <w:t>. Our solution returns a very low-latency response, key to enabling high-volume use cases (such as logins and high-value transactions) and providing a frictionless user experience.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Precisely and accurately identify their consumers and employees, giving the enterprise complete confidence in who is accessing their digital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Provide a seamless user experience in terms of speed and self-guided flow, so that even users who are not tech-savvy are easily able to complete the identity verification and authentication processes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Support a wide variety of devices</w:t>
            </w:r>
            <w:r>
              <w:rPr>
                <w:rFonts w:ascii="Times New Roman;Times;Serif" w:hAnsi="Times New Roman;Times;Serif"/>
                <w:b w:val="false"/>
                <w:i w:val="false"/>
                <w:caps w:val="false"/>
                <w:smallCaps w:val="false"/>
                <w:sz w:val="20"/>
              </w:rPr>
              <w:t>. Our cloud-based service is device agnostic and may be used to verify or authenticate users on any device with a camera, including shared devices, digital kiosks, etc.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Integrate quickly and easily.</w:t>
            </w:r>
            <w:r>
              <w:rPr>
                <w:rFonts w:ascii="Times New Roman;Times;Serif" w:hAnsi="Times New Roman;Times;Serif"/>
                <w:b w:val="false"/>
                <w:i w:val="false"/>
                <w:caps w:val="false"/>
                <w:smallCaps w:val="false"/>
                <w:sz w:val="20"/>
              </w:rPr>
              <w:t xml:space="preserve"> We offer pre-integrated OIDC connections as well as integrations with several leading Identity and Access Management solutions.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Offer broad identity document coverage.</w:t>
            </w:r>
            <w:r>
              <w:rPr>
                <w:rFonts w:ascii="Times New Roman;Times;Serif" w:hAnsi="Times New Roman;Times;Serif"/>
                <w:b w:val="false"/>
                <w:i w:val="false"/>
                <w:caps w:val="false"/>
                <w:smallCaps w:val="false"/>
                <w:sz w:val="20"/>
              </w:rPr>
              <w:t xml:space="preserve"> We can verify identities using a wide spectrum of government-issued documents from around the world.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 secure biometric verification &amp; authentication without the need to store biometric data.</w:t>
            </w:r>
            <w:r>
              <w:rPr>
                <w:rFonts w:ascii="Times New Roman;Times;Serif" w:hAnsi="Times New Roman;Times;Serif"/>
                <w:b w:val="false"/>
                <w:i w:val="false"/>
                <w:caps w:val="false"/>
                <w:smallCaps w:val="false"/>
                <w:sz w:val="20"/>
              </w:rPr>
              <w:t xml:space="preserve"> Our PrivacyKey technology removes the need to store any biometric data in order to perform verification or authentication transactions. PrivacyKey verification and authentication is seamlessly delivered thru either a web or mobile applications with a response time of less than 700ms.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financial results will be impacted by several market trends in the identity verification and authentication markets, as well as expanding digital transformation efforts across a wide range of market segments. These trends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concerns over identity theft, fraud and account takeover, resulting from the acceleration of digital transformation, for example online shopping and remote working and the growth in AI assisted fraud;</w:t>
            </w:r>
          </w:p>
        </w:tc>
      </w:tr>
    </w:tbl>
    <w:p>
      <w:pPr>
        <w:pStyle w:val="TextBody"/>
        <w:bidi w:val="0"/>
        <w:spacing w:before="0" w:after="0"/>
        <w:ind w:left="720" w:right="0" w:hanging="36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105"/>
        <w:gridCol w:w="200"/>
        <w:gridCol w:w="33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in the sharing economy;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in electronic payments and alternative money transfer solutions provided by both bank and non-bank entities. The key drivers for these alternative payment methods are consumer demands for safe, convenient payment transactions, with less friction.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are also impacted by the changes in levels of spending on identity verification, management and security methods, and thus, negative trends in the global economy and other factors which negatively impact such spending may negatively impact the growth in our revenue from those products. The global economy has been undergoing a period of political and economic uncertainty and stock markets are experiencing high levels of volatility, and it is difficult to predict how long this uncertainty and volatility will continue.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grow our business by increasing the use of our services by our existing customers, by adding new customers through our direct salesforce, channel partners and by expanding into new markets and innovation. If we are successful in these efforts, we would expect our revenue to continue to grow.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State of Delaware on September 21, 2011, and changed our name from Ipsidy Inc. to authID Inc. on July 18, 2022. Our corporate headquarters is located at 1580 North Logan Street, Suite 660, Unit 51767, Denver, CO 80203 and our main phone number is (516) 274-8700. Our website address is www.authid.ai. The information contained on, or that can be accessed through, our website is not incorporated by reference into this Form 10-Q and you should not consider information on our website to be part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have been prepared in accordance with accounting principles generally accepted in the United States (“US GAAP”) assuming the Company will continue on a going concern basis, which implies the Company will continue to meet its obligations and continue its operations for the next year following the issuance date of these consolidated financial statements. As of March 31, 2026, the Company had an accumulated deficit of approximately $196.2 million. For the three months ended March 31, 2026, the Company earned revenue of approximately $0.5 million, used $3.4 million to fund its operations, and incurred a net loss from operations of approximately $4.5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financial support from the Company’s stockholders,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 In April 2026, the Company raised a total of approximately $3.6 million after expenses from accredited investors through the sale of approximately $4.2 million Senior Secured Debentures pursuant to a private placement.  Going forward, the Company plans to raise additional funds as needed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 for a period of twelve months from the date these consolidated financial statements were issued.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 Adjusted EBITDA is a non-GAAP financial measure that represents GAAP net loss from continuing operations adjusted to exclude (1) interest expense, (2) interest income, (3) amortization, (4) stock-based compensation expense and certain other items management believes affect the comparability of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you should not consider it in isolation from, or as a substitute for, analysis of our results as reported under GAAP. Some of these limitations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cash expenditures or future requirements for capital expenditures or contractual commitments;</w:t>
            </w:r>
          </w:p>
        </w:tc>
      </w:tr>
    </w:tbl>
    <w:p>
      <w:pPr>
        <w:pStyle w:val="TextBody"/>
        <w:bidi w:val="0"/>
        <w:spacing w:before="0" w:after="0"/>
        <w:ind w:left="0" w:right="0" w:hanging="0"/>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05"/>
        <w:gridCol w:w="200"/>
        <w:gridCol w:w="80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our working capital needs;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Adjusted EBITDA does not reflect any cash requirements for such replacements;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include the impact of certain charges or gains resulting from matters we consider not to be indicative of our ongoing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Loss from Continuing Operations to Adjusted EBITDA Continuing Operations:</w:t>
      </w:r>
    </w:p>
    <w:p>
      <w:pPr>
        <w:pStyle w:val="TextBody"/>
        <w:bidi w:val="0"/>
        <w:spacing w:before="0" w:after="0"/>
        <w:ind w:left="0" w:right="0" w:hanging="0"/>
        <w:jc w:val="both"/>
        <w:rPr>
          <w:caps w:val="false"/>
          <w:smallCaps w:val="false"/>
        </w:rPr>
      </w:pPr>
      <w:r>
        <w:rPr>
          <w:caps w:val="false"/>
          <w:smallCaps w:val="false"/>
        </w:rPr>
        <w:t> </w:t>
      </w:r>
    </w:p>
    <w:tbl>
      <w:tblPr>
        <w:tblW w:w="8345" w:type="dxa"/>
        <w:jc w:val="left"/>
        <w:tblInd w:w="0" w:type="dxa"/>
        <w:tblLayout w:type="fixed"/>
        <w:tblCellMar>
          <w:top w:w="0" w:type="dxa"/>
          <w:left w:w="0" w:type="dxa"/>
          <w:bottom w:w="0" w:type="dxa"/>
          <w:right w:w="0" w:type="dxa"/>
        </w:tblCellMar>
      </w:tblPr>
      <w:tblGrid>
        <w:gridCol w:w="5360"/>
        <w:gridCol w:w="90"/>
        <w:gridCol w:w="170"/>
        <w:gridCol w:w="1085"/>
        <w:gridCol w:w="125"/>
        <w:gridCol w:w="90"/>
        <w:gridCol w:w="170"/>
        <w:gridCol w:w="1085"/>
        <w:gridCol w:w="170"/>
      </w:tblGrid>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7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(4,463,536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(4,339,467</w:t>
            </w:r>
          </w:p>
        </w:tc>
        <w:tc>
          <w:tcPr>
            <w:tcW w:w="170" w:type="dxa"/>
            <w:tcBorders/>
            <w:shd w:fill="CCEEFF" w:val="clear"/>
            <w:vAlign w:val="center"/>
          </w:tcPr>
          <w:p>
            <w:pPr>
              <w:pStyle w:val="TableContents"/>
              <w:bidi w:val="0"/>
              <w:spacing w:before="0" w:after="283"/>
              <w:jc w:val="left"/>
              <w:rPr/>
            </w:pPr>
            <w:r>
              <w:rPr/>
              <w:t>)</w:t>
            </w:r>
          </w:p>
        </w:tc>
      </w:tr>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Addback:</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Interest expense,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2,428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12,712</w:t>
            </w:r>
          </w:p>
        </w:tc>
        <w:tc>
          <w:tcPr>
            <w:tcW w:w="170"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(19,532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(51,544</w:t>
            </w:r>
          </w:p>
        </w:tc>
        <w:tc>
          <w:tcPr>
            <w:tcW w:w="170" w:type="dxa"/>
            <w:tcBorders/>
            <w:vAlign w:val="center"/>
          </w:tcPr>
          <w:p>
            <w:pPr>
              <w:pStyle w:val="TableContents"/>
              <w:bidi w:val="0"/>
              <w:spacing w:before="0" w:after="283"/>
              <w:jc w:val="left"/>
              <w:rPr/>
            </w:pPr>
            <w:r>
              <w:rPr/>
              <w:t>)</w:t>
            </w:r>
          </w:p>
        </w:tc>
      </w:tr>
      <w:tr>
        <w:trPr/>
        <w:tc>
          <w:tcPr>
            <w:tcW w:w="5360" w:type="dxa"/>
            <w:tcBorders/>
            <w:shd w:fill="CCEEFF" w:val="clear"/>
            <w:vAlign w:val="center"/>
          </w:tcPr>
          <w:p>
            <w:pPr>
              <w:pStyle w:val="TableContents"/>
              <w:bidi w:val="0"/>
              <w:spacing w:before="0" w:after="283"/>
              <w:jc w:val="left"/>
              <w:rPr/>
            </w:pPr>
            <w:r>
              <w:rPr/>
              <w:t>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11,698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30,192</w:t>
            </w:r>
          </w:p>
        </w:tc>
        <w:tc>
          <w:tcPr>
            <w:tcW w:w="170"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Stock compensation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1,040,058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454,339</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Adjusted EBITDA continuing operations (Non-GAAP)</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(3,428,884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(3,893,768</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 and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Company’s revenues, net of concessions and allowances were approximately $480,000, compared to approximately $296,000 in the three months ended March 31, 2025, principally due to the recognition of revenue from new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compared to the three months ended March 31, 2025, general and administrative expenses increased by approximately $0.2 million. The increase for the three-month period was driven by an increase of approximately $0.4 million in stock-based compensation for employees and advisors, partially offset by employee and vendor expense reductions.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compared to the three months ended March 31, 2025, research and development expenses increased by approximately $0.1 million. The increase for the three-month period was driven by an increase of approximately $0.2 million in stock-based compensation for employees and advisors, partially offset by employee and vendor expense reductions.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compared to March 31, 2025, amortization expense decreased by approximately $18,000 as the Company’s assets become fully amortized.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Interest expense,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includes interest expense, debt issuance and discount amortization expense. During the three months ended March 31, 2026 compared to March 31, 2025, interest expense decreased by approximately $10,000 due to repayment of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Interest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comprises bank interest earned on the Company’s cash balances. Interest income decreased during the three months ended March 31, 2026 compared to March 31, 2025 by approximately $32,000.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approximately $1.2 million cash on hand and approximately $0.9 million working capital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approximately $3.4 million and $5.4 million in the three months ended March 31, 2026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for the three months ended March 31, 2026 and March 31, 2025 was $0, and $1,700 respectively due to payment of patent costs and purchases of intangible assets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financing activities for the three months ended March 31, 2026 and March 31, 2025 was approximately $0 and $0.2 million respectively, due to the repayment of a convertible note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need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Macro-Economic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economy has been undergoing a period of political and economic uncertainty and stock markets are experiencing high levels of volatility, and it is difficult to predict how long this uncertainty and volatility will continue. The frequent and sudden changes in international trade negotiations and tariffs, continuing wars in Ukraine and the Middle East, inflationary pressures, and rising energy prices have impacted the United States and other major economies and have created uncertainty in the markets. As a result, many businesses, especially in the technology sector, have made significant reductions in expenditure, including reductions in force and investment freezes. Our sales and results are also impacted by the changes in levels of spending on identity verification, management and security methods, and thus, negative trends in the global economy and other factors which negatively impact such spending may negatively impact the growth of our revenue from those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material accounting policies that may be the most critical to understanding of the financial results and conditions are discussed in Note 1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include disclosure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Quarterly Report on Form 10-Q, our Chief Executive Officer and Chief Financial Officer performed an evaluation of the effectiveness of our disclosure controls and procedures as defined in Rules 13a-15 and 15d-15(e) of the Exchange Act. Based on the evaluation, the Chief Executive Officer and Chief Financial Officer concluded that, as of March 31, 2026,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that term is defined in Rules 13a-15(f) and 15d-15(f) under the Exchange Act) that occurred during the three months ended March 31,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our business. Litigation can be expensive and disruptive to normal business operations. Moreover, the results of complex legal proceedings are difficult to predict, and the Company’s view of these matters may change in the future as the litigation and events related thereto unfold. The Company expenses legal fees as incurred. The Company records a provision for contingent losses when it is probable that a liability has been incurred, and the amount of the loss can be reasonably estimated. No such provision has been recorded as of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2026, the Company was served with a Summons and Complaint in the matter of Perez v. Intellicheck, Inc. and authID Inc., filed in the U.S. District Court for the Northern District of Illinois. The Complaint alleges that one of the Company’s partners (Intellicheck, Inc., a reseller of the Company’s services) and the Company collected, stored and used biometric information from the Plaintiff and similarly situated individuals in Illinois in violation of the Illinois Biometric Information Privacy Act, 740 ILCS 14/1 et seq. (“BIPA”). BIPA provides for statutory damages of $1,000 per negligent violation or $5,000 per intentional or reckless violation, and the Plaintiff seeks class action certification, damages, attorneys’ fees, and other relief. The Company is not able to fully assess the probability and outcome of the matter at this time due to the need to conduct further investigation. However, the Company believes the case is without merit and it does not currently believe that a material loss is probable or reasonably estimable. As such, the Company has not recognized a liability related to this matter and intends to vigorously defend the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 describing the major risks to our business can be found under Item 1A, “Risk Factors”, in our Annual Report on Form 10-K for the year ended December 31, 2025. There has been no material change in our risk factors from those previously discussed in the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the Company closed a private placement (the “April 2026 Offering”) pursuant to a Securities Purchase Agreement dated April 29, 2026 (the “April 2026 Purchase Agreement”) with certain accredited investors (the “April 2026 Investors”). The Company issued and sold an aggregate of $4,165,000 principal amount of its Senior Secured Debentures (the “April 2026 Debentures”) together with accompanying Stock Purchase Warrants (the “April 2026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2026 Offering was conducted on a best-efforts basis with Madison Global Partners, LLC acting as the non-exclusive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Material Terms of the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2026 Debentures are senior secured obligations of the Company, maturing six months from issuance (October 2026). The Debentures do not bear interest. The obligations under the Debentures are secured by a first-priority security interest in substantially all of the Company’s assets pursuant to a Security Agreement dated as of April 29, 2026, subject only to customary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2026 Debentures contain customary events of default, including failure to pay principal at maturity, bankruptcy events, and material breaches of the Transaction Documents. Upon an event of default, the principal amount becomes immediately due and payable at the Holder’s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Material Terms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April 2026 Warrants to purchase a number of shares of the Company’s common stock equal to 100% of the principal amount invested by each investor, at an exercise price of $1.50 per share. The April 2026 Warrants have a five-year term from issuance, are exercisable beginning six months after issuance, and include a cashless exercise provision. The April 2026 Warrants are subject to standard anti-dilution adjustments and contain a beneficial ownership limitation of 4.99% or 9.99% (or 19.99 % in the case of one Director) as elected by each individual April 2026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April 2026 Debentures and April 2026 Warrants, the Company issued to the April 2026 Investors “Fee Shares” equal to 15% of the principal amount invested by each investor divided by $1.00 (or the Nasdaq Consolidated Closing Bid Price if the April 2026 Investor is a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Registration Rights Agreement with the April 2026 Investors pursuant to which the Company agreed to register for resale the shares of common stock issuable upon exercise of the Warrants and the Fee Shares (the “Registrable Securities”) within ten days of the 60 day anniversary of the closing date in the event the Company does not consummate a subsequent financing before then. The Company has also granted the April 2026 Investors standard piggyback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Most Favored Nation and Conversion/Exchange Feature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2026 Debentures contain a most-favored-nation provision with respect to subsequent financings and provide for automatic conversion/exchange into securities issued in a subsequent financing on substantially similar economic terms (subordinate in right of payment and priority to the security issued to the lead investor in the subsequent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Nasdaq 19.99%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shares of common stock issuable pursuant to the April 2026 Debentures (upon conversion/exchange) and the Fee Shares, together with the Warrant Shares (if applicable), shall not exceed 19.99% of the Company’s outstanding common stock immediately prior to the date of the April 2026 Purchase Agreement without stockholder approval, in accordance with Nasdaq Listing Rule 5635.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and sold in the April 2026 Offering were issued and sold in reliance on the exemption from registration provided by Section 4(a)(2) of the Securities Act of 1933, as amended, and Rule 506(b) of Regulation D promulgated thereunder. The April 2026 Investors represented that they are accredited investors within the meaning of Rule 501(a) of Regulation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0" w:name="a_019"/>
      <w:bookmarkEnd w:id="20"/>
      <w:r>
        <w:rPr>
          <w:rFonts w:ascii="Times New Roman;Times;Serif" w:hAnsi="Times New Roman;Times;Serif"/>
          <w:b/>
          <w:i w:val="false"/>
          <w:caps w:val="false"/>
          <w:smallCaps w:val="false"/>
          <w:sz w:val="20"/>
        </w:rPr>
        <w:t>ITEM 6. EXHIBITS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1"/>
        <w:gridCol w:w="90"/>
        <w:gridCol w:w="9094"/>
      </w:tblGrid>
      <w:tr>
        <w:trPr/>
        <w:tc>
          <w:tcPr>
            <w:tcW w:w="1021" w:type="dxa"/>
            <w:tcBorders>
              <w:bottom w:val="single" w:sz="12" w:space="0" w:color="000000"/>
            </w:tcBorders>
            <w:vAlign w:val="center"/>
          </w:tcPr>
          <w:p>
            <w:pPr>
              <w:pStyle w:val="TableContents"/>
              <w:bidi w:val="0"/>
              <w:spacing w:before="0" w:after="283"/>
              <w:jc w:val="both"/>
              <w:rPr>
                <w:b/>
                <w:sz w:val="20"/>
              </w:rPr>
            </w:pPr>
            <w:r>
              <w:rPr>
                <w:b/>
                <w:sz w:val="20"/>
              </w:rPr>
              <w:t>Exhibit</w:t>
              <w:br/>
              <w:t>Number</w:t>
            </w:r>
          </w:p>
        </w:tc>
        <w:tc>
          <w:tcPr>
            <w:tcW w:w="90" w:type="dxa"/>
            <w:tcBorders/>
            <w:tcMar>
              <w:bottom w:w="0" w:type="dxa"/>
            </w:tcMar>
            <w:vAlign w:val="center"/>
          </w:tcPr>
          <w:p>
            <w:pPr>
              <w:pStyle w:val="TableContents"/>
              <w:bidi w:val="0"/>
              <w:spacing w:before="0" w:after="283"/>
              <w:jc w:val="left"/>
              <w:rPr/>
            </w:pPr>
            <w:r>
              <w:rPr/>
              <w:t> </w:t>
            </w:r>
          </w:p>
        </w:tc>
        <w:tc>
          <w:tcPr>
            <w:tcW w:w="9094"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3.1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3">
              <w:r>
                <w:rPr>
                  <w:rStyle w:val="InternetLink"/>
                  <w:sz w:val="20"/>
                </w:rPr>
                <w:t>Amended &amp; Restated Certificate of Incorporation</w:t>
              </w:r>
            </w:hyperlink>
          </w:p>
        </w:tc>
      </w:tr>
      <w:tr>
        <w:trPr/>
        <w:tc>
          <w:tcPr>
            <w:tcW w:w="1021" w:type="dxa"/>
            <w:tcBorders/>
            <w:tcMar>
              <w:bottom w:w="0" w:type="dxa"/>
            </w:tcMar>
            <w:vAlign w:val="center"/>
          </w:tcPr>
          <w:p>
            <w:pPr>
              <w:pStyle w:val="TableContents"/>
              <w:bidi w:val="0"/>
              <w:spacing w:before="0" w:after="283"/>
              <w:jc w:val="both"/>
              <w:rPr>
                <w:sz w:val="20"/>
              </w:rPr>
            </w:pPr>
            <w:r>
              <w:rPr>
                <w:sz w:val="20"/>
              </w:rPr>
              <w:t>3.2 (6)</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4">
              <w:r>
                <w:rPr>
                  <w:rStyle w:val="InternetLink"/>
                  <w:sz w:val="20"/>
                </w:rPr>
                <w:t>Amended &amp; Restated Bylaws as of July 18, 2022</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3.3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5">
              <w:r>
                <w:rPr>
                  <w:rStyle w:val="InternetLink"/>
                  <w:sz w:val="20"/>
                </w:rPr>
                <w:t>Certificate of Amendment dated June 14, 2021</w:t>
              </w:r>
            </w:hyperlink>
          </w:p>
        </w:tc>
      </w:tr>
      <w:tr>
        <w:trPr/>
        <w:tc>
          <w:tcPr>
            <w:tcW w:w="1021" w:type="dxa"/>
            <w:tcBorders/>
            <w:tcMar>
              <w:bottom w:w="0" w:type="dxa"/>
            </w:tcMar>
            <w:vAlign w:val="center"/>
          </w:tcPr>
          <w:p>
            <w:pPr>
              <w:pStyle w:val="TableContents"/>
              <w:bidi w:val="0"/>
              <w:spacing w:before="0" w:after="283"/>
              <w:jc w:val="both"/>
              <w:rPr>
                <w:sz w:val="20"/>
              </w:rPr>
            </w:pPr>
            <w:r>
              <w:rPr>
                <w:sz w:val="20"/>
              </w:rPr>
              <w:t>3.4 (6)</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6">
              <w:r>
                <w:rPr>
                  <w:rStyle w:val="InternetLink"/>
                  <w:sz w:val="20"/>
                </w:rPr>
                <w:t>Certificate of Amendment to Amended and Restated Certificate of Incorporation as of July 18, 2022</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3.5 (7)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7">
              <w:r>
                <w:rPr>
                  <w:rStyle w:val="InternetLink"/>
                  <w:sz w:val="20"/>
                </w:rPr>
                <w:t>Certificate of Amendment to Amended and Restated Certificate of Incorporation as of September 20, 2022</w:t>
              </w:r>
            </w:hyperlink>
          </w:p>
        </w:tc>
      </w:tr>
      <w:tr>
        <w:trPr/>
        <w:tc>
          <w:tcPr>
            <w:tcW w:w="1021" w:type="dxa"/>
            <w:tcBorders/>
            <w:tcMar>
              <w:bottom w:w="0" w:type="dxa"/>
            </w:tcMar>
            <w:vAlign w:val="center"/>
          </w:tcPr>
          <w:p>
            <w:pPr>
              <w:pStyle w:val="TableContents"/>
              <w:bidi w:val="0"/>
              <w:spacing w:before="0" w:after="283"/>
              <w:jc w:val="both"/>
              <w:rPr>
                <w:sz w:val="20"/>
              </w:rPr>
            </w:pPr>
            <w:r>
              <w:rPr>
                <w:sz w:val="20"/>
              </w:rPr>
              <w:t>3.6 (13)</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8">
              <w:r>
                <w:rPr>
                  <w:rStyle w:val="InternetLink"/>
                  <w:sz w:val="20"/>
                </w:rPr>
                <w:t>Certificate of Amendment to the Amended and Restated Certificate of Incorporation dated June 26, 2023</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3.7 (22)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9">
              <w:r>
                <w:rPr>
                  <w:rStyle w:val="InternetLink"/>
                  <w:sz w:val="20"/>
                </w:rPr>
                <w:t>Certificate of Amendment to the Certificate of Incorporation</w:t>
              </w:r>
            </w:hyperlink>
          </w:p>
        </w:tc>
      </w:tr>
      <w:tr>
        <w:trPr/>
        <w:tc>
          <w:tcPr>
            <w:tcW w:w="1021" w:type="dxa"/>
            <w:tcBorders/>
            <w:tcMar>
              <w:bottom w:w="0" w:type="dxa"/>
            </w:tcMar>
            <w:vAlign w:val="center"/>
          </w:tcPr>
          <w:p>
            <w:pPr>
              <w:pStyle w:val="TableContents"/>
              <w:bidi w:val="0"/>
              <w:spacing w:before="0" w:after="283"/>
              <w:jc w:val="both"/>
              <w:rPr>
                <w:sz w:val="20"/>
              </w:rPr>
            </w:pPr>
            <w:r>
              <w:rPr>
                <w:sz w:val="20"/>
              </w:rPr>
              <w:t>4.1 (2)</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10">
              <w:r>
                <w:rPr>
                  <w:rStyle w:val="InternetLink"/>
                  <w:sz w:val="20"/>
                </w:rPr>
                <w:t>Form of Stock Option</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4.2 (27)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11">
              <w:r>
                <w:rPr>
                  <w:rStyle w:val="InternetLink"/>
                  <w:sz w:val="20"/>
                </w:rPr>
                <w:t>Description of the Registrant’s Securities</w:t>
              </w:r>
            </w:hyperlink>
          </w:p>
        </w:tc>
      </w:tr>
      <w:tr>
        <w:trPr/>
        <w:tc>
          <w:tcPr>
            <w:tcW w:w="1021" w:type="dxa"/>
            <w:tcBorders/>
            <w:tcMar>
              <w:bottom w:w="0" w:type="dxa"/>
            </w:tcMar>
            <w:vAlign w:val="center"/>
          </w:tcPr>
          <w:p>
            <w:pPr>
              <w:pStyle w:val="TableContents"/>
              <w:bidi w:val="0"/>
              <w:spacing w:before="0" w:after="283"/>
              <w:jc w:val="both"/>
              <w:rPr>
                <w:sz w:val="20"/>
              </w:rPr>
            </w:pPr>
            <w:r>
              <w:rPr>
                <w:sz w:val="20"/>
              </w:rPr>
              <w:t>10.1 (2)</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12">
              <w:r>
                <w:rPr>
                  <w:rStyle w:val="InternetLink"/>
                  <w:sz w:val="20"/>
                </w:rPr>
                <w:t>Form of Director Agreement</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10.2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13">
              <w:r>
                <w:rPr>
                  <w:rStyle w:val="InternetLink"/>
                  <w:sz w:val="20"/>
                </w:rPr>
                <w:t>Form of Indemnification Agreement</w:t>
              </w:r>
            </w:hyperlink>
          </w:p>
        </w:tc>
      </w:tr>
      <w:tr>
        <w:trPr/>
        <w:tc>
          <w:tcPr>
            <w:tcW w:w="1021" w:type="dxa"/>
            <w:tcBorders/>
            <w:tcMar>
              <w:bottom w:w="0" w:type="dxa"/>
            </w:tcMar>
            <w:vAlign w:val="center"/>
          </w:tcPr>
          <w:p>
            <w:pPr>
              <w:pStyle w:val="TableContents"/>
              <w:bidi w:val="0"/>
              <w:spacing w:before="0" w:after="283"/>
              <w:jc w:val="both"/>
              <w:rPr>
                <w:sz w:val="20"/>
              </w:rPr>
            </w:pPr>
            <w:r>
              <w:rPr>
                <w:sz w:val="20"/>
              </w:rPr>
              <w:t>10.3 (3)</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14">
              <w:r>
                <w:rPr>
                  <w:rStyle w:val="InternetLink"/>
                  <w:sz w:val="20"/>
                </w:rPr>
                <w:t>2017 Incentive Stock Plan</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10.4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15">
              <w:r>
                <w:rPr>
                  <w:rStyle w:val="InternetLink"/>
                  <w:sz w:val="20"/>
                </w:rPr>
                <w:t>Executive Retention Agreement entered between the Company and Thomas L. Thimot dated June 14, 2021</w:t>
              </w:r>
            </w:hyperlink>
          </w:p>
        </w:tc>
      </w:tr>
      <w:tr>
        <w:trPr/>
        <w:tc>
          <w:tcPr>
            <w:tcW w:w="1021" w:type="dxa"/>
            <w:tcBorders/>
            <w:tcMar>
              <w:bottom w:w="0" w:type="dxa"/>
            </w:tcMar>
            <w:vAlign w:val="center"/>
          </w:tcPr>
          <w:p>
            <w:pPr>
              <w:pStyle w:val="TableContents"/>
              <w:bidi w:val="0"/>
              <w:spacing w:before="0" w:after="283"/>
              <w:jc w:val="both"/>
              <w:rPr>
                <w:sz w:val="20"/>
              </w:rPr>
            </w:pPr>
            <w:r>
              <w:rPr>
                <w:sz w:val="20"/>
              </w:rPr>
              <w:t>10.5 (2)</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16">
              <w:r>
                <w:rPr>
                  <w:rStyle w:val="InternetLink"/>
                  <w:sz w:val="20"/>
                </w:rPr>
                <w:t>Executive Retention Agreement entered between the Company and Cecil N. Smith III dated June 14, 2021</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10.6 (4)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17">
              <w:r>
                <w:rPr>
                  <w:rStyle w:val="InternetLink"/>
                  <w:sz w:val="20"/>
                </w:rPr>
                <w:t>AuthID Inc. 2021 Equity Incentive Plan</w:t>
              </w:r>
            </w:hyperlink>
          </w:p>
        </w:tc>
      </w:tr>
      <w:tr>
        <w:trPr/>
        <w:tc>
          <w:tcPr>
            <w:tcW w:w="1021" w:type="dxa"/>
            <w:tcBorders/>
            <w:tcMar>
              <w:bottom w:w="0" w:type="dxa"/>
            </w:tcMar>
            <w:vAlign w:val="center"/>
          </w:tcPr>
          <w:p>
            <w:pPr>
              <w:pStyle w:val="TableContents"/>
              <w:bidi w:val="0"/>
              <w:spacing w:before="0" w:after="283"/>
              <w:jc w:val="both"/>
              <w:rPr>
                <w:sz w:val="20"/>
              </w:rPr>
            </w:pPr>
            <w:r>
              <w:rPr>
                <w:sz w:val="20"/>
              </w:rPr>
              <w:t>10.7 (5)</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18">
              <w:r>
                <w:rPr>
                  <w:rStyle w:val="InternetLink"/>
                  <w:sz w:val="20"/>
                </w:rPr>
                <w:t>Letter Agreement between Annie Pham and AuthID Inc. dated April 25, 2022</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10.8 (8)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19">
              <w:r>
                <w:rPr>
                  <w:rStyle w:val="InternetLink"/>
                  <w:sz w:val="20"/>
                </w:rPr>
                <w:t>Amended and Restated Faculty Agreement between the Company and Stephen J. Garchik dated March 8, 2023.</w:t>
              </w:r>
            </w:hyperlink>
          </w:p>
        </w:tc>
      </w:tr>
      <w:tr>
        <w:trPr/>
        <w:tc>
          <w:tcPr>
            <w:tcW w:w="1021" w:type="dxa"/>
            <w:tcBorders/>
            <w:tcMar>
              <w:bottom w:w="0" w:type="dxa"/>
            </w:tcMar>
            <w:vAlign w:val="center"/>
          </w:tcPr>
          <w:p>
            <w:pPr>
              <w:pStyle w:val="TableContents"/>
              <w:bidi w:val="0"/>
              <w:spacing w:before="0" w:after="283"/>
              <w:jc w:val="both"/>
              <w:rPr>
                <w:sz w:val="20"/>
              </w:rPr>
            </w:pPr>
            <w:r>
              <w:rPr>
                <w:sz w:val="20"/>
              </w:rPr>
              <w:t>10.9 (8)</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20">
              <w:r>
                <w:rPr>
                  <w:rStyle w:val="InternetLink"/>
                  <w:sz w:val="20"/>
                </w:rPr>
                <w:t>Promissory Note between the Company and Stephen J. Garchik dated March 9, 2023.</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10.10 (8)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21">
              <w:r>
                <w:rPr>
                  <w:rStyle w:val="InternetLink"/>
                  <w:sz w:val="20"/>
                </w:rPr>
                <w:t>Guaranty Agreement by FIN Holdings Inc., Innovation in Motion, Inc. and ID Solutions, Inc. in favor of Stephen J. Garchik dated March 9, 2023.</w:t>
              </w:r>
            </w:hyperlink>
          </w:p>
        </w:tc>
      </w:tr>
      <w:tr>
        <w:trPr/>
        <w:tc>
          <w:tcPr>
            <w:tcW w:w="1021" w:type="dxa"/>
            <w:tcBorders/>
            <w:tcMar>
              <w:bottom w:w="0" w:type="dxa"/>
            </w:tcMar>
            <w:vAlign w:val="center"/>
          </w:tcPr>
          <w:p>
            <w:pPr>
              <w:pStyle w:val="TableContents"/>
              <w:bidi w:val="0"/>
              <w:spacing w:before="0" w:after="283"/>
              <w:jc w:val="both"/>
              <w:rPr>
                <w:sz w:val="20"/>
              </w:rPr>
            </w:pPr>
            <w:r>
              <w:rPr>
                <w:sz w:val="20"/>
              </w:rPr>
              <w:t>10.11 (8)</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22">
              <w:r>
                <w:rPr>
                  <w:rStyle w:val="InternetLink"/>
                  <w:sz w:val="20"/>
                </w:rPr>
                <w:t>Release Agreement between the Company and Stephen J. Garchik dated March 9, 2023.</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10.12 (9)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23">
              <w:r>
                <w:rPr>
                  <w:rStyle w:val="InternetLink"/>
                  <w:sz w:val="20"/>
                </w:rPr>
                <w:t>Letter Agreement between Rhoniel Daguro and AuthID Inc. dated March 23, 2023</w:t>
              </w:r>
            </w:hyperlink>
          </w:p>
        </w:tc>
      </w:tr>
      <w:tr>
        <w:trPr/>
        <w:tc>
          <w:tcPr>
            <w:tcW w:w="1021" w:type="dxa"/>
            <w:tcBorders/>
            <w:tcMar>
              <w:bottom w:w="0" w:type="dxa"/>
            </w:tcMar>
            <w:vAlign w:val="center"/>
          </w:tcPr>
          <w:p>
            <w:pPr>
              <w:pStyle w:val="TableContents"/>
              <w:bidi w:val="0"/>
              <w:spacing w:before="0" w:after="283"/>
              <w:jc w:val="both"/>
              <w:rPr>
                <w:sz w:val="20"/>
              </w:rPr>
            </w:pPr>
            <w:r>
              <w:rPr>
                <w:sz w:val="20"/>
              </w:rPr>
              <w:t>10.13 (9)</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24">
              <w:r>
                <w:rPr>
                  <w:rStyle w:val="InternetLink"/>
                  <w:sz w:val="20"/>
                </w:rPr>
                <w:t>Executive Retention Agreement between Rhoniel Daguro and AuthID Inc. dated March 23, 2023</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10.14 (9)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25">
              <w:r>
                <w:rPr>
                  <w:rStyle w:val="InternetLink"/>
                  <w:sz w:val="20"/>
                </w:rPr>
                <w:t>Confidential Separation Agreement and General Release between Thomas Thimot and authID Inc. Dated March 23, 2023</w:t>
              </w:r>
            </w:hyperlink>
          </w:p>
        </w:tc>
      </w:tr>
      <w:tr>
        <w:trPr/>
        <w:tc>
          <w:tcPr>
            <w:tcW w:w="1021" w:type="dxa"/>
            <w:tcBorders/>
            <w:tcMar>
              <w:bottom w:w="0" w:type="dxa"/>
            </w:tcMar>
            <w:vAlign w:val="center"/>
          </w:tcPr>
          <w:p>
            <w:pPr>
              <w:pStyle w:val="TableContents"/>
              <w:bidi w:val="0"/>
              <w:spacing w:before="0" w:after="283"/>
              <w:jc w:val="both"/>
              <w:rPr>
                <w:sz w:val="20"/>
              </w:rPr>
            </w:pPr>
            <w:r>
              <w:rPr>
                <w:sz w:val="20"/>
              </w:rPr>
              <w:t>10.15 (10)</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26">
              <w:r>
                <w:rPr>
                  <w:rStyle w:val="InternetLink"/>
                  <w:sz w:val="20"/>
                </w:rPr>
                <w:t>Letter Agreement between Thomas Szoke and AuthID Inc. dated April 12, 2023</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10.16 (10)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27">
              <w:r>
                <w:rPr>
                  <w:rStyle w:val="InternetLink"/>
                  <w:sz w:val="20"/>
                </w:rPr>
                <w:t>Executive Retention Agreement between Thomas Szoke and AuthID Inc. dated April 12, 2023</w:t>
              </w:r>
            </w:hyperlink>
          </w:p>
        </w:tc>
      </w:tr>
      <w:tr>
        <w:trPr/>
        <w:tc>
          <w:tcPr>
            <w:tcW w:w="1021" w:type="dxa"/>
            <w:tcBorders/>
            <w:tcMar>
              <w:bottom w:w="0" w:type="dxa"/>
            </w:tcMar>
            <w:vAlign w:val="center"/>
          </w:tcPr>
          <w:p>
            <w:pPr>
              <w:pStyle w:val="TableContents"/>
              <w:bidi w:val="0"/>
              <w:spacing w:before="0" w:after="283"/>
              <w:jc w:val="both"/>
              <w:rPr>
                <w:sz w:val="20"/>
              </w:rPr>
            </w:pPr>
            <w:r>
              <w:rPr>
                <w:sz w:val="20"/>
              </w:rPr>
              <w:t>10.17 (11)</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28">
              <w:r>
                <w:rPr>
                  <w:rStyle w:val="InternetLink"/>
                  <w:sz w:val="20"/>
                </w:rPr>
                <w:t>Executive Retention Agreement between Annie Pham and AuthID Inc. dated May 11, 2023</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10.18 (12)**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29">
              <w:r>
                <w:rPr>
                  <w:rStyle w:val="InternetLink"/>
                  <w:sz w:val="20"/>
                </w:rPr>
                <w:t>Form of Securities Purchase Agreement dated as of May 23, 2023 between the Company and accredited investors</w:t>
              </w:r>
            </w:hyperlink>
          </w:p>
        </w:tc>
      </w:tr>
      <w:tr>
        <w:trPr/>
        <w:tc>
          <w:tcPr>
            <w:tcW w:w="1021" w:type="dxa"/>
            <w:tcBorders/>
            <w:tcMar>
              <w:bottom w:w="0" w:type="dxa"/>
            </w:tcMar>
            <w:vAlign w:val="center"/>
          </w:tcPr>
          <w:p>
            <w:pPr>
              <w:pStyle w:val="TableContents"/>
              <w:bidi w:val="0"/>
              <w:spacing w:before="0" w:after="283"/>
              <w:jc w:val="both"/>
              <w:rPr>
                <w:sz w:val="20"/>
              </w:rPr>
            </w:pPr>
            <w:r>
              <w:rPr>
                <w:sz w:val="20"/>
              </w:rPr>
              <w:t>10.19 (12)</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30">
              <w:r>
                <w:rPr>
                  <w:rStyle w:val="InternetLink"/>
                  <w:sz w:val="20"/>
                </w:rPr>
                <w:t>Engagement Agreement dated as of April 20, 2023 between the Company and Madison Global Partners LLC</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10.20 (12)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31">
              <w:r>
                <w:rPr>
                  <w:rStyle w:val="InternetLink"/>
                  <w:sz w:val="20"/>
                </w:rPr>
                <w:t>Stock Purchase Warrant dated May 26, 2023 issued to Madison Global Partners LLC</w:t>
              </w:r>
            </w:hyperlink>
          </w:p>
        </w:tc>
      </w:tr>
      <w:tr>
        <w:trPr/>
        <w:tc>
          <w:tcPr>
            <w:tcW w:w="1021" w:type="dxa"/>
            <w:tcBorders/>
            <w:tcMar>
              <w:bottom w:w="0" w:type="dxa"/>
            </w:tcMar>
            <w:vAlign w:val="center"/>
          </w:tcPr>
          <w:p>
            <w:pPr>
              <w:pStyle w:val="TableContents"/>
              <w:bidi w:val="0"/>
              <w:spacing w:before="0" w:after="283"/>
              <w:jc w:val="both"/>
              <w:rPr>
                <w:sz w:val="20"/>
              </w:rPr>
            </w:pPr>
            <w:r>
              <w:rPr>
                <w:sz w:val="20"/>
              </w:rPr>
              <w:t>10.21 (12)**</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32">
              <w:r>
                <w:rPr>
                  <w:rStyle w:val="InternetLink"/>
                  <w:sz w:val="20"/>
                </w:rPr>
                <w:t>Form of Exchange Agreement dated as of May 23, 2023 between the Company and certain Holders</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10.22 (14)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33">
              <w:r>
                <w:rPr>
                  <w:rStyle w:val="InternetLink"/>
                  <w:sz w:val="20"/>
                </w:rPr>
                <w:t>Letter Agreement between Edward Sellitto and authID Inc. dated July 31, 2023</w:t>
              </w:r>
            </w:hyperlink>
          </w:p>
        </w:tc>
      </w:tr>
      <w:tr>
        <w:trPr/>
        <w:tc>
          <w:tcPr>
            <w:tcW w:w="1021" w:type="dxa"/>
            <w:tcBorders/>
            <w:tcMar>
              <w:bottom w:w="0" w:type="dxa"/>
            </w:tcMar>
            <w:vAlign w:val="center"/>
          </w:tcPr>
          <w:p>
            <w:pPr>
              <w:pStyle w:val="TableContents"/>
              <w:bidi w:val="0"/>
              <w:spacing w:before="0" w:after="283"/>
              <w:jc w:val="both"/>
              <w:rPr>
                <w:sz w:val="20"/>
              </w:rPr>
            </w:pPr>
            <w:r>
              <w:rPr>
                <w:sz w:val="20"/>
              </w:rPr>
              <w:t>10.23 (15)</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34">
              <w:r>
                <w:rPr>
                  <w:rStyle w:val="InternetLink"/>
                  <w:sz w:val="20"/>
                </w:rPr>
                <w:t>Agreement dated October 25, 2023 between The Pipeline Group, Inc. and authID Inc.</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10.24 (17)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35">
              <w:r>
                <w:rPr>
                  <w:rStyle w:val="InternetLink"/>
                  <w:sz w:val="20"/>
                </w:rPr>
                <w:t>Form of Securities Purchase Agreement dated as of November 20, 2023 between the Company and accredited investor</w:t>
              </w:r>
            </w:hyperlink>
          </w:p>
        </w:tc>
      </w:tr>
      <w:tr>
        <w:trPr/>
        <w:tc>
          <w:tcPr>
            <w:tcW w:w="1021" w:type="dxa"/>
            <w:tcBorders/>
            <w:tcMar>
              <w:bottom w:w="0" w:type="dxa"/>
            </w:tcMar>
            <w:vAlign w:val="center"/>
          </w:tcPr>
          <w:p>
            <w:pPr>
              <w:pStyle w:val="TableContents"/>
              <w:bidi w:val="0"/>
              <w:spacing w:before="0" w:after="283"/>
              <w:jc w:val="both"/>
              <w:rPr>
                <w:sz w:val="20"/>
              </w:rPr>
            </w:pPr>
            <w:r>
              <w:rPr>
                <w:sz w:val="20"/>
              </w:rPr>
              <w:t>10.25 (17)</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36">
              <w:r>
                <w:rPr>
                  <w:rStyle w:val="InternetLink"/>
                  <w:sz w:val="20"/>
                </w:rPr>
                <w:t>Engagement Agreement dated as of November 2, 2023 between the Company and Madison Global Partners, LLC</w:t>
              </w:r>
            </w:hyperlink>
          </w:p>
        </w:tc>
      </w:tr>
      <w:tr>
        <w:trPr/>
        <w:tc>
          <w:tcPr>
            <w:tcW w:w="1021" w:type="dxa"/>
            <w:tcBorders/>
            <w:shd w:fill="CCEEFF" w:val="clear"/>
            <w:tcMar>
              <w:bottom w:w="0" w:type="dxa"/>
            </w:tcMar>
            <w:vAlign w:val="center"/>
          </w:tcPr>
          <w:p>
            <w:pPr>
              <w:pStyle w:val="TableContents"/>
              <w:bidi w:val="0"/>
              <w:spacing w:before="0" w:after="283"/>
              <w:jc w:val="both"/>
              <w:rPr>
                <w:sz w:val="20"/>
              </w:rPr>
            </w:pPr>
            <w:r>
              <w:rPr>
                <w:sz w:val="20"/>
              </w:rPr>
              <w:t>10.26 (17)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37">
              <w:r>
                <w:rPr>
                  <w:rStyle w:val="InternetLink"/>
                  <w:sz w:val="20"/>
                </w:rPr>
                <w:t>Stock Purchase Warrant dated November 22, 2023 issued to Madison Global Partners, LLC</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4"/>
        <w:gridCol w:w="90"/>
        <w:gridCol w:w="9101"/>
      </w:tblGrid>
      <w:tr>
        <w:trPr/>
        <w:tc>
          <w:tcPr>
            <w:tcW w:w="1014" w:type="dxa"/>
            <w:tcBorders/>
            <w:shd w:fill="CCEEFF" w:val="clear"/>
            <w:vAlign w:val="center"/>
          </w:tcPr>
          <w:p>
            <w:pPr>
              <w:pStyle w:val="TableContents"/>
              <w:bidi w:val="0"/>
              <w:spacing w:before="0" w:after="283"/>
              <w:jc w:val="both"/>
              <w:rPr>
                <w:sz w:val="20"/>
              </w:rPr>
            </w:pPr>
            <w:r>
              <w:rPr>
                <w:sz w:val="20"/>
              </w:rPr>
              <w:t>10.27 (18)**</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38">
              <w:r>
                <w:rPr>
                  <w:rStyle w:val="InternetLink"/>
                  <w:sz w:val="20"/>
                </w:rPr>
                <w:t>Agreement dated December 19, 2023 between The Pipeline Group, Inc and authID Inc.</w:t>
              </w:r>
            </w:hyperlink>
          </w:p>
        </w:tc>
      </w:tr>
      <w:tr>
        <w:trPr/>
        <w:tc>
          <w:tcPr>
            <w:tcW w:w="1014" w:type="dxa"/>
            <w:tcBorders/>
            <w:vAlign w:val="center"/>
          </w:tcPr>
          <w:p>
            <w:pPr>
              <w:pStyle w:val="TableContents"/>
              <w:bidi w:val="0"/>
              <w:spacing w:before="0" w:after="283"/>
              <w:jc w:val="both"/>
              <w:rPr>
                <w:sz w:val="20"/>
              </w:rPr>
            </w:pPr>
            <w:r>
              <w:rPr>
                <w:sz w:val="20"/>
              </w:rPr>
              <w:t>10.28 (19)</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r:id="rId39">
              <w:r>
                <w:rPr>
                  <w:rStyle w:val="InternetLink"/>
                  <w:sz w:val="20"/>
                </w:rPr>
                <w:t>Letter Agreement between Kunal Mehta and authID Inc.</w:t>
              </w:r>
            </w:hyperlink>
          </w:p>
        </w:tc>
      </w:tr>
      <w:tr>
        <w:trPr/>
        <w:tc>
          <w:tcPr>
            <w:tcW w:w="1014" w:type="dxa"/>
            <w:tcBorders/>
            <w:shd w:fill="CCEEFF" w:val="clear"/>
            <w:vAlign w:val="center"/>
          </w:tcPr>
          <w:p>
            <w:pPr>
              <w:pStyle w:val="TableContents"/>
              <w:bidi w:val="0"/>
              <w:spacing w:before="0" w:after="283"/>
              <w:jc w:val="both"/>
              <w:rPr>
                <w:sz w:val="20"/>
              </w:rPr>
            </w:pPr>
            <w:r>
              <w:rPr>
                <w:sz w:val="20"/>
              </w:rPr>
              <w:t>10.29 (21)**</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40">
              <w:r>
                <w:rPr>
                  <w:rStyle w:val="InternetLink"/>
                  <w:sz w:val="20"/>
                </w:rPr>
                <w:t>Form of Securities Purchase Agreement dated as of June 24, 2024 between the Company and accredited investors</w:t>
              </w:r>
            </w:hyperlink>
          </w:p>
        </w:tc>
      </w:tr>
      <w:tr>
        <w:trPr/>
        <w:tc>
          <w:tcPr>
            <w:tcW w:w="1014" w:type="dxa"/>
            <w:tcBorders/>
            <w:vAlign w:val="center"/>
          </w:tcPr>
          <w:p>
            <w:pPr>
              <w:pStyle w:val="TableContents"/>
              <w:bidi w:val="0"/>
              <w:spacing w:before="0" w:after="283"/>
              <w:jc w:val="both"/>
              <w:rPr>
                <w:sz w:val="20"/>
              </w:rPr>
            </w:pPr>
            <w:r>
              <w:rPr>
                <w:sz w:val="20"/>
              </w:rPr>
              <w:t>10.30 (21)</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r:id="rId41">
              <w:r>
                <w:rPr>
                  <w:rStyle w:val="InternetLink"/>
                  <w:sz w:val="20"/>
                </w:rPr>
                <w:t>Engagement Agreement, dated as of June 24, 2024 between the Company and Madison Global Partners, LLC</w:t>
              </w:r>
            </w:hyperlink>
          </w:p>
        </w:tc>
      </w:tr>
      <w:tr>
        <w:trPr/>
        <w:tc>
          <w:tcPr>
            <w:tcW w:w="1014" w:type="dxa"/>
            <w:tcBorders/>
            <w:shd w:fill="CCEEFF" w:val="clear"/>
            <w:vAlign w:val="center"/>
          </w:tcPr>
          <w:p>
            <w:pPr>
              <w:pStyle w:val="TableContents"/>
              <w:bidi w:val="0"/>
              <w:spacing w:before="0" w:after="283"/>
              <w:jc w:val="both"/>
              <w:rPr>
                <w:sz w:val="20"/>
              </w:rPr>
            </w:pPr>
            <w:r>
              <w:rPr>
                <w:sz w:val="20"/>
              </w:rPr>
              <w:t>10.31 (21)</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42">
              <w:r>
                <w:rPr>
                  <w:rStyle w:val="InternetLink"/>
                  <w:sz w:val="20"/>
                </w:rPr>
                <w:t>Stock Purchase Warrant issued to Madison Global Partners LLC dated June 27, 2024</w:t>
              </w:r>
            </w:hyperlink>
          </w:p>
        </w:tc>
      </w:tr>
      <w:tr>
        <w:trPr/>
        <w:tc>
          <w:tcPr>
            <w:tcW w:w="1014" w:type="dxa"/>
            <w:tcBorders/>
            <w:vAlign w:val="center"/>
          </w:tcPr>
          <w:p>
            <w:pPr>
              <w:pStyle w:val="TableContents"/>
              <w:bidi w:val="0"/>
              <w:spacing w:before="0" w:after="283"/>
              <w:jc w:val="both"/>
              <w:rPr>
                <w:sz w:val="20"/>
              </w:rPr>
            </w:pPr>
            <w:r>
              <w:rPr>
                <w:sz w:val="20"/>
              </w:rPr>
              <w:t>10.32 (23)**</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r:id="rId43">
              <w:r>
                <w:rPr>
                  <w:rStyle w:val="InternetLink"/>
                  <w:sz w:val="20"/>
                </w:rPr>
                <w:t>Agreement dated August 26, 2024 between The Pipeline Group, Inc. and authID Inc.</w:t>
              </w:r>
            </w:hyperlink>
          </w:p>
        </w:tc>
      </w:tr>
      <w:tr>
        <w:trPr/>
        <w:tc>
          <w:tcPr>
            <w:tcW w:w="1014" w:type="dxa"/>
            <w:tcBorders/>
            <w:shd w:fill="CCEEFF" w:val="clear"/>
            <w:vAlign w:val="center"/>
          </w:tcPr>
          <w:p>
            <w:pPr>
              <w:pStyle w:val="TableContents"/>
              <w:bidi w:val="0"/>
              <w:spacing w:before="0" w:after="283"/>
              <w:jc w:val="both"/>
              <w:rPr>
                <w:sz w:val="20"/>
              </w:rPr>
            </w:pPr>
            <w:r>
              <w:rPr>
                <w:sz w:val="20"/>
              </w:rPr>
              <w:t>10.33 (22)</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44">
              <w:r>
                <w:rPr>
                  <w:rStyle w:val="InternetLink"/>
                  <w:sz w:val="20"/>
                </w:rPr>
                <w:t>Letter Agreement between Erick Soto and authID Inc. dated September 10, 2024</w:t>
              </w:r>
            </w:hyperlink>
          </w:p>
        </w:tc>
      </w:tr>
      <w:tr>
        <w:trPr/>
        <w:tc>
          <w:tcPr>
            <w:tcW w:w="1014" w:type="dxa"/>
            <w:tcBorders/>
            <w:vAlign w:val="center"/>
          </w:tcPr>
          <w:p>
            <w:pPr>
              <w:pStyle w:val="TableContents"/>
              <w:bidi w:val="0"/>
              <w:spacing w:before="0" w:after="283"/>
              <w:jc w:val="both"/>
              <w:rPr>
                <w:sz w:val="20"/>
              </w:rPr>
            </w:pPr>
            <w:r>
              <w:rPr>
                <w:sz w:val="20"/>
              </w:rPr>
              <w:t>10.34 (22)</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r:id="rId45">
              <w:r>
                <w:rPr>
                  <w:rStyle w:val="InternetLink"/>
                  <w:sz w:val="20"/>
                </w:rPr>
                <w:t>Executive Retention Agreement between Erick Soto and AuthID Inc. dated September 10, 2024</w:t>
              </w:r>
            </w:hyperlink>
          </w:p>
        </w:tc>
      </w:tr>
      <w:tr>
        <w:trPr/>
        <w:tc>
          <w:tcPr>
            <w:tcW w:w="1014" w:type="dxa"/>
            <w:tcBorders/>
            <w:shd w:fill="CCEEFF" w:val="clear"/>
            <w:vAlign w:val="center"/>
          </w:tcPr>
          <w:p>
            <w:pPr>
              <w:pStyle w:val="TableContents"/>
              <w:bidi w:val="0"/>
              <w:spacing w:before="0" w:after="283"/>
              <w:jc w:val="both"/>
              <w:rPr>
                <w:sz w:val="20"/>
              </w:rPr>
            </w:pPr>
            <w:r>
              <w:rPr>
                <w:sz w:val="20"/>
              </w:rPr>
              <w:t>10.35 (24)</w:t>
            </w:r>
            <w:r>
              <w:rPr>
                <w:b/>
                <w:sz w:val="20"/>
              </w:rPr>
              <w:t>**</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46">
              <w:r>
                <w:rPr>
                  <w:rStyle w:val="InternetLink"/>
                  <w:sz w:val="20"/>
                </w:rPr>
                <w:t>Form of Securities Purchase Agreement dated as of March 31, 2025 between the Company and accredited investors</w:t>
              </w:r>
            </w:hyperlink>
          </w:p>
        </w:tc>
      </w:tr>
      <w:tr>
        <w:trPr/>
        <w:tc>
          <w:tcPr>
            <w:tcW w:w="1014" w:type="dxa"/>
            <w:tcBorders/>
            <w:vAlign w:val="center"/>
          </w:tcPr>
          <w:p>
            <w:pPr>
              <w:pStyle w:val="TableContents"/>
              <w:bidi w:val="0"/>
              <w:spacing w:before="0" w:after="283"/>
              <w:jc w:val="both"/>
              <w:rPr>
                <w:sz w:val="20"/>
              </w:rPr>
            </w:pPr>
            <w:r>
              <w:rPr>
                <w:sz w:val="20"/>
              </w:rPr>
              <w:t>10.36 (24)</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r:id="rId47">
              <w:r>
                <w:rPr>
                  <w:rStyle w:val="InternetLink"/>
                  <w:sz w:val="20"/>
                </w:rPr>
                <w:t>Form of Pre-Funded Warrant dated April 1, 2025</w:t>
              </w:r>
            </w:hyperlink>
          </w:p>
        </w:tc>
      </w:tr>
      <w:tr>
        <w:trPr/>
        <w:tc>
          <w:tcPr>
            <w:tcW w:w="1014" w:type="dxa"/>
            <w:tcBorders/>
            <w:shd w:fill="CCEEFF" w:val="clear"/>
            <w:vAlign w:val="center"/>
          </w:tcPr>
          <w:p>
            <w:pPr>
              <w:pStyle w:val="TableContents"/>
              <w:bidi w:val="0"/>
              <w:spacing w:before="0" w:after="283"/>
              <w:jc w:val="both"/>
              <w:rPr>
                <w:sz w:val="20"/>
              </w:rPr>
            </w:pPr>
            <w:r>
              <w:rPr>
                <w:sz w:val="20"/>
              </w:rPr>
              <w:t>10.37 (24)</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48">
              <w:r>
                <w:rPr>
                  <w:rStyle w:val="InternetLink"/>
                  <w:sz w:val="20"/>
                </w:rPr>
                <w:t>Engagement Agreement dated as of March 12, 2025 between the Company and Madison Global Partners LLC</w:t>
              </w:r>
            </w:hyperlink>
          </w:p>
        </w:tc>
      </w:tr>
      <w:tr>
        <w:trPr/>
        <w:tc>
          <w:tcPr>
            <w:tcW w:w="1014" w:type="dxa"/>
            <w:tcBorders/>
            <w:vAlign w:val="center"/>
          </w:tcPr>
          <w:p>
            <w:pPr>
              <w:pStyle w:val="TableContents"/>
              <w:bidi w:val="0"/>
              <w:spacing w:before="0" w:after="283"/>
              <w:jc w:val="both"/>
              <w:rPr>
                <w:sz w:val="20"/>
              </w:rPr>
            </w:pPr>
            <w:r>
              <w:rPr>
                <w:sz w:val="20"/>
              </w:rPr>
              <w:t>10.38 (24)</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r:id="rId49">
              <w:r>
                <w:rPr>
                  <w:rStyle w:val="InternetLink"/>
                  <w:sz w:val="20"/>
                </w:rPr>
                <w:t>Amendment to the Engagement Agreement dated as of March 26, 2025 between the Company and Madison Global Partners LLC</w:t>
              </w:r>
            </w:hyperlink>
          </w:p>
        </w:tc>
      </w:tr>
      <w:tr>
        <w:trPr/>
        <w:tc>
          <w:tcPr>
            <w:tcW w:w="1014" w:type="dxa"/>
            <w:tcBorders/>
            <w:shd w:fill="CCEEFF" w:val="clear"/>
            <w:vAlign w:val="center"/>
          </w:tcPr>
          <w:p>
            <w:pPr>
              <w:pStyle w:val="TableContents"/>
              <w:bidi w:val="0"/>
              <w:spacing w:before="0" w:after="283"/>
              <w:jc w:val="both"/>
              <w:rPr>
                <w:sz w:val="20"/>
              </w:rPr>
            </w:pPr>
            <w:r>
              <w:rPr>
                <w:sz w:val="20"/>
              </w:rPr>
              <w:t>10.39 (24)</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50">
              <w:r>
                <w:rPr>
                  <w:rStyle w:val="InternetLink"/>
                  <w:sz w:val="20"/>
                </w:rPr>
                <w:t>Placement Agency Agreement between the Company and Dominari Securities LLC dated March 31, 2025</w:t>
              </w:r>
            </w:hyperlink>
          </w:p>
        </w:tc>
      </w:tr>
      <w:tr>
        <w:trPr/>
        <w:tc>
          <w:tcPr>
            <w:tcW w:w="1014" w:type="dxa"/>
            <w:tcBorders/>
            <w:vAlign w:val="center"/>
          </w:tcPr>
          <w:p>
            <w:pPr>
              <w:pStyle w:val="TableContents"/>
              <w:bidi w:val="0"/>
              <w:spacing w:before="0" w:after="283"/>
              <w:jc w:val="both"/>
              <w:rPr>
                <w:sz w:val="20"/>
              </w:rPr>
            </w:pPr>
            <w:r>
              <w:rPr>
                <w:sz w:val="20"/>
              </w:rPr>
              <w:t>10.40 (24)</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r:id="rId51">
              <w:r>
                <w:rPr>
                  <w:rStyle w:val="InternetLink"/>
                  <w:sz w:val="20"/>
                </w:rPr>
                <w:t>Stock Purchase Warrant issued to Madison Global Partners LLC dated April 1, 2025</w:t>
              </w:r>
            </w:hyperlink>
          </w:p>
        </w:tc>
      </w:tr>
      <w:tr>
        <w:trPr/>
        <w:tc>
          <w:tcPr>
            <w:tcW w:w="1014" w:type="dxa"/>
            <w:tcBorders/>
            <w:shd w:fill="CCEEFF" w:val="clear"/>
            <w:vAlign w:val="center"/>
          </w:tcPr>
          <w:p>
            <w:pPr>
              <w:pStyle w:val="TableContents"/>
              <w:bidi w:val="0"/>
              <w:spacing w:before="0" w:after="283"/>
              <w:jc w:val="both"/>
              <w:rPr>
                <w:sz w:val="20"/>
              </w:rPr>
            </w:pPr>
            <w:r>
              <w:rPr>
                <w:sz w:val="20"/>
              </w:rPr>
              <w:t>10.41 (24)</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52">
              <w:r>
                <w:rPr>
                  <w:rStyle w:val="InternetLink"/>
                  <w:sz w:val="20"/>
                </w:rPr>
                <w:t>Stock Purchase Warrant issued to Dominari Securities LLC dated April 1, 2025</w:t>
              </w:r>
            </w:hyperlink>
          </w:p>
        </w:tc>
      </w:tr>
      <w:tr>
        <w:trPr/>
        <w:tc>
          <w:tcPr>
            <w:tcW w:w="1014" w:type="dxa"/>
            <w:tcBorders/>
            <w:vAlign w:val="center"/>
          </w:tcPr>
          <w:p>
            <w:pPr>
              <w:pStyle w:val="TableContents"/>
              <w:bidi w:val="0"/>
              <w:spacing w:before="0" w:after="283"/>
              <w:jc w:val="both"/>
              <w:rPr>
                <w:sz w:val="20"/>
              </w:rPr>
            </w:pPr>
            <w:r>
              <w:rPr>
                <w:sz w:val="20"/>
              </w:rPr>
              <w:t>10.42 (25)</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r:id="rId53">
              <w:r>
                <w:rPr>
                  <w:rStyle w:val="InternetLink"/>
                  <w:sz w:val="20"/>
                </w:rPr>
                <w:t>Form of Securities Purchase Agreement, dated as of May 6, 2025, between the Company and accredited investors</w:t>
              </w:r>
            </w:hyperlink>
          </w:p>
        </w:tc>
      </w:tr>
      <w:tr>
        <w:trPr/>
        <w:tc>
          <w:tcPr>
            <w:tcW w:w="1014" w:type="dxa"/>
            <w:tcBorders/>
            <w:shd w:fill="CCEEFF" w:val="clear"/>
            <w:vAlign w:val="center"/>
          </w:tcPr>
          <w:p>
            <w:pPr>
              <w:pStyle w:val="TableContents"/>
              <w:bidi w:val="0"/>
              <w:spacing w:before="0" w:after="283"/>
              <w:jc w:val="both"/>
              <w:rPr>
                <w:sz w:val="20"/>
              </w:rPr>
            </w:pPr>
            <w:r>
              <w:rPr>
                <w:sz w:val="20"/>
              </w:rPr>
              <w:t>10.43 (25)</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54">
              <w:r>
                <w:rPr>
                  <w:rStyle w:val="InternetLink"/>
                  <w:sz w:val="20"/>
                </w:rPr>
                <w:t>Placement Agency Agreement between the Company and Dominari Securities LLC dated May 6, 2025</w:t>
              </w:r>
            </w:hyperlink>
          </w:p>
        </w:tc>
      </w:tr>
      <w:tr>
        <w:trPr/>
        <w:tc>
          <w:tcPr>
            <w:tcW w:w="1014" w:type="dxa"/>
            <w:tcBorders/>
            <w:vAlign w:val="center"/>
          </w:tcPr>
          <w:p>
            <w:pPr>
              <w:pStyle w:val="TableContents"/>
              <w:bidi w:val="0"/>
              <w:spacing w:before="0" w:after="283"/>
              <w:jc w:val="both"/>
              <w:rPr>
                <w:sz w:val="20"/>
              </w:rPr>
            </w:pPr>
            <w:r>
              <w:rPr>
                <w:sz w:val="20"/>
              </w:rPr>
              <w:t>10.44 (25)</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r:id="rId55">
              <w:r>
                <w:rPr>
                  <w:rStyle w:val="InternetLink"/>
                  <w:sz w:val="20"/>
                </w:rPr>
                <w:t xml:space="preserve">Stock Purchase Warrant issued to Madison Global Partners, LLC dated May 7, 2025 </w:t>
              </w:r>
            </w:hyperlink>
          </w:p>
        </w:tc>
      </w:tr>
      <w:tr>
        <w:trPr/>
        <w:tc>
          <w:tcPr>
            <w:tcW w:w="1014" w:type="dxa"/>
            <w:tcBorders/>
            <w:shd w:fill="CCEEFF" w:val="clear"/>
            <w:vAlign w:val="center"/>
          </w:tcPr>
          <w:p>
            <w:pPr>
              <w:pStyle w:val="TableContents"/>
              <w:bidi w:val="0"/>
              <w:spacing w:before="0" w:after="283"/>
              <w:jc w:val="both"/>
              <w:rPr>
                <w:sz w:val="20"/>
              </w:rPr>
            </w:pPr>
            <w:r>
              <w:rPr>
                <w:sz w:val="20"/>
              </w:rPr>
              <w:t>10.45 (25)</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56">
              <w:r>
                <w:rPr>
                  <w:rStyle w:val="InternetLink"/>
                  <w:sz w:val="20"/>
                </w:rPr>
                <w:t>Stock Purchase Warrant issued to Dominari Securities LLC dated May 7, 2025</w:t>
              </w:r>
            </w:hyperlink>
          </w:p>
        </w:tc>
      </w:tr>
      <w:tr>
        <w:trPr/>
        <w:tc>
          <w:tcPr>
            <w:tcW w:w="1014" w:type="dxa"/>
            <w:tcBorders/>
            <w:vAlign w:val="center"/>
          </w:tcPr>
          <w:p>
            <w:pPr>
              <w:pStyle w:val="TableContents"/>
              <w:bidi w:val="0"/>
              <w:spacing w:before="0" w:after="283"/>
              <w:jc w:val="both"/>
              <w:rPr>
                <w:sz w:val="20"/>
              </w:rPr>
            </w:pPr>
            <w:r>
              <w:rPr>
                <w:sz w:val="20"/>
              </w:rPr>
              <w:t>10.46 (26)</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r:id="rId57">
              <w:r>
                <w:rPr>
                  <w:rStyle w:val="InternetLink"/>
                  <w:sz w:val="20"/>
                </w:rPr>
                <w:t>Form of Director Appointment Letter</w:t>
              </w:r>
            </w:hyperlink>
          </w:p>
        </w:tc>
      </w:tr>
      <w:tr>
        <w:trPr/>
        <w:tc>
          <w:tcPr>
            <w:tcW w:w="1014" w:type="dxa"/>
            <w:tcBorders/>
            <w:shd w:fill="CCEEFF" w:val="clear"/>
            <w:vAlign w:val="center"/>
          </w:tcPr>
          <w:p>
            <w:pPr>
              <w:pStyle w:val="TableContents"/>
              <w:bidi w:val="0"/>
              <w:spacing w:before="0" w:after="283"/>
              <w:jc w:val="both"/>
              <w:rPr>
                <w:sz w:val="20"/>
              </w:rPr>
            </w:pPr>
            <w:r>
              <w:rPr>
                <w:sz w:val="20"/>
              </w:rPr>
              <w:t>10.47 (27)**</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58">
              <w:r>
                <w:rPr>
                  <w:rStyle w:val="InternetLink"/>
                  <w:sz w:val="20"/>
                </w:rPr>
                <w:t>Agreement dated September 26, 2025 between The Pipeline Group, Inc. and authID Inc.</w:t>
              </w:r>
            </w:hyperlink>
            <w:r>
              <w:rPr/>
              <w:t> </w:t>
            </w:r>
          </w:p>
        </w:tc>
      </w:tr>
      <w:tr>
        <w:trPr/>
        <w:tc>
          <w:tcPr>
            <w:tcW w:w="1014" w:type="dxa"/>
            <w:tcBorders/>
            <w:vAlign w:val="center"/>
          </w:tcPr>
          <w:p>
            <w:pPr>
              <w:pStyle w:val="TableContents"/>
              <w:bidi w:val="0"/>
              <w:spacing w:before="0" w:after="283"/>
              <w:jc w:val="both"/>
              <w:rPr>
                <w:sz w:val="20"/>
              </w:rPr>
            </w:pPr>
            <w:r>
              <w:rPr>
                <w:sz w:val="20"/>
              </w:rPr>
              <w:t>10.48 (28)</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r:id="rId59">
              <w:r>
                <w:rPr>
                  <w:rStyle w:val="InternetLink"/>
                  <w:sz w:val="20"/>
                </w:rPr>
                <w:t>Form of Securities Purchase Agreement, dated as of November 21, 2025, between the Company and accredited investors</w:t>
              </w:r>
            </w:hyperlink>
          </w:p>
        </w:tc>
      </w:tr>
      <w:tr>
        <w:trPr/>
        <w:tc>
          <w:tcPr>
            <w:tcW w:w="1014" w:type="dxa"/>
            <w:tcBorders/>
            <w:shd w:fill="CCEEFF" w:val="clear"/>
            <w:vAlign w:val="center"/>
          </w:tcPr>
          <w:p>
            <w:pPr>
              <w:pStyle w:val="TableContents"/>
              <w:bidi w:val="0"/>
              <w:spacing w:before="0" w:after="283"/>
              <w:jc w:val="both"/>
              <w:rPr>
                <w:sz w:val="20"/>
              </w:rPr>
            </w:pPr>
            <w:r>
              <w:rPr>
                <w:sz w:val="20"/>
              </w:rPr>
              <w:t>10.49 (28)</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60">
              <w:r>
                <w:rPr>
                  <w:rStyle w:val="InternetLink"/>
                  <w:sz w:val="20"/>
                </w:rPr>
                <w:t>Form of Pre-Funded Warrant dated November 24, 2025</w:t>
              </w:r>
            </w:hyperlink>
          </w:p>
        </w:tc>
      </w:tr>
      <w:tr>
        <w:trPr/>
        <w:tc>
          <w:tcPr>
            <w:tcW w:w="1014" w:type="dxa"/>
            <w:tcBorders/>
            <w:vAlign w:val="center"/>
          </w:tcPr>
          <w:p>
            <w:pPr>
              <w:pStyle w:val="TableContents"/>
              <w:bidi w:val="0"/>
              <w:spacing w:before="0" w:after="283"/>
              <w:jc w:val="both"/>
              <w:rPr>
                <w:sz w:val="20"/>
              </w:rPr>
            </w:pPr>
            <w:r>
              <w:rPr>
                <w:sz w:val="20"/>
              </w:rPr>
              <w:t>10.50 (28)</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r:id="rId61">
              <w:r>
                <w:rPr>
                  <w:rStyle w:val="InternetLink"/>
                  <w:sz w:val="20"/>
                </w:rPr>
                <w:t>Engagement Agreement dated as of November 20, 2025 between the Company and Madison Global Partners, LLC</w:t>
              </w:r>
            </w:hyperlink>
          </w:p>
        </w:tc>
      </w:tr>
      <w:tr>
        <w:trPr/>
        <w:tc>
          <w:tcPr>
            <w:tcW w:w="1014" w:type="dxa"/>
            <w:tcBorders/>
            <w:shd w:fill="CCEEFF" w:val="clear"/>
            <w:vAlign w:val="center"/>
          </w:tcPr>
          <w:p>
            <w:pPr>
              <w:pStyle w:val="TableContents"/>
              <w:bidi w:val="0"/>
              <w:spacing w:before="0" w:after="283"/>
              <w:jc w:val="both"/>
              <w:rPr>
                <w:sz w:val="20"/>
              </w:rPr>
            </w:pPr>
            <w:r>
              <w:rPr>
                <w:sz w:val="20"/>
              </w:rPr>
              <w:t>10.51 (28)</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62">
              <w:r>
                <w:rPr>
                  <w:rStyle w:val="InternetLink"/>
                  <w:sz w:val="20"/>
                </w:rPr>
                <w:t>Placement Agency Agreement between the Company and Dominari Securities LLC dated November 21, 2025</w:t>
              </w:r>
            </w:hyperlink>
          </w:p>
        </w:tc>
      </w:tr>
      <w:tr>
        <w:trPr/>
        <w:tc>
          <w:tcPr>
            <w:tcW w:w="1014" w:type="dxa"/>
            <w:tcBorders/>
            <w:vAlign w:val="center"/>
          </w:tcPr>
          <w:p>
            <w:pPr>
              <w:pStyle w:val="TableContents"/>
              <w:bidi w:val="0"/>
              <w:spacing w:before="0" w:after="283"/>
              <w:jc w:val="both"/>
              <w:rPr>
                <w:sz w:val="20"/>
              </w:rPr>
            </w:pPr>
            <w:r>
              <w:rPr>
                <w:sz w:val="20"/>
              </w:rPr>
              <w:t>10.52 (28)</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r:id="rId63">
              <w:r>
                <w:rPr>
                  <w:rStyle w:val="InternetLink"/>
                  <w:sz w:val="20"/>
                </w:rPr>
                <w:t>Stock Purchase Warrant issued to Madison Global Partners, LLC</w:t>
              </w:r>
            </w:hyperlink>
          </w:p>
        </w:tc>
      </w:tr>
      <w:tr>
        <w:trPr/>
        <w:tc>
          <w:tcPr>
            <w:tcW w:w="1014" w:type="dxa"/>
            <w:tcBorders/>
            <w:shd w:fill="CCEEFF" w:val="clear"/>
            <w:vAlign w:val="center"/>
          </w:tcPr>
          <w:p>
            <w:pPr>
              <w:pStyle w:val="TableContents"/>
              <w:bidi w:val="0"/>
              <w:spacing w:before="0" w:after="283"/>
              <w:jc w:val="both"/>
              <w:rPr>
                <w:sz w:val="20"/>
              </w:rPr>
            </w:pPr>
            <w:r>
              <w:rPr>
                <w:sz w:val="20"/>
              </w:rPr>
              <w:t>10.53 (28)</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64">
              <w:r>
                <w:rPr>
                  <w:rStyle w:val="InternetLink"/>
                  <w:sz w:val="20"/>
                </w:rPr>
                <w:t>Stock Purchase Warrant issued to Dominari Securities LLC</w:t>
              </w:r>
            </w:hyperlink>
          </w:p>
        </w:tc>
      </w:tr>
      <w:tr>
        <w:trPr/>
        <w:tc>
          <w:tcPr>
            <w:tcW w:w="1014" w:type="dxa"/>
            <w:tcBorders/>
            <w:vAlign w:val="center"/>
          </w:tcPr>
          <w:p>
            <w:pPr>
              <w:pStyle w:val="TableContents"/>
              <w:bidi w:val="0"/>
              <w:spacing w:before="0" w:after="283"/>
              <w:jc w:val="both"/>
              <w:rPr>
                <w:sz w:val="20"/>
              </w:rPr>
            </w:pPr>
            <w:r>
              <w:rPr>
                <w:sz w:val="20"/>
              </w:rPr>
              <w:t>10.54 (28)</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left"/>
              <w:rPr/>
            </w:pPr>
            <w:hyperlink r:id="rId65">
              <w:r>
                <w:rPr>
                  <w:rStyle w:val="InternetLink"/>
                  <w:sz w:val="20"/>
                </w:rPr>
                <w:t>Stock Purchase Warrant issued to Madison Global Partners, LLC dated November 20, 2025</w:t>
              </w:r>
            </w:hyperlink>
          </w:p>
        </w:tc>
      </w:tr>
      <w:tr>
        <w:trPr/>
        <w:tc>
          <w:tcPr>
            <w:tcW w:w="1014" w:type="dxa"/>
            <w:tcBorders/>
            <w:shd w:fill="CCEEFF" w:val="clear"/>
            <w:vAlign w:val="center"/>
          </w:tcPr>
          <w:p>
            <w:pPr>
              <w:pStyle w:val="TableContents"/>
              <w:bidi w:val="0"/>
              <w:spacing w:before="0" w:after="283"/>
              <w:jc w:val="both"/>
              <w:rPr>
                <w:sz w:val="20"/>
              </w:rPr>
            </w:pPr>
            <w:r>
              <w:rPr>
                <w:sz w:val="20"/>
              </w:rPr>
              <w:t>10.55**</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left"/>
              <w:rPr/>
            </w:pPr>
            <w:hyperlink w:anchor="ea028714001ex10-55.htm">
              <w:r>
                <w:rPr>
                  <w:rStyle w:val="InternetLink"/>
                  <w:sz w:val="20"/>
                </w:rPr>
                <w:t>Agreement dated April 13, 2026 between The Pipeline Group, Inc. and authID Inc.</w:t>
              </w:r>
            </w:hyperlink>
          </w:p>
        </w:tc>
      </w:tr>
      <w:tr>
        <w:trPr/>
        <w:tc>
          <w:tcPr>
            <w:tcW w:w="1014" w:type="dxa"/>
            <w:tcBorders/>
            <w:vAlign w:val="center"/>
          </w:tcPr>
          <w:p>
            <w:pPr>
              <w:pStyle w:val="TableContents"/>
              <w:bidi w:val="0"/>
              <w:spacing w:before="0" w:after="283"/>
              <w:jc w:val="both"/>
              <w:rPr/>
            </w:pPr>
            <w:r>
              <w:rPr/>
              <w:t>10.56 (30)</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left"/>
              <w:rPr/>
            </w:pPr>
            <w:hyperlink r:id="rId66">
              <w:r>
                <w:rPr>
                  <w:rStyle w:val="InternetLink"/>
                </w:rPr>
                <w:t>Form of Securities Purchase Agreement dated April 29, 2026</w:t>
              </w:r>
            </w:hyperlink>
          </w:p>
        </w:tc>
      </w:tr>
      <w:tr>
        <w:trPr/>
        <w:tc>
          <w:tcPr>
            <w:tcW w:w="1014" w:type="dxa"/>
            <w:tcBorders/>
            <w:shd w:fill="CCEEFF" w:val="clear"/>
            <w:vAlign w:val="center"/>
          </w:tcPr>
          <w:p>
            <w:pPr>
              <w:pStyle w:val="TableContents"/>
              <w:bidi w:val="0"/>
              <w:spacing w:before="0" w:after="283"/>
              <w:jc w:val="both"/>
              <w:rPr/>
            </w:pPr>
            <w:r>
              <w:rPr/>
              <w:t>10.57 (30)</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left"/>
              <w:rPr/>
            </w:pPr>
            <w:hyperlink r:id="rId67">
              <w:r>
                <w:rPr>
                  <w:rStyle w:val="InternetLink"/>
                </w:rPr>
                <w:t>Form of Senior Secured Debenture</w:t>
              </w:r>
            </w:hyperlink>
          </w:p>
        </w:tc>
      </w:tr>
      <w:tr>
        <w:trPr/>
        <w:tc>
          <w:tcPr>
            <w:tcW w:w="1014" w:type="dxa"/>
            <w:tcBorders/>
            <w:vAlign w:val="center"/>
          </w:tcPr>
          <w:p>
            <w:pPr>
              <w:pStyle w:val="TableContents"/>
              <w:bidi w:val="0"/>
              <w:spacing w:before="0" w:after="283"/>
              <w:jc w:val="both"/>
              <w:rPr/>
            </w:pPr>
            <w:r>
              <w:rPr/>
              <w:t>10.58 (30)</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left"/>
              <w:rPr/>
            </w:pPr>
            <w:hyperlink r:id="rId68">
              <w:r>
                <w:rPr>
                  <w:rStyle w:val="InternetLink"/>
                </w:rPr>
                <w:t>Form of Stock Purchase Warrant</w:t>
              </w:r>
            </w:hyperlink>
          </w:p>
        </w:tc>
      </w:tr>
      <w:tr>
        <w:trPr/>
        <w:tc>
          <w:tcPr>
            <w:tcW w:w="1014" w:type="dxa"/>
            <w:tcBorders/>
            <w:shd w:fill="CCEEFF" w:val="clear"/>
            <w:vAlign w:val="center"/>
          </w:tcPr>
          <w:p>
            <w:pPr>
              <w:pStyle w:val="TableContents"/>
              <w:bidi w:val="0"/>
              <w:spacing w:before="0" w:after="283"/>
              <w:jc w:val="both"/>
              <w:rPr/>
            </w:pPr>
            <w:r>
              <w:rPr/>
              <w:t>10.59 (30)</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left"/>
              <w:rPr/>
            </w:pPr>
            <w:hyperlink r:id="rId69">
              <w:r>
                <w:rPr>
                  <w:rStyle w:val="InternetLink"/>
                </w:rPr>
                <w:t>Form Security Agreement dated April 29, 2026</w:t>
              </w:r>
            </w:hyperlink>
          </w:p>
        </w:tc>
      </w:tr>
      <w:tr>
        <w:trPr/>
        <w:tc>
          <w:tcPr>
            <w:tcW w:w="1014" w:type="dxa"/>
            <w:tcBorders/>
            <w:vAlign w:val="center"/>
          </w:tcPr>
          <w:p>
            <w:pPr>
              <w:pStyle w:val="TableContents"/>
              <w:bidi w:val="0"/>
              <w:spacing w:before="0" w:after="283"/>
              <w:jc w:val="both"/>
              <w:rPr/>
            </w:pPr>
            <w:r>
              <w:rPr/>
              <w:t>10.60 (30)</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left"/>
              <w:rPr/>
            </w:pPr>
            <w:hyperlink r:id="rId70">
              <w:r>
                <w:rPr>
                  <w:rStyle w:val="InternetLink"/>
                </w:rPr>
                <w:t>Form Registration Rights Agreement dated April 29, 2026</w:t>
              </w:r>
            </w:hyperlink>
          </w:p>
        </w:tc>
      </w:tr>
      <w:tr>
        <w:trPr/>
        <w:tc>
          <w:tcPr>
            <w:tcW w:w="1014" w:type="dxa"/>
            <w:tcBorders/>
            <w:shd w:fill="CCEEFF" w:val="clear"/>
            <w:vAlign w:val="center"/>
          </w:tcPr>
          <w:p>
            <w:pPr>
              <w:pStyle w:val="TableContents"/>
              <w:bidi w:val="0"/>
              <w:spacing w:before="0" w:after="283"/>
              <w:jc w:val="both"/>
              <w:rPr>
                <w:sz w:val="20"/>
              </w:rPr>
            </w:pPr>
            <w:r>
              <w:rPr>
                <w:sz w:val="20"/>
              </w:rPr>
              <w:t>14.1 (16)</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71">
              <w:r>
                <w:rPr>
                  <w:rStyle w:val="InternetLink"/>
                  <w:sz w:val="20"/>
                </w:rPr>
                <w:t>Code of Ethics</w:t>
              </w:r>
            </w:hyperlink>
          </w:p>
        </w:tc>
      </w:tr>
      <w:tr>
        <w:trPr/>
        <w:tc>
          <w:tcPr>
            <w:tcW w:w="1014" w:type="dxa"/>
            <w:tcBorders/>
            <w:vAlign w:val="center"/>
          </w:tcPr>
          <w:p>
            <w:pPr>
              <w:pStyle w:val="TableContents"/>
              <w:bidi w:val="0"/>
              <w:spacing w:before="0" w:after="283"/>
              <w:jc w:val="both"/>
              <w:rPr>
                <w:sz w:val="20"/>
              </w:rPr>
            </w:pPr>
            <w:r>
              <w:rPr>
                <w:sz w:val="20"/>
              </w:rPr>
              <w:t>19 (23)</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r:id="rId72">
              <w:r>
                <w:rPr>
                  <w:rStyle w:val="InternetLink"/>
                  <w:sz w:val="20"/>
                </w:rPr>
                <w:t>Insider Trading Policy</w:t>
              </w:r>
            </w:hyperlink>
          </w:p>
        </w:tc>
      </w:tr>
      <w:tr>
        <w:trPr/>
        <w:tc>
          <w:tcPr>
            <w:tcW w:w="1014" w:type="dxa"/>
            <w:tcBorders/>
            <w:shd w:fill="CCEEFF" w:val="clear"/>
            <w:vAlign w:val="center"/>
          </w:tcPr>
          <w:p>
            <w:pPr>
              <w:pStyle w:val="TableContents"/>
              <w:bidi w:val="0"/>
              <w:spacing w:before="0" w:after="283"/>
              <w:jc w:val="both"/>
              <w:rPr>
                <w:sz w:val="20"/>
              </w:rPr>
            </w:pPr>
            <w:r>
              <w:rPr>
                <w:sz w:val="20"/>
              </w:rPr>
              <w:t>21.1(29)</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73">
              <w:r>
                <w:rPr>
                  <w:rStyle w:val="InternetLink"/>
                  <w:sz w:val="20"/>
                </w:rPr>
                <w:t>List of Subsidiaries</w:t>
              </w:r>
            </w:hyperlink>
          </w:p>
        </w:tc>
      </w:tr>
      <w:tr>
        <w:trPr/>
        <w:tc>
          <w:tcPr>
            <w:tcW w:w="1014" w:type="dxa"/>
            <w:tcBorders/>
            <w:vAlign w:val="center"/>
          </w:tcPr>
          <w:p>
            <w:pPr>
              <w:pStyle w:val="TableContents"/>
              <w:bidi w:val="0"/>
              <w:spacing w:before="0" w:after="283"/>
              <w:jc w:val="both"/>
              <w:rPr>
                <w:sz w:val="20"/>
              </w:rPr>
            </w:pPr>
            <w:r>
              <w:rPr>
                <w:sz w:val="20"/>
              </w:rPr>
              <w:t>31.1*</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w:anchor="ea028714001ex31-1.htm">
              <w:r>
                <w:rPr>
                  <w:rStyle w:val="InternetLink"/>
                  <w:sz w:val="20"/>
                </w:rPr>
                <w:t>Certification of Chief Executive Officer pursuant to Rule 13a-14(a)/15d-14(a) of the Securities Exchange Act</w:t>
              </w:r>
            </w:hyperlink>
          </w:p>
        </w:tc>
      </w:tr>
      <w:tr>
        <w:trPr/>
        <w:tc>
          <w:tcPr>
            <w:tcW w:w="1014" w:type="dxa"/>
            <w:tcBorders/>
            <w:shd w:fill="CCEEFF" w:val="clear"/>
            <w:vAlign w:val="center"/>
          </w:tcPr>
          <w:p>
            <w:pPr>
              <w:pStyle w:val="TableContents"/>
              <w:bidi w:val="0"/>
              <w:spacing w:before="0" w:after="283"/>
              <w:jc w:val="both"/>
              <w:rPr>
                <w:sz w:val="20"/>
              </w:rPr>
            </w:pPr>
            <w:r>
              <w:rPr>
                <w:sz w:val="20"/>
              </w:rPr>
              <w:t>31.2*</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w:anchor="ea028714001ex31-2.htm">
              <w:r>
                <w:rPr>
                  <w:rStyle w:val="InternetLink"/>
                  <w:sz w:val="20"/>
                </w:rPr>
                <w:t>Certification of Chief Financial Officer pursuant to Rule 13a-14(a)/15d-14(a) of the Securities Exchange Act</w:t>
              </w:r>
            </w:hyperlink>
          </w:p>
        </w:tc>
      </w:tr>
      <w:tr>
        <w:trPr/>
        <w:tc>
          <w:tcPr>
            <w:tcW w:w="1014" w:type="dxa"/>
            <w:tcBorders/>
            <w:vAlign w:val="center"/>
          </w:tcPr>
          <w:p>
            <w:pPr>
              <w:pStyle w:val="TableContents"/>
              <w:bidi w:val="0"/>
              <w:spacing w:before="0" w:after="283"/>
              <w:jc w:val="both"/>
              <w:rPr>
                <w:sz w:val="20"/>
              </w:rPr>
            </w:pPr>
            <w:r>
              <w:rPr>
                <w:sz w:val="20"/>
              </w:rPr>
              <w:t>32.1*</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hyperlink w:anchor="ea028714001ex32-1.htm">
              <w:r>
                <w:rPr>
                  <w:rStyle w:val="InternetLink"/>
                  <w:sz w:val="20"/>
                </w:rPr>
                <w:t>Certification of Chief Executive Officer and Chief Financial Officer pursuant to 18 U.S.C. §1350, as adopted pursuant to Section 906 of the Sarbanes-Oxley Act of 2002</w:t>
              </w:r>
            </w:hyperlink>
          </w:p>
        </w:tc>
      </w:tr>
      <w:tr>
        <w:trPr/>
        <w:tc>
          <w:tcPr>
            <w:tcW w:w="1014" w:type="dxa"/>
            <w:tcBorders/>
            <w:shd w:fill="CCEEFF" w:val="clear"/>
            <w:vAlign w:val="center"/>
          </w:tcPr>
          <w:p>
            <w:pPr>
              <w:pStyle w:val="TableContents"/>
              <w:bidi w:val="0"/>
              <w:spacing w:before="0" w:after="283"/>
              <w:jc w:val="both"/>
              <w:rPr>
                <w:sz w:val="20"/>
              </w:rPr>
            </w:pPr>
            <w:r>
              <w:rPr>
                <w:sz w:val="20"/>
              </w:rPr>
              <w:t>97.1 (16)</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pPr>
            <w:hyperlink r:id="rId74">
              <w:r>
                <w:rPr>
                  <w:rStyle w:val="InternetLink"/>
                  <w:sz w:val="20"/>
                </w:rPr>
                <w:t>Policy for the Recovery of Erroneously Awarded Compensation adopted October 6, 2023</w:t>
              </w:r>
            </w:hyperlink>
          </w:p>
        </w:tc>
      </w:tr>
      <w:tr>
        <w:trPr/>
        <w:tc>
          <w:tcPr>
            <w:tcW w:w="1014" w:type="dxa"/>
            <w:tcBorders/>
            <w:vAlign w:val="center"/>
          </w:tcPr>
          <w:p>
            <w:pPr>
              <w:pStyle w:val="TableContents"/>
              <w:bidi w:val="0"/>
              <w:spacing w:before="0" w:after="283"/>
              <w:jc w:val="both"/>
              <w:rPr>
                <w:sz w:val="20"/>
              </w:rPr>
            </w:pPr>
            <w:r>
              <w:rPr>
                <w:sz w:val="20"/>
              </w:rPr>
              <w:t>99.1 (20)</w:t>
            </w:r>
          </w:p>
        </w:tc>
        <w:tc>
          <w:tcPr>
            <w:tcW w:w="90" w:type="dxa"/>
            <w:tcBorders/>
            <w:vAlign w:val="center"/>
          </w:tcPr>
          <w:p>
            <w:pPr>
              <w:pStyle w:val="TableContents"/>
              <w:bidi w:val="0"/>
              <w:spacing w:before="0" w:after="283"/>
              <w:jc w:val="both"/>
              <w:rPr/>
            </w:pPr>
            <w:r>
              <w:rPr/>
              <w:t> </w:t>
            </w:r>
          </w:p>
        </w:tc>
        <w:tc>
          <w:tcPr>
            <w:tcW w:w="9101" w:type="dxa"/>
            <w:tcBorders/>
            <w:vAlign w:val="center"/>
          </w:tcPr>
          <w:p>
            <w:pPr>
              <w:pStyle w:val="TableContents"/>
              <w:bidi w:val="0"/>
              <w:spacing w:before="0" w:after="283"/>
              <w:jc w:val="both"/>
              <w:rPr/>
            </w:pPr>
            <w:hyperlink r:id="rId75">
              <w:r>
                <w:rPr>
                  <w:rStyle w:val="InternetLink"/>
                  <w:sz w:val="20"/>
                </w:rPr>
                <w:t>Policy on Granting Equity Awards</w:t>
              </w:r>
            </w:hyperlink>
          </w:p>
        </w:tc>
      </w:tr>
      <w:tr>
        <w:trPr/>
        <w:tc>
          <w:tcPr>
            <w:tcW w:w="1014" w:type="dxa"/>
            <w:tcBorders/>
            <w:shd w:fill="CCEEFF" w:val="clear"/>
            <w:vAlign w:val="center"/>
          </w:tcPr>
          <w:p>
            <w:pPr>
              <w:pStyle w:val="TableContents"/>
              <w:bidi w:val="0"/>
              <w:spacing w:before="0" w:after="283"/>
              <w:jc w:val="both"/>
              <w:rPr>
                <w:sz w:val="20"/>
              </w:rPr>
            </w:pPr>
            <w:r>
              <w:rPr>
                <w:sz w:val="20"/>
              </w:rPr>
              <w:t>101.INS*</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sz w:val="20"/>
              </w:rPr>
            </w:pPr>
            <w:r>
              <w:rPr>
                <w:sz w:val="20"/>
              </w:rPr>
              <w:t xml:space="preserve">Inline XBRL Instance Document </w:t>
            </w:r>
          </w:p>
        </w:tc>
      </w:tr>
      <w:tr>
        <w:trPr/>
        <w:tc>
          <w:tcPr>
            <w:tcW w:w="1014" w:type="dxa"/>
            <w:tcBorders/>
            <w:vAlign w:val="center"/>
          </w:tcPr>
          <w:p>
            <w:pPr>
              <w:pStyle w:val="TableContents"/>
              <w:bidi w:val="0"/>
              <w:spacing w:before="0" w:after="283"/>
              <w:jc w:val="both"/>
              <w:rPr>
                <w:sz w:val="20"/>
              </w:rPr>
            </w:pPr>
            <w:r>
              <w:rPr>
                <w:sz w:val="20"/>
              </w:rPr>
              <w:t>101.SCH*</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sz w:val="20"/>
              </w:rPr>
            </w:pPr>
            <w:r>
              <w:rPr>
                <w:sz w:val="20"/>
              </w:rPr>
              <w:t xml:space="preserve">Inline XBRL Taxonomy Extension Schema Document </w:t>
            </w:r>
          </w:p>
        </w:tc>
      </w:tr>
      <w:tr>
        <w:trPr/>
        <w:tc>
          <w:tcPr>
            <w:tcW w:w="1014" w:type="dxa"/>
            <w:tcBorders/>
            <w:shd w:fill="CCEEFF" w:val="clear"/>
            <w:vAlign w:val="center"/>
          </w:tcPr>
          <w:p>
            <w:pPr>
              <w:pStyle w:val="TableContents"/>
              <w:bidi w:val="0"/>
              <w:spacing w:before="0" w:after="283"/>
              <w:jc w:val="both"/>
              <w:rPr>
                <w:sz w:val="20"/>
              </w:rPr>
            </w:pPr>
            <w:r>
              <w:rPr>
                <w:sz w:val="20"/>
              </w:rPr>
              <w:t>101.CAL*</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sz w:val="20"/>
              </w:rPr>
            </w:pPr>
            <w:r>
              <w:rPr>
                <w:sz w:val="20"/>
              </w:rPr>
              <w:t xml:space="preserve">Inline XBRL Taxonomy Extension Calculation Linkbase Document </w:t>
            </w:r>
          </w:p>
        </w:tc>
      </w:tr>
      <w:tr>
        <w:trPr/>
        <w:tc>
          <w:tcPr>
            <w:tcW w:w="1014" w:type="dxa"/>
            <w:tcBorders/>
            <w:vAlign w:val="center"/>
          </w:tcPr>
          <w:p>
            <w:pPr>
              <w:pStyle w:val="TableContents"/>
              <w:bidi w:val="0"/>
              <w:spacing w:before="0" w:after="283"/>
              <w:jc w:val="both"/>
              <w:rPr>
                <w:sz w:val="20"/>
              </w:rPr>
            </w:pPr>
            <w:r>
              <w:rPr>
                <w:sz w:val="20"/>
              </w:rPr>
              <w:t>101.DEF*</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sz w:val="20"/>
              </w:rPr>
            </w:pPr>
            <w:r>
              <w:rPr>
                <w:sz w:val="20"/>
              </w:rPr>
              <w:t xml:space="preserve">Inline XBRL Taxonomy Extension Definition Linkbase Document </w:t>
            </w:r>
          </w:p>
        </w:tc>
      </w:tr>
      <w:tr>
        <w:trPr/>
        <w:tc>
          <w:tcPr>
            <w:tcW w:w="1014" w:type="dxa"/>
            <w:tcBorders/>
            <w:shd w:fill="CCEEFF" w:val="clear"/>
            <w:vAlign w:val="center"/>
          </w:tcPr>
          <w:p>
            <w:pPr>
              <w:pStyle w:val="TableContents"/>
              <w:bidi w:val="0"/>
              <w:spacing w:before="0" w:after="283"/>
              <w:jc w:val="both"/>
              <w:rPr>
                <w:sz w:val="20"/>
              </w:rPr>
            </w:pPr>
            <w:r>
              <w:rPr>
                <w:sz w:val="20"/>
              </w:rPr>
              <w:t>101.LAB*</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sz w:val="20"/>
              </w:rPr>
            </w:pPr>
            <w:r>
              <w:rPr>
                <w:sz w:val="20"/>
              </w:rPr>
              <w:t xml:space="preserve">Inline XBRL Taxonomy Extension Label Linkbase Document </w:t>
            </w:r>
          </w:p>
        </w:tc>
      </w:tr>
      <w:tr>
        <w:trPr/>
        <w:tc>
          <w:tcPr>
            <w:tcW w:w="1014" w:type="dxa"/>
            <w:tcBorders/>
            <w:vAlign w:val="center"/>
          </w:tcPr>
          <w:p>
            <w:pPr>
              <w:pStyle w:val="TableContents"/>
              <w:bidi w:val="0"/>
              <w:spacing w:before="0" w:after="283"/>
              <w:jc w:val="both"/>
              <w:rPr>
                <w:sz w:val="20"/>
              </w:rPr>
            </w:pPr>
            <w:r>
              <w:rPr>
                <w:sz w:val="20"/>
              </w:rPr>
              <w:t>101.PRE*</w:t>
            </w:r>
          </w:p>
        </w:tc>
        <w:tc>
          <w:tcPr>
            <w:tcW w:w="9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sz w:val="20"/>
              </w:rPr>
            </w:pPr>
            <w:r>
              <w:rPr>
                <w:sz w:val="20"/>
              </w:rPr>
              <w:t xml:space="preserve">Inline XBRL Taxonomy Extension Presentation Linkbase Document </w:t>
            </w:r>
          </w:p>
        </w:tc>
      </w:tr>
      <w:tr>
        <w:trPr/>
        <w:tc>
          <w:tcPr>
            <w:tcW w:w="1014" w:type="dxa"/>
            <w:tcBorders/>
            <w:shd w:fill="CCEEFF" w:val="clear"/>
            <w:vAlign w:val="center"/>
          </w:tcPr>
          <w:p>
            <w:pPr>
              <w:pStyle w:val="TableContents"/>
              <w:bidi w:val="0"/>
              <w:spacing w:before="0" w:after="283"/>
              <w:jc w:val="both"/>
              <w:rPr>
                <w:sz w:val="20"/>
              </w:rPr>
            </w:pPr>
            <w:r>
              <w:rPr>
                <w:sz w:val="20"/>
              </w:rPr>
              <w:t>104</w:t>
            </w:r>
          </w:p>
        </w:tc>
        <w:tc>
          <w:tcPr>
            <w:tcW w:w="90" w:type="dxa"/>
            <w:tcBorders/>
            <w:shd w:fill="CCEEFF" w:val="clear"/>
            <w:vAlign w:val="center"/>
          </w:tcPr>
          <w:p>
            <w:pPr>
              <w:pStyle w:val="TableContents"/>
              <w:bidi w:val="0"/>
              <w:spacing w:before="0" w:after="283"/>
              <w:jc w:val="left"/>
              <w:rPr/>
            </w:pPr>
            <w:r>
              <w:rPr/>
              <w:t> </w:t>
            </w:r>
          </w:p>
        </w:tc>
        <w:tc>
          <w:tcPr>
            <w:tcW w:w="9101" w:type="dxa"/>
            <w:tcBorders/>
            <w:shd w:fill="CCEEFF" w:val="clear"/>
            <w:vAlign w:val="center"/>
          </w:tcPr>
          <w:p>
            <w:pPr>
              <w:pStyle w:val="TableContents"/>
              <w:bidi w:val="0"/>
              <w:spacing w:before="0" w:after="283"/>
              <w:jc w:val="both"/>
              <w:rPr>
                <w:sz w:val="20"/>
              </w:rPr>
            </w:pPr>
            <w:r>
              <w:rPr>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confidential portions of this exhibit were omitted by means of marking such portions with asterisks because the identified confidential portions (i) are not material and (ii) would be competitively harmful if publicly disclosed. A copy of any omitted portions will be furnished to the SEC upon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March 23, 2021.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June 15, 2021.</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10-Q Quarterly Report filed with the Securities Exchange Commission on May 4, 2018.</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S-8 Registration Statement filed with the Securities Exchange Commission on February 1, 2022.</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April 27, 2022.</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July 19, 2022.</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September 21, 2022.</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March 10, 2023.</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March 28, 2023.</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April 18, 2023.</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May 16, 2023.</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May 26, 2023.</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June 27, 2023.</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August 3, 2023.</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1"/>
        <w:gridCol w:w="9814"/>
      </w:tblGrid>
      <w:tr>
        <w:trPr/>
        <w:tc>
          <w:tcPr>
            <w:tcW w:w="3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October 26, 2023.</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10-Q Quarterly Report filed with the Securities Exchange Commission on November 8, 2023.</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November 27, 2023.</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December 21, 2023.</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March 26, 2024.</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1"/>
        <w:gridCol w:w="9814"/>
      </w:tblGrid>
      <w:tr>
        <w:trPr/>
        <w:tc>
          <w:tcPr>
            <w:tcW w:w="3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8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10-Q Quarterly Report filed with the Securities Exchange Commission on May 15, 2024.</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June 27, 2024.</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10-Q Quarterly Report filed with the Securities Exchange Commission on November 7, 2024.</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1"/>
        <w:gridCol w:w="9814"/>
      </w:tblGrid>
      <w:tr>
        <w:trPr/>
        <w:tc>
          <w:tcPr>
            <w:tcW w:w="3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10-K Annual Report filed with the Securities Exchange Commission on March 13, 2025.</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8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April 2, 2025.</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8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May 7, 2025</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10-Q Quarterly Report filed with the Securities Exchange Commission on August 14, 2025</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10-Q Quarterly Report filed with the Securities Exchange Commission on November 12, 2025</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November 24, 2025</w:t>
            </w:r>
          </w:p>
        </w:tc>
      </w:tr>
      <w:tr>
        <w:trPr/>
        <w:tc>
          <w:tcPr>
            <w:tcW w:w="39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283"/>
              <w:jc w:val="both"/>
              <w:rPr/>
            </w:pPr>
            <w:r>
              <w:rPr/>
              <w:t> </w:t>
            </w:r>
          </w:p>
        </w:tc>
      </w:tr>
      <w:tr>
        <w:trPr/>
        <w:tc>
          <w:tcPr>
            <w:tcW w:w="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10-K Annual Report filed with the Securities Exchange Commission on March 31, 2026.</w:t>
            </w:r>
          </w:p>
        </w:tc>
      </w:tr>
      <w:tr>
        <w:trPr/>
        <w:tc>
          <w:tcPr>
            <w:tcW w:w="39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283"/>
              <w:jc w:val="both"/>
              <w:rPr/>
            </w:pPr>
            <w:r>
              <w:rPr/>
              <w:t> </w:t>
            </w:r>
          </w:p>
        </w:tc>
      </w:tr>
      <w:tr>
        <w:trPr/>
        <w:tc>
          <w:tcPr>
            <w:tcW w:w="390" w:type="dxa"/>
            <w:tcBorders/>
            <w:vAlign w:val="center"/>
          </w:tcPr>
          <w:p>
            <w:pPr>
              <w:pStyle w:val="TableContents"/>
              <w:bidi w:val="0"/>
              <w:spacing w:before="0" w:after="283"/>
              <w:jc w:val="left"/>
              <w:rPr>
                <w:sz w:val="20"/>
              </w:rPr>
            </w:pPr>
            <w:r>
              <w:rPr>
                <w:sz w:val="20"/>
              </w:rPr>
              <w:t>(30)</w:t>
            </w:r>
          </w:p>
        </w:tc>
        <w:tc>
          <w:tcPr>
            <w:tcW w:w="9815" w:type="dxa"/>
            <w:tcBorders/>
            <w:vAlign w:val="center"/>
          </w:tcPr>
          <w:p>
            <w:pPr>
              <w:pStyle w:val="TableContents"/>
              <w:bidi w:val="0"/>
              <w:spacing w:before="0" w:after="283"/>
              <w:jc w:val="both"/>
              <w:rPr>
                <w:sz w:val="20"/>
              </w:rPr>
            </w:pPr>
            <w:r>
              <w:rPr>
                <w:sz w:val="20"/>
              </w:rPr>
              <w:t>Incorporated by reference to the Form 8-K Current Report filed with the Securities Exchange Commission on May 1, 2026.</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648"/>
        <w:jc w:val="left"/>
        <w:rPr>
          <w:caps w:val="false"/>
          <w:smallCaps w:val="false"/>
        </w:rPr>
      </w:pPr>
      <w:r>
        <w:rPr>
          <w:caps w:val="false"/>
          <w:smallCaps w:val="false"/>
        </w:rPr>
        <w:t> </w:t>
      </w:r>
    </w:p>
    <w:tbl>
      <w:tblPr>
        <w:tblW w:w="1145" w:type="dxa"/>
        <w:jc w:val="left"/>
        <w:tblInd w:w="0" w:type="dxa"/>
        <w:tblLayout w:type="fixed"/>
        <w:tblCellMar>
          <w:top w:w="0" w:type="dxa"/>
          <w:left w:w="0" w:type="dxa"/>
          <w:bottom w:w="0" w:type="dxa"/>
          <w:right w:w="0" w:type="dxa"/>
        </w:tblCellMar>
      </w:tblPr>
      <w:tblGrid>
        <w:gridCol w:w="105"/>
        <w:gridCol w:w="10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tc>
      </w:tr>
    </w:tbl>
    <w:p>
      <w:pPr>
        <w:pStyle w:val="TextBody"/>
        <w:bidi w:val="0"/>
        <w:spacing w:before="0" w:after="0"/>
        <w:ind w:left="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0" w:type="dxa"/>
          <w:right w:w="0" w:type="dxa"/>
        </w:tblCellMar>
      </w:tblPr>
      <w:tblGrid>
        <w:gridCol w:w="1790"/>
        <w:gridCol w:w="350"/>
        <w:gridCol w:w="3710"/>
      </w:tblGrid>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Rhoniel A. Daguro</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Rhoniel A. Daguro </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 Sellitto</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 Sellitto</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r>
        <w:trPr/>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14, 2026</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1" w:name="ea028714001ex10-55.htm"/>
      <w:bookmarkStart w:id="22" w:name="ksea028714001ex1055"/>
      <w:bookmarkEnd w:id="21"/>
      <w:bookmarkEnd w:id="22"/>
      <w:r>
        <w:rPr>
          <w:b/>
        </w:rPr>
        <w:t>Exhibit 10.55</w:t>
      </w:r>
      <w:r>
        <w:br w:type="page"/>
      </w:r>
    </w:p>
    <w:p>
      <w:pPr>
        <w:pStyle w:val="TextBody"/>
        <w:bidi w:val="0"/>
        <w:spacing w:before="0" w:after="0"/>
        <w:ind w:left="0" w:right="0" w:hanging="0"/>
        <w:jc w:val="righ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3105"/>
        <w:gridCol w:w="2490"/>
      </w:tblGrid>
      <w:tr>
        <w:trPr/>
        <w:tc>
          <w:tcPr>
            <w:tcW w:w="3105"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1962150"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6"/>
                          <a:stretch>
                            <a:fillRect/>
                          </a:stretch>
                        </pic:blipFill>
                        <pic:spPr bwMode="auto">
                          <a:xfrm>
                            <a:off x="0" y="0"/>
                            <a:ext cx="1962150" cy="542925"/>
                          </a:xfrm>
                          <a:prstGeom prst="rect">
                            <a:avLst/>
                          </a:prstGeom>
                        </pic:spPr>
                      </pic:pic>
                    </a:graphicData>
                  </a:graphic>
                </wp:inline>
              </w:drawing>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Pipeline Group, LLC (“TPG”)</w:t>
              <w:br/>
              <w:t>1625 The Alameda, Suite 402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Jose, CA 95126</w:t>
            </w:r>
          </w:p>
          <w:p>
            <w:pPr>
              <w:pStyle w:val="TableContents"/>
              <w:bidi w:val="0"/>
              <w:spacing w:before="0" w:after="0"/>
              <w:ind w:left="0" w:right="0" w:hanging="0"/>
              <w:jc w:val="left"/>
              <w:rPr>
                <w:caps w:val="false"/>
                <w:smallCaps w:val="false"/>
              </w:rPr>
            </w:pPr>
            <w:r>
              <w:rPr>
                <w:caps w:val="false"/>
                <w:smallCaps w:val="false"/>
              </w:rPr>
              <w:t> </w:t>
            </w:r>
          </w:p>
        </w:tc>
        <w:tc>
          <w:tcPr>
            <w:tcW w:w="2490" w:type="dxa"/>
            <w:tcBorders/>
            <w:vAlign w:val="center"/>
          </w:tcPr>
          <w:p>
            <w:pPr>
              <w:pStyle w:val="TableContents"/>
              <w:bidi w:val="0"/>
              <w:spacing w:before="0" w:after="283"/>
              <w:jc w:val="right"/>
              <w:rPr/>
            </w:pPr>
            <w:r>
              <w:rPr/>
              <w:drawing>
                <wp:inline distT="0" distB="0" distL="0" distR="0">
                  <wp:extent cx="1571625"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7"/>
                          <a:stretch>
                            <a:fillRect/>
                          </a:stretch>
                        </pic:blipFill>
                        <pic:spPr bwMode="auto">
                          <a:xfrm>
                            <a:off x="0" y="0"/>
                            <a:ext cx="1571625" cy="209550"/>
                          </a:xfrm>
                          <a:prstGeom prst="rect">
                            <a:avLst/>
                          </a:prstGeom>
                        </pic:spPr>
                      </pic:pic>
                    </a:graphicData>
                  </a:graphic>
                </wp:inline>
              </w:drawing>
            </w:r>
          </w:p>
        </w:tc>
      </w:tr>
      <w:tr>
        <w:trPr/>
        <w:tc>
          <w:tcPr>
            <w:tcW w:w="310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DETAILS:</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923925" cy="904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8"/>
                    <a:stretch>
                      <a:fillRect/>
                    </a:stretch>
                  </pic:blipFill>
                  <pic:spPr bwMode="auto">
                    <a:xfrm>
                      <a:off x="0" y="0"/>
                      <a:ext cx="923925" cy="9048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TPG Order Form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 effective engagement. </w:t>
      </w:r>
      <w:r>
        <w:rPr>
          <w:rFonts w:ascii="Times New Roman;Times;Serif" w:hAnsi="Times New Roman;Times;Serif"/>
          <w:b/>
          <w:i w:val="false"/>
          <w:caps w:val="false"/>
          <w:smallCaps w:val="false"/>
          <w:sz w:val="20"/>
        </w:rPr>
        <w:t>More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Prepared for:</w:t>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2525"/>
        <w:gridCol w:w="2720"/>
      </w:tblGrid>
      <w:tr>
        <w:trPr/>
        <w:tc>
          <w:tcPr>
            <w:tcW w:w="2525"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authID Inc.</w:t>
            </w:r>
          </w:p>
          <w:p>
            <w:pPr>
              <w:pStyle w:val="TableContents"/>
              <w:bidi w:val="0"/>
              <w:jc w:val="left"/>
              <w:rPr>
                <w:rFonts w:ascii="Times New Roman;Times;Serif" w:hAnsi="Times New Roman;Times;Serif"/>
                <w:sz w:val="20"/>
              </w:rPr>
            </w:pPr>
            <w:r>
              <w:rPr>
                <w:rFonts w:ascii="Times New Roman;Times;Serif" w:hAnsi="Times New Roman;Times;Serif"/>
                <w:sz w:val="20"/>
              </w:rPr>
              <w:t>Ed Sellitto, CFO</w:t>
            </w:r>
          </w:p>
          <w:p>
            <w:pPr>
              <w:pStyle w:val="TableContents"/>
              <w:bidi w:val="0"/>
              <w:jc w:val="left"/>
              <w:rPr>
                <w:rFonts w:ascii="Times New Roman;Times;Serif" w:hAnsi="Times New Roman;Times;Serif"/>
                <w:sz w:val="20"/>
              </w:rPr>
            </w:pPr>
            <w:r>
              <w:rPr>
                <w:rFonts w:ascii="Times New Roman;Times;Serif" w:hAnsi="Times New Roman;Times;Serif"/>
                <w:sz w:val="20"/>
              </w:rPr>
              <w:t>1580 N. Logan St., Ste 660,</w:t>
            </w:r>
          </w:p>
          <w:p>
            <w:pPr>
              <w:pStyle w:val="TableContents"/>
              <w:bidi w:val="0"/>
              <w:jc w:val="left"/>
              <w:rPr>
                <w:rFonts w:ascii="Times New Roman;Times;Serif" w:hAnsi="Times New Roman;Times;Serif"/>
                <w:sz w:val="20"/>
              </w:rPr>
            </w:pPr>
            <w:r>
              <w:rPr>
                <w:rFonts w:ascii="Times New Roman;Times;Serif" w:hAnsi="Times New Roman;Times;Serif"/>
                <w:sz w:val="20"/>
              </w:rPr>
              <w:t>Unit 51767</w:t>
            </w:r>
          </w:p>
          <w:p>
            <w:pPr>
              <w:pStyle w:val="TableContents"/>
              <w:bidi w:val="0"/>
              <w:jc w:val="left"/>
              <w:rPr>
                <w:rFonts w:ascii="Times New Roman;Times;Serif" w:hAnsi="Times New Roman;Times;Serif"/>
                <w:sz w:val="20"/>
              </w:rPr>
            </w:pPr>
            <w:r>
              <w:rPr>
                <w:rFonts w:ascii="Times New Roman;Times;Serif" w:hAnsi="Times New Roman;Times;Serif"/>
                <w:sz w:val="20"/>
              </w:rPr>
              <w:t>Denver, Colorado 80203-1994</w:t>
            </w:r>
          </w:p>
          <w:p>
            <w:pPr>
              <w:pStyle w:val="TableContents"/>
              <w:bidi w:val="0"/>
              <w:jc w:val="left"/>
              <w:rPr>
                <w:rFonts w:ascii="Times New Roman;Times;Serif" w:hAnsi="Times New Roman;Times;Serif"/>
                <w:sz w:val="20"/>
              </w:rPr>
            </w:pPr>
            <w:r>
              <w:rPr>
                <w:rFonts w:ascii="Times New Roman;Times;Serif" w:hAnsi="Times New Roman;Times;Serif"/>
                <w:sz w:val="20"/>
              </w:rPr>
              <w:t>[**]</w:t>
            </w:r>
          </w:p>
          <w:p>
            <w:pPr>
              <w:pStyle w:val="TableContents"/>
              <w:bidi w:val="0"/>
              <w:jc w:val="left"/>
              <w:rPr>
                <w:rFonts w:ascii="Times New Roman;Times;Serif" w:hAnsi="Times New Roman;Times;Serif"/>
                <w:sz w:val="20"/>
              </w:rPr>
            </w:pPr>
            <w:r>
              <w:rPr>
                <w:rFonts w:ascii="Times New Roman;Times;Serif" w:hAnsi="Times New Roman;Times;Serif"/>
                <w:sz w:val="20"/>
              </w:rPr>
              <w:t xml:space="preserve">[**] </w:t>
            </w:r>
          </w:p>
          <w:p>
            <w:pPr>
              <w:pStyle w:val="TableContents"/>
              <w:bidi w:val="0"/>
              <w:spacing w:before="0" w:after="283"/>
              <w:jc w:val="left"/>
              <w:rPr/>
            </w:pPr>
            <w:r>
              <w:rPr/>
              <w:t> </w:t>
            </w:r>
          </w:p>
        </w:tc>
        <w:tc>
          <w:tcPr>
            <w:tcW w:w="272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The Pipeline Group, LLC</w:t>
            </w:r>
          </w:p>
          <w:p>
            <w:pPr>
              <w:pStyle w:val="TableContents"/>
              <w:bidi w:val="0"/>
              <w:jc w:val="left"/>
              <w:rPr>
                <w:rFonts w:ascii="Times New Roman;Times;Serif" w:hAnsi="Times New Roman;Times;Serif"/>
                <w:sz w:val="20"/>
              </w:rPr>
            </w:pPr>
            <w:r>
              <w:rPr>
                <w:rFonts w:ascii="Times New Roman;Times;Serif" w:hAnsi="Times New Roman;Times;Serif"/>
                <w:sz w:val="20"/>
              </w:rPr>
              <w:t>Scott Wiesenfeld, Regional Sales</w:t>
            </w:r>
          </w:p>
          <w:p>
            <w:pPr>
              <w:pStyle w:val="TableContents"/>
              <w:bidi w:val="0"/>
              <w:jc w:val="left"/>
              <w:rPr>
                <w:rFonts w:ascii="Times New Roman;Times;Serif" w:hAnsi="Times New Roman;Times;Serif"/>
                <w:sz w:val="20"/>
              </w:rPr>
            </w:pPr>
            <w:r>
              <w:rPr>
                <w:rFonts w:ascii="Times New Roman;Times;Serif" w:hAnsi="Times New Roman;Times;Serif"/>
                <w:sz w:val="20"/>
              </w:rPr>
              <w:t>Director-U.S.</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xDR as a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Fully Managed Business Development Representatives (xDRs)</w:t>
        <w:br/>
      </w:r>
      <w:r>
        <w:rPr>
          <w:rFonts w:ascii="Times New Roman;Times;Serif" w:hAnsi="Times New Roman;Times;Serif"/>
          <w:b w:val="false"/>
          <w:i w:val="false"/>
          <w:caps w:val="false"/>
          <w:smallCaps w:val="false"/>
          <w:sz w:val="20"/>
        </w:rPr>
        <w:t>- Full-Time Equivalent xDRs: Pipeline creation and efficient new business generation.</w:t>
        <w:br/>
        <w:t>- Outbound calls, emails, social outreach, scheduled meetings, sends calendar invites and attend discovery calls.</w:t>
        <w:br/>
        <w:t>- Certified in client messaging, TPG technology, and TPG best practices.</w:t>
        <w:br/>
        <w:t>- Maintain anticipated activity metrics for the appropriate by xDR Type and Total Addressable Marketing (TAM).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xDR Support</w:t>
      </w:r>
      <w:r>
        <w:rPr>
          <w:rFonts w:ascii="Times New Roman;Times;Serif" w:hAnsi="Times New Roman;Times;Serif"/>
          <w:b w:val="false"/>
          <w:i w:val="false"/>
          <w:caps w:val="false"/>
          <w:smallCaps w:val="false"/>
          <w:sz w:val="20"/>
        </w:rPr>
        <w:br/>
        <w:t>- Full-time support for xDRs during breaks, PTO, and sick days.</w:t>
        <w:br/>
        <w:t>- Backup for performance and unanticipated issues.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xDR Management &amp; Training Deliverables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xDR Manager</w:t>
        <w:br/>
        <w:t xml:space="preserve">- </w:t>
      </w:r>
      <w:r>
        <w:rPr>
          <w:rFonts w:ascii="Times New Roman;Times;Serif" w:hAnsi="Times New Roman;Times;Serif"/>
          <w:b w:val="false"/>
          <w:i w:val="false"/>
          <w:caps w:val="false"/>
          <w:smallCaps w:val="false"/>
          <w:sz w:val="20"/>
        </w:rPr>
        <w:t>Weekly reviews of reports and dashboards.</w:t>
        <w:br/>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Identify areas for soft skill improvements.</w:t>
        <w:br/>
        <w:br/>
      </w:r>
      <w:r>
        <w:rPr>
          <w:rFonts w:ascii="Times New Roman;Times;Serif" w:hAnsi="Times New Roman;Times;Serif"/>
          <w:b/>
          <w:i w:val="false"/>
          <w:caps w:val="false"/>
          <w:smallCaps w:val="false"/>
          <w:sz w:val="20"/>
        </w:rPr>
        <w:t>4. Cold Calling Optimization Training</w:t>
        <w:br/>
        <w:t xml:space="preserve">- </w:t>
      </w:r>
      <w:r>
        <w:rPr>
          <w:rFonts w:ascii="Times New Roman;Times;Serif" w:hAnsi="Times New Roman;Times;Serif"/>
          <w:b w:val="false"/>
          <w:i w:val="false"/>
          <w:caps w:val="false"/>
          <w:smallCaps w:val="false"/>
          <w:sz w:val="20"/>
        </w:rPr>
        <w:t>Role-play sessions with updated conversation guides.</w:t>
        <w:br/>
        <w:t>- Objection-handling techniques. Call blitz campaigns to boost team performance.</w:t>
        <w:br/>
        <w:br/>
      </w:r>
      <w:r>
        <w:rPr>
          <w:rFonts w:ascii="Times New Roman;Times;Serif" w:hAnsi="Times New Roman;Times;Serif"/>
          <w:b/>
          <w:i w:val="false"/>
          <w:caps w:val="false"/>
          <w:smallCaps w:val="false"/>
          <w:sz w:val="20"/>
        </w:rPr>
        <w:t>5. xDR Advisory Services &amp; Benchmarking</w:t>
        <w:br/>
        <w:t xml:space="preserve">- </w:t>
      </w:r>
      <w:r>
        <w:rPr>
          <w:rFonts w:ascii="Times New Roman;Times;Serif" w:hAnsi="Times New Roman;Times;Serif"/>
          <w:b w:val="false"/>
          <w:i w:val="false"/>
          <w:caps w:val="false"/>
          <w:smallCaps w:val="false"/>
          <w:sz w:val="20"/>
        </w:rPr>
        <w:t>Semi-quarterly executive reviews comparing xDR activities with industry benchmarks.</w:t>
        <w:br/>
        <w:t>- Continuous updates on trends, tactics, and tools.</w:t>
        <w:br/>
        <w:br/>
      </w:r>
      <w:r>
        <w:rPr>
          <w:rFonts w:ascii="Times New Roman;Times;Serif" w:hAnsi="Times New Roman;Times;Serif"/>
          <w:b/>
          <w:i w:val="false"/>
          <w:caps w:val="false"/>
          <w:smallCaps w:val="false"/>
          <w:sz w:val="20"/>
        </w:rPr>
        <w:t>6. Meeting Hand-off Training</w:t>
        <w:br/>
        <w:t xml:space="preserve">- </w:t>
      </w:r>
      <w:r>
        <w:rPr>
          <w:rFonts w:ascii="Times New Roman;Times;Serif" w:hAnsi="Times New Roman;Times;Serif"/>
          <w:b w:val="false"/>
          <w:i w:val="false"/>
          <w:caps w:val="false"/>
          <w:smallCaps w:val="false"/>
          <w:sz w:val="20"/>
        </w:rPr>
        <w:t>Align systems and ensure smooth handoffs from xDRs to sales teams.</w:t>
        <w:br/>
        <w:t xml:space="preserve">- All xDRs are trained on TPG-guided selling best practices to ensure the pipeline progresses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TPG Technologies™ Support &amp; Configuration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TPG Technologies Configuration &amp; Support</w:t>
        <w:br/>
      </w:r>
      <w:r>
        <w:rPr>
          <w:rFonts w:ascii="Times New Roman;Times;Serif" w:hAnsi="Times New Roman;Times;Serif"/>
          <w:b w:val="false"/>
          <w:i w:val="false"/>
          <w:caps w:val="false"/>
          <w:smallCaps w:val="false"/>
          <w:sz w:val="20"/>
        </w:rPr>
        <w:t>- First-line support for automated dialing technology, with email and social integration.</w:t>
        <w:br/>
        <w:t>- Ongoing system maintenance and escalation as needed.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Ideal Customer Profile (ICP) Services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ICP Data Classification</w:t>
        <w:br/>
        <w:t xml:space="preserve">- </w:t>
      </w:r>
      <w:r>
        <w:rPr>
          <w:rFonts w:ascii="Times New Roman;Times;Serif" w:hAnsi="Times New Roman;Times;Serif"/>
          <w:b w:val="false"/>
          <w:i w:val="false"/>
          <w:caps w:val="false"/>
          <w:smallCaps w:val="false"/>
          <w:sz w:val="20"/>
        </w:rPr>
        <w:t>Categorize Salesforce data by industry, employee size, and revenue.</w:t>
        <w:br/>
        <w:t>- Define ICP criteria and create a detailed ICP document.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Outbound List Building</w:t>
        <w:br/>
        <w:t xml:space="preserve">- </w:t>
      </w:r>
      <w:r>
        <w:rPr>
          <w:rFonts w:ascii="Times New Roman;Times;Serif" w:hAnsi="Times New Roman;Times;Serif"/>
          <w:b w:val="false"/>
          <w:i w:val="false"/>
          <w:caps w:val="false"/>
          <w:smallCaps w:val="false"/>
          <w:sz w:val="20"/>
        </w:rPr>
        <w:t>Segment Salesforce data and 3rd-party leads for outbound calls.</w:t>
        <w:br/>
        <w:t>- Build high-propensity account lists based on ICP.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Conversation Guide Content Curation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Content Review</w:t>
        <w:br/>
        <w:t xml:space="preserve">- </w:t>
      </w:r>
      <w:r>
        <w:rPr>
          <w:rFonts w:ascii="Times New Roman;Times;Serif" w:hAnsi="Times New Roman;Times;Serif"/>
          <w:b w:val="false"/>
          <w:i w:val="false"/>
          <w:caps w:val="false"/>
          <w:smallCaps w:val="false"/>
          <w:sz w:val="20"/>
        </w:rPr>
        <w:t>Audit sales, marketing, and product content (e.g., personas, objections, use cases).</w:t>
        <w:br/>
        <w:t>- Develop an initial Conversation Guide (CG).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Conversation Guide Updates</w:t>
        <w:br/>
        <w:t xml:space="preserve">- </w:t>
      </w:r>
      <w:r>
        <w:rPr>
          <w:rFonts w:ascii="Times New Roman;Times;Serif" w:hAnsi="Times New Roman;Times;Serif"/>
          <w:b w:val="false"/>
          <w:i w:val="false"/>
          <w:caps w:val="false"/>
          <w:smallCaps w:val="false"/>
          <w:sz w:val="20"/>
        </w:rPr>
        <w:t>Create checklists and integrate feedback from sales teams.</w:t>
        <w:br/>
        <w:t>- Maintain and refine the guide throughout the project.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Conversation Guide Administration</w:t>
        <w:br/>
      </w:r>
      <w:r>
        <w:rPr>
          <w:rFonts w:ascii="Times New Roman;Times;Serif" w:hAnsi="Times New Roman;Times;Serif"/>
          <w:b w:val="false"/>
          <w:i w:val="false"/>
          <w:caps w:val="false"/>
          <w:smallCaps w:val="false"/>
          <w:sz w:val="20"/>
        </w:rPr>
        <w:t>- Weekly updates with best practices for personas, objections, and qualification criteria.</w:t>
        <w:br/>
        <w:t>- Train sales teams on new guide content.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&amp; Social Content Curation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Custom Email &amp; Social Messages</w:t>
        <w:br/>
        <w:t xml:space="preserve">- </w:t>
      </w:r>
      <w:r>
        <w:rPr>
          <w:rFonts w:ascii="Times New Roman;Times;Serif" w:hAnsi="Times New Roman;Times;Serif"/>
          <w:b w:val="false"/>
          <w:i w:val="false"/>
          <w:caps w:val="false"/>
          <w:smallCaps w:val="false"/>
          <w:sz w:val="20"/>
        </w:rPr>
        <w:t>Create and optimize email/social templates for prospecting and follow-ups.</w:t>
        <w:br/>
        <w:t xml:space="preserve">- TPG AI Content Co-Pilot creates high-value first-draft emails that can be personalized and authentic.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Services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Data Enrichment &amp; Custom List Building</w:t>
        <w:br/>
        <w:t xml:space="preserve">- </w:t>
      </w:r>
      <w:r>
        <w:rPr>
          <w:rFonts w:ascii="Times New Roman;Times;Serif" w:hAnsi="Times New Roman;Times;Serif"/>
          <w:b w:val="false"/>
          <w:i w:val="false"/>
          <w:caps w:val="false"/>
          <w:smallCaps w:val="false"/>
          <w:sz w:val="20"/>
        </w:rPr>
        <w:t>Enrich and append data from marketing activities (e.g., webinars, trade shows).</w:t>
        <w:br/>
        <w:t>- Custom list building to find new ICP-matched data - up to 1,000 records per xDR per month.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Development Support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Network Operations Center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Real-time monitoring of activity metrics and results.</w:t>
        <w:br/>
        <w:t>- Issue identification, resolution, and support for xDR messaging and call lists.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xDR Team Control Books and Predictable Pipeline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Predictive Pipeline Development (PPD) Reporting</w:t>
        <w:br/>
        <w:t xml:space="preserve">- </w:t>
      </w:r>
      <w:r>
        <w:rPr>
          <w:rFonts w:ascii="Times New Roman;Times;Serif" w:hAnsi="Times New Roman;Times;Serif"/>
          <w:b w:val="false"/>
          <w:i w:val="false"/>
          <w:caps w:val="false"/>
          <w:smallCaps w:val="false"/>
          <w:sz w:val="20"/>
        </w:rPr>
        <w:t>Maintain PPD reporting in CRM with weekly data reviews.</w:t>
        <w:br/>
        <w:t>- Ensure process compliance and deliver executive-level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TPG Technologies™</w:t>
      </w:r>
      <w:r>
        <w:rPr>
          <w:rFonts w:ascii="Times New Roman;Times;Serif" w:hAnsi="Times New Roman;Times;Serif"/>
          <w:b w:val="false"/>
          <w:i w:val="false"/>
          <w:caps w:val="false"/>
          <w:smallCaps w:val="false"/>
          <w:sz w:val="20"/>
        </w:rPr>
        <w:t xml:space="preserve"> The world’s most advanced parallel dialing technology, offers four hybrid modes: Manual, Click-to-Call, AI, and Agent-Assisted Dialing. Enable xDRs to send timely, personalized messages across text, email, and social platforms.</w:t>
        <w:br/>
        <w:br/>
      </w:r>
      <w:r>
        <w:rPr>
          <w:rFonts w:ascii="Times New Roman;Times;Serif" w:hAnsi="Times New Roman;Times;Serif"/>
          <w:b/>
          <w:i w:val="false"/>
          <w:caps w:val="false"/>
          <w:smallCaps w:val="false"/>
          <w:sz w:val="20"/>
        </w:rPr>
        <w:t>TPG Task &amp; Activity Outcome Package</w:t>
      </w:r>
      <w:r>
        <w:rPr>
          <w:rFonts w:ascii="Times New Roman;Times;Serif" w:hAnsi="Times New Roman;Times;Serif"/>
          <w:b w:val="false"/>
          <w:i w:val="false"/>
          <w:caps w:val="false"/>
          <w:smallCaps w:val="false"/>
          <w:sz w:val="20"/>
        </w:rPr>
        <w:t xml:space="preserve"> automates lead status updates based on activity outcomes, streamlining a closed-loop calling process.</w:t>
        <w:br/>
        <w:br/>
      </w:r>
      <w:r>
        <w:rPr>
          <w:rFonts w:ascii="Times New Roman;Times;Serif" w:hAnsi="Times New Roman;Times;Serif"/>
          <w:b/>
          <w:i w:val="false"/>
          <w:caps w:val="false"/>
          <w:smallCaps w:val="false"/>
          <w:sz w:val="20"/>
        </w:rPr>
        <w:t>TPG Exception Reporting</w:t>
      </w:r>
      <w:r>
        <w:rPr>
          <w:rFonts w:ascii="Times New Roman;Times;Serif" w:hAnsi="Times New Roman;Times;Serif"/>
          <w:b w:val="false"/>
          <w:i w:val="false"/>
          <w:caps w:val="false"/>
          <w:smallCaps w:val="false"/>
          <w:sz w:val="20"/>
        </w:rPr>
        <w:t xml:space="preserve"> ensures all leads are resolved by identifying gaps in follow-up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TPG Meeting Influence Tracking</w:t>
      </w:r>
      <w:r>
        <w:rPr>
          <w:rFonts w:ascii="Times New Roman;Times;Serif" w:hAnsi="Times New Roman;Times;Serif"/>
          <w:b w:val="false"/>
          <w:i w:val="false"/>
          <w:caps w:val="false"/>
          <w:smallCaps w:val="false"/>
          <w:sz w:val="20"/>
        </w:rPr>
        <w:t xml:space="preserve"> monitors meetings via TPG Fuel Lines, linking xDR activities to marketing channels and campaigns.</w:t>
        <w:br/>
        <w:br/>
      </w:r>
      <w:r>
        <w:rPr>
          <w:rFonts w:ascii="Times New Roman;Times;Serif" w:hAnsi="Times New Roman;Times;Serif"/>
          <w:b/>
          <w:i w:val="false"/>
          <w:caps w:val="false"/>
          <w:smallCaps w:val="false"/>
          <w:sz w:val="20"/>
        </w:rPr>
        <w:t>TPG Account Matcher</w:t>
      </w:r>
      <w:r>
        <w:rPr>
          <w:rFonts w:ascii="Times New Roman;Times;Serif" w:hAnsi="Times New Roman;Times;Serif"/>
          <w:b w:val="false"/>
          <w:i w:val="false"/>
          <w:caps w:val="false"/>
          <w:smallCaps w:val="false"/>
          <w:sz w:val="20"/>
        </w:rPr>
        <w:t xml:space="preserve"> connects leads to accounts using email or domain data while suppressing customers, open opportunities, partners, and competitors.</w:t>
        <w:br/>
        <w:br/>
      </w:r>
      <w:r>
        <w:rPr>
          <w:rFonts w:ascii="Times New Roman;Times;Serif" w:hAnsi="Times New Roman;Times;Serif"/>
          <w:b/>
          <w:i w:val="false"/>
          <w:caps w:val="false"/>
          <w:smallCaps w:val="false"/>
          <w:sz w:val="20"/>
        </w:rPr>
        <w:t>TPG Control Book &amp; Predictable Pipeline Reporting</w:t>
      </w:r>
      <w:r>
        <w:rPr>
          <w:rFonts w:ascii="Times New Roman;Times;Serif" w:hAnsi="Times New Roman;Times;Serif"/>
          <w:b w:val="false"/>
          <w:i w:val="false"/>
          <w:caps w:val="false"/>
          <w:smallCaps w:val="false"/>
          <w:sz w:val="20"/>
        </w:rPr>
        <w:t xml:space="preserve"> tracks key waterfall metrics, pipeline growth, and automated proactive KPI Alerting.</w:t>
        <w:br/>
        <w:br/>
      </w:r>
      <w:r>
        <w:rPr>
          <w:rFonts w:ascii="Times New Roman;Times;Serif" w:hAnsi="Times New Roman;Times;Serif"/>
          <w:b/>
          <w:i w:val="false"/>
          <w:caps w:val="false"/>
          <w:smallCaps w:val="false"/>
          <w:sz w:val="20"/>
        </w:rPr>
        <w:t>TPG LinkedIn Sales Navigator</w:t>
      </w:r>
      <w:r>
        <w:rPr>
          <w:rFonts w:ascii="Times New Roman;Times;Serif" w:hAnsi="Times New Roman;Times;Serif"/>
          <w:b w:val="false"/>
          <w:i w:val="false"/>
          <w:caps w:val="false"/>
          <w:smallCaps w:val="false"/>
          <w:sz w:val="20"/>
        </w:rPr>
        <w:t xml:space="preserve"> empowers xDRs to research and engage prospects, fostering meaningful relationships.</w:t>
        <w:br/>
      </w:r>
      <w:r>
        <w:rPr>
          <w:rFonts w:ascii="Times New Roman;Times;Serif" w:hAnsi="Times New Roman;Times;Serif"/>
          <w:b/>
          <w:i w:val="false"/>
          <w:caps w:val="false"/>
          <w:smallCaps w:val="false"/>
          <w:sz w:val="20"/>
        </w:rPr>
        <w:br/>
        <w:t>TPG AI Content Co-Pilot</w:t>
      </w:r>
      <w:r>
        <w:rPr>
          <w:rFonts w:ascii="Times New Roman;Times;Serif" w:hAnsi="Times New Roman;Times;Serif"/>
          <w:b w:val="false"/>
          <w:i w:val="false"/>
          <w:caps w:val="false"/>
          <w:smallCaps w:val="false"/>
          <w:sz w:val="20"/>
        </w:rPr>
        <w:t xml:space="preserve"> provides tailored prompts to craft high-value emails and messages for executives and target personas.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Project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acknowledges that TPG’s ability to perform the Services, including meeting timelines and anticipated results is expressly conditioned upon Customer’s timely, accurate, and complete performance of the Customer Responsibilities set forth herein “Customer Responsibilities”). Customer’s failure to comply with these Customer Responsibilities shall relieve TPG of any related performance obligations to the extent impacted and shall not constitute a breach of this Order Form or Agreement by TPG. Customer agrees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Provide Content and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timely, accurate, and complete access to all sales, marketing, product, and positioning content reasonably required by TPG to perform the Services, including messaging guidelines, branding requirements, compliance constraints, and target audience definitions. The Services are designed and priced based on Customer-provided project assumptions in effect as of the start date of the Order Form, including without limitation Customer’s ICP, target account lists, TAM, target industries, ACV, geographies, personas, and the allocation between inbound and outbound motion. Customer shall promptly notify TPG in writing (email) of any material change to the foregoing assumptions, including but not limited to: (i) changes to ICP or target personas; (ii) shifts in priority between inbound and outbound activities; (iii) expansion, contraction, or redefinition of TAM; or (iv) changes to ACV thresholds, qualification criteria, or deal sizing methodology as these changes may materially impact the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System Access and Data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TPG provides an Opportunity Progression &amp; Alerting Package (“OPAP”) to support objective visibility into pipeline activity and to facilitate effective delivery of the Services. Customer acknowledges that OPAP functionality and TPG’s performance of the Services require Customer to provide timely, continuous, and appropriately permissioned access to Customer’s CRM, marketing automation platforms, and any other systems reasonably necessary for service delivery, including for activity alignment, results logging, reporting, and tracking pipeline metrics (including meetings, opportunities, next steps, deal stages, and associated values). Customer is solely responsible for the accuracy, completeness, configuration, and ongoing availability of such systems and data, and TPG shall have no responsibility or liability for errors, inaccuracies, omissions, or service impacts arising from Customer systems, integrations, or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Email and Calendar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designated xDR personnel with timely access to Customer-approved company email accounts and relevant sales team calendars, with appropriate permissions, to enable outreach, scheduling, and coordination of meetings. Customer acknowledges that delays or limitations in granting or maintaining such access may materially impact the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Timeliness and Cooperation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promptly and professionally to TPG requests for information, approvals, feedback, or decisions necessary to perform the Services and Customer acknowledges that delays in response or failure to provide required approvals may result in delays, reduced effectiveness, or suspension of the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Compliance and Authorized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that all Customer systems, data, instructions, and use cases comply with applicable laws, including data protection, privacy, and marketing regulations. Customer is responsible for ensuring that outreach conducted on its behalf and for any required consents complies with Customer’s internal policies and applicable legal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further understands and agrees that TPG shall not be responsible for missed deadlines, reduced performance, reporting gaps, or failure to achieve anticipated outcomes to the extent caused by Customer’s failure to meet its Customer responsibilities; TPG may reasonably adjust timelines, suspend Services, or continue billing in accordance with the applicable Order Form if such failure materially impairs performance; any performance targets or anticipated deliverables shall be deemed waived or equitably adjusted to the extent impacted by Customer’s non-performance; the Services are provided on a headcount-equivalent model, and not on performance-based basis any Fees payable under this Agreement and any applicable Order Form are based on the allocation of personnel, time, and resources, and are earned as Services are performed, regardless of any particular outcome or business objective; Customer shall not withhold payment, be entitled to fee reductions, credits, or refunds, or assert failure of consideration based on dissatisfaction with results or perceived performance shortfalls; TPG uses commercially reasonable industry standards in delivering the Services but does not guarantee specific outcomes, results, or business metrics; and the effectiveness and results of the Services depend on numerous factors outside of TPG’s control, including without limitation Customer’s product, pricing, market conditions, brand recognition, competitive landscape, data quality, system configuration, messaging approvals, compliance constraints, responsiveness, and the timely performance of Customer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TPG Technology Package</w:t>
        <w:br/>
        <w:t>CRM license fees for xDRs using The Pipeline Group Salesforce.com system.</w:t>
        <w:br/>
        <w:t>Access to 28+ data sources and up to 1,000 human-verified records per xDR per month (e.g., a team of four xDRs receives up to 4,000 records monthly).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Excluded Costs</w:t>
        <w:br/>
        <w:br/>
      </w:r>
      <w:r>
        <w:rPr>
          <w:rFonts w:ascii="Times New Roman;Times;Serif" w:hAnsi="Times New Roman;Times;Serif"/>
          <w:b w:val="false"/>
          <w:i w:val="false"/>
          <w:caps w:val="false"/>
          <w:smallCaps w:val="false"/>
          <w:sz w:val="20"/>
        </w:rPr>
        <w:t>Travel expenses.</w:t>
        <w:br/>
        <w:t>CRM License for Customer Org.</w:t>
        <w:br/>
        <w:t>Custom or CRM code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xDR Types &amp; Regions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1069"/>
        <w:gridCol w:w="8898"/>
      </w:tblGrid>
      <w:tr>
        <w:trPr/>
        <w:tc>
          <w:tcPr>
            <w:tcW w:w="23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pPr>
            <w:r>
              <w:rPr/>
              <w:t>●</w:t>
            </w:r>
          </w:p>
        </w:tc>
        <w:tc>
          <w:tcPr>
            <w:tcW w:w="8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Strategic US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Presumed ACV/ASP Value</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755"/>
        <w:gridCol w:w="9282"/>
      </w:tblGrid>
      <w:tr>
        <w:trPr/>
        <w:tc>
          <w:tcPr>
            <w:tcW w:w="16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pPr>
            <w:r>
              <w:rPr/>
              <w:t>●</w:t>
            </w:r>
          </w:p>
        </w:tc>
        <w:tc>
          <w:tcPr>
            <w:tcW w:w="9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Strategic ACV/ASP $[**]</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Anticipated Results (Per xDR)</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1254"/>
        <w:gridCol w:w="8671"/>
      </w:tblGrid>
      <w:tr>
        <w:trPr/>
        <w:tc>
          <w:tcPr>
            <w:tcW w:w="28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pPr>
            <w:r>
              <w:rPr/>
              <w:t>●</w:t>
            </w:r>
          </w:p>
        </w:tc>
        <w:tc>
          <w:tcPr>
            <w:tcW w:w="86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Month 1: </w:t>
            </w:r>
            <w:r>
              <w:rPr>
                <w:rFonts w:ascii="Times New Roman;Times;Serif" w:hAnsi="Times New Roman;Times;Serif"/>
                <w:sz w:val="20"/>
              </w:rPr>
              <w: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1254"/>
        <w:gridCol w:w="8671"/>
      </w:tblGrid>
      <w:tr>
        <w:trPr/>
        <w:tc>
          <w:tcPr>
            <w:tcW w:w="28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pPr>
            <w:r>
              <w:rPr/>
              <w:t>●</w:t>
            </w:r>
          </w:p>
        </w:tc>
        <w:tc>
          <w:tcPr>
            <w:tcW w:w="86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Month 2: </w:t>
            </w:r>
            <w:r>
              <w:rPr>
                <w:rFonts w:ascii="Times New Roman;Times;Serif" w:hAnsi="Times New Roman;Times;Serif"/>
                <w:sz w:val="20"/>
              </w:rPr>
              <w: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1254"/>
        <w:gridCol w:w="8671"/>
      </w:tblGrid>
      <w:tr>
        <w:trPr/>
        <w:tc>
          <w:tcPr>
            <w:tcW w:w="28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pPr>
            <w:r>
              <w:rPr/>
              <w:t>●</w:t>
            </w:r>
          </w:p>
        </w:tc>
        <w:tc>
          <w:tcPr>
            <w:tcW w:w="86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Month 3: </w:t>
            </w:r>
            <w:r>
              <w:rPr>
                <w:rFonts w:ascii="Times New Roman;Times;Serif" w:hAnsi="Times New Roman;Times;Serif"/>
                <w:sz w:val="20"/>
              </w:rPr>
              <w:t>[**]</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Sustain: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Results may be lower in November and December due to the holiday season.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“Handoff”/SAL/SQL/Opportunity</w:t>
      </w:r>
      <w:r>
        <w:rPr>
          <w:rFonts w:ascii="Times New Roman;Times;Serif" w:hAnsi="Times New Roman;Times;Serif"/>
          <w:b w:val="false"/>
          <w:i w:val="false"/>
          <w:caps w:val="false"/>
          <w:smallCaps w:val="false"/>
          <w:sz w:val="20"/>
        </w:rPr>
        <w:t>: A next step agreed upon by the prospect and salesperson, scheduled within 30–45 days (e.g., discovery calls, demos, or pricing discussions).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TAM Constraints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will provide a sufficient Total Addressable Market (TAM), including accounts and contacts, to enable xDRs to achieve their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TAM is limited, success criteria may be mutually adjusted to ensure objectives and results remain attainable.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and Conditions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Order Form and any future Order Form, Statement of Work, (“SOW”) or Addendum agreed to by TPG and authID Inc.(“Customer”) (collectively, the “Parties”) is governed by the Master Services Agreement (“Agreement”) located at: https://www.thepipelinegroup.io/master-services-agreement. Customer acknowledges and agrees that the Agreement sets forth the governing terms for all purchases and services provided by TPG to Customer as of the start date of Services listed in this Order Form. The Agreement available at the link above constitutes a binding contract between the Parties. TPG may modify, amend, or update the Agreement without prior individual notice to Customer and the current version of the Agreement supersedes all previous versions. TPG will post the most recent version of the Agreement at the link above with a revised “Last Modified” date and the revised Agreement shall be effective upon posting. Unless otherwise provided herein, all capitalized terms will have the meanings ascribed to them in the Agreement.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71"/>
        <w:gridCol w:w="60"/>
        <w:gridCol w:w="453"/>
        <w:gridCol w:w="60"/>
        <w:gridCol w:w="7898"/>
        <w:gridCol w:w="60"/>
        <w:gridCol w:w="1203"/>
      </w:tblGrid>
      <w:tr>
        <w:trPr/>
        <w:tc>
          <w:tcPr>
            <w:tcW w:w="47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Start Date</w:t>
            </w:r>
          </w:p>
        </w:tc>
        <w:tc>
          <w:tcPr>
            <w:tcW w:w="60" w:type="dxa"/>
            <w:tcBorders/>
            <w:tcMar>
              <w:bottom w:w="0" w:type="dxa"/>
            </w:tcMar>
            <w:vAlign w:val="center"/>
          </w:tcPr>
          <w:p>
            <w:pPr>
              <w:pStyle w:val="TableContents"/>
              <w:bidi w:val="0"/>
              <w:spacing w:before="0" w:after="283"/>
              <w:jc w:val="left"/>
              <w:rPr/>
            </w:pPr>
            <w:r>
              <w:rPr/>
              <w:t> </w:t>
            </w:r>
          </w:p>
        </w:tc>
        <w:tc>
          <w:tcPr>
            <w:tcW w:w="45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End Date</w:t>
            </w:r>
          </w:p>
        </w:tc>
        <w:tc>
          <w:tcPr>
            <w:tcW w:w="60" w:type="dxa"/>
            <w:tcBorders/>
            <w:tcMar>
              <w:bottom w:w="0" w:type="dxa"/>
            </w:tcMar>
            <w:vAlign w:val="center"/>
          </w:tcPr>
          <w:p>
            <w:pPr>
              <w:pStyle w:val="TableContents"/>
              <w:bidi w:val="0"/>
              <w:spacing w:before="0" w:after="283"/>
              <w:jc w:val="left"/>
              <w:rPr/>
            </w:pPr>
            <w:r>
              <w:rPr/>
              <w:t> </w:t>
            </w:r>
          </w:p>
        </w:tc>
        <w:tc>
          <w:tcPr>
            <w:tcW w:w="789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Terms</w:t>
            </w:r>
          </w:p>
        </w:tc>
        <w:tc>
          <w:tcPr>
            <w:tcW w:w="60" w:type="dxa"/>
            <w:tcBorders/>
            <w:tcMar>
              <w:bottom w:w="0" w:type="dxa"/>
            </w:tcMar>
            <w:vAlign w:val="center"/>
          </w:tcPr>
          <w:p>
            <w:pPr>
              <w:pStyle w:val="TableContents"/>
              <w:bidi w:val="0"/>
              <w:spacing w:before="0" w:after="283"/>
              <w:jc w:val="left"/>
              <w:rPr/>
            </w:pPr>
            <w:r>
              <w:rPr/>
              <w:t> </w:t>
            </w:r>
          </w:p>
        </w:tc>
        <w:tc>
          <w:tcPr>
            <w:tcW w:w="120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Price </w:t>
            </w:r>
          </w:p>
        </w:tc>
      </w:tr>
      <w:tr>
        <w:trPr/>
        <w:tc>
          <w:tcPr>
            <w:tcW w:w="47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98"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Term. </w:t>
            </w:r>
            <w:r>
              <w:rPr>
                <w:rFonts w:ascii="Times New Roman;Times;Serif" w:hAnsi="Times New Roman;Times;Serif"/>
                <w:b w:val="false"/>
                <w:i w:val="false"/>
                <w:caps w:val="false"/>
                <w:smallCaps w:val="false"/>
                <w:sz w:val="20"/>
              </w:rPr>
              <w:t>This Order Form shall have a total term of twelve (12) months commencing on the start date and finishing on the end date unless early terminated pursuant to this Order Form or the Agreement. This Order form supersedes and replaces all previous agreements among the Parties.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 Extension.</w:t>
            </w:r>
            <w:r>
              <w:rPr>
                <w:rFonts w:ascii="Times New Roman;Times;Serif" w:hAnsi="Times New Roman;Times;Serif"/>
                <w:b w:val="false"/>
                <w:i w:val="false"/>
                <w:caps w:val="false"/>
                <w:smallCaps w:val="false"/>
                <w:sz w:val="20"/>
              </w:rPr>
              <w:t xml:space="preserve"> The Term will automatically renew for successive renewal terms equal in length to the original Term (each, a “Renewal Term”) unless either Party provides written notice of its intent not to extend to the other Party by April 6, 2027 (“Extension Date”). If such notice is timely provided on or before the Extension Date, this Order Form will terminate at the end of the then-current Term or Renewal Term. Written notice of intent to not extend must be sent to </w:t>
            </w:r>
            <w:r>
              <w:rPr>
                <w:rFonts w:ascii="Times New Roman;Times;Serif" w:hAnsi="Times New Roman;Times;Serif"/>
                <w:b w:val="false"/>
                <w:i w:val="false"/>
                <w:caps w:val="false"/>
                <w:smallCaps w:val="false"/>
                <w:sz w:val="20"/>
                <w:u w:val="single"/>
              </w:rPr>
              <w:t>optout@thepipelinegroup.io</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TPG Data &amp; Technology. </w:t>
            </w:r>
            <w:r>
              <w:rPr>
                <w:rFonts w:ascii="Times New Roman;Times;Serif" w:hAnsi="Times New Roman;Times;Serif"/>
                <w:b w:val="false"/>
                <w:i w:val="false"/>
                <w:caps w:val="false"/>
                <w:smallCaps w:val="false"/>
                <w:sz w:val="20"/>
              </w:rPr>
              <w:t>TPG Data and Technology are included during the Term and Renewal Term. Customer acknowledges and agrees that TPG retains all right, title, and interest in and to the Technology (For this Agreement and Order Form Technology shall mean all technology, materials, tools, and intellectual property provided, made available, or used by TPG in connection with the Services, and all derivatives, enhancements, modifications, improvements, and adaptations thereof, whether created before, during, or after the Term/Renewal Term and includes without limitation all intellectual property and proprietary rights therein, including issued patents and pending patent applications including provisional, non-provisional, continuations, continuations-in-part, divisionals, reissues, reexaminations, and foreign counterparts, copyrights, trademarks, service marks, mask works, and other similar rights, whether registered or unregistered, and whether owned or licensed by TPG as well as all Data (as defined in the Agreement) provided hereunder, and that all such Technology is protected by applicable IP laws. Nothing in this Order Form shall be construed to transfer ownership of any Technology or Data to Customer and Customer’s use of the Technology is limited to a revocable, non-exclusive, non-transferable, non-sublicensable license solely for Customer’s internal business purposes during the Term/Renewal Term and only in connection with the Services as specified in this Order Form. Any violation of these restrictions shall constitute a material breach of this Order Form. In the event of any conflict between this Order Form and the Agreement, this Order Form shall control with respect to intellectual property ownership, Technology and protection of TPG’s proprietary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Pipeline Group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 Products and Services 1-16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PE/VC Partner Price: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xDR / Data Services / Automated Dialing Technology Mo.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Payment Schedule, Exhibit A</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9995"/>
        <w:gridCol w:w="75"/>
      </w:tblGrid>
      <w:tr>
        <w:trPr/>
        <w:tc>
          <w:tcPr>
            <w:tcW w:w="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9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Hiring /Placement Fee</w:t>
            </w:r>
            <w:r>
              <w:rPr>
                <w:rFonts w:ascii="Times New Roman;Times;Serif" w:hAnsi="Times New Roman;Times;Serif"/>
                <w:b w:val="false"/>
                <w:i w:val="false"/>
                <w:caps w:val="false"/>
                <w:smallCaps w:val="false"/>
                <w:sz w:val="20"/>
              </w:rPr>
              <w:t>. If Customer wishes to hire an assigned TPG xDR in a full-time capacity during the Term/Renewal Term of this Order Form or Agreement or within (1) year following termination of this Order Form or Agreement, Customer shall deliver to TPG written notice thereof at least sixty (60) days before the intended hiring date and agrees to the fee as listed below. If the xDR is hired within the Term/Renewal Term; the final thirty (30) days of the notice period shall serve as a professional transition period during which the xDR will continue to work with TPG. Upon the acceptance of a job offer by an xDR to be employed or engaged by Customer in a sales, marketing, revenue-generating, demand-generation, or substantially similar role, Customer shall pay TPG a non-refundable recruiting fee equal to one (1) month of the then-current fees payable by Customer for such xDR under this Order Form for each xDR hired and such fee shall be due and payable within ten (10) days of acceptance of such job offer.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existing or former TPG manager, member of the management team, executive or comparable role is hired by Customer during the Term/Renewal Term or within one (1) year following termination of this Order Form or Agreement, upon formal acceptance of a job offer by the individual, Customer shall pay TPG a non-refundable placement fee [**] per individual hired within ten (10) days of such job offer.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any hiring or recruiting fee, as described above, is not a penalty, but rather TPG’s and Customer’s reasonable estimate of the costs incurred by TPG if required to replace personnel hired by Customer, such as interviews, training and lost revenue during the time period it takes to replace the TPG personnel hired by Customer.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Late Payments</w:t>
            </w:r>
            <w:r>
              <w:rPr>
                <w:rFonts w:ascii="Times New Roman;Times;Serif" w:hAnsi="Times New Roman;Times;Serif"/>
                <w:b w:val="false"/>
                <w:i w:val="false"/>
                <w:caps w:val="false"/>
                <w:smallCaps w:val="false"/>
                <w:sz w:val="20"/>
              </w:rPr>
              <w:t>. If any payment to TPG is not made within fifteen (15) days of its due date, interest shall accrue on the overdue amount, from the date overdue until the date paid, at the overdue rate of 1.5% per month. The defaulting party will also be responsible for all costs and attorney’s fees incurred in enforcing this agreement.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9995"/>
        <w:gridCol w:w="75"/>
      </w:tblGrid>
      <w:tr>
        <w:trPr/>
        <w:tc>
          <w:tcPr>
            <w:tcW w:w="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9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Modification to Services:</w:t>
            </w:r>
            <w:r>
              <w:rPr>
                <w:rFonts w:ascii="Times New Roman;Times;Serif" w:hAnsi="Times New Roman;Times;Serif"/>
                <w:b w:val="false"/>
                <w:i w:val="false"/>
                <w:caps w:val="false"/>
                <w:smallCaps w:val="false"/>
                <w:sz w:val="20"/>
              </w:rPr>
              <w:t xml:space="preserve"> Notwithstanding any conflicting or omitted clauses or terms or conditions contained in any Order Form, Addendum, exhibit, or any other agreement, document, instrument, or communication between the Parties, the Parties expressly agree that the terms set forth in this section “Modification to Services” of this Order Form shall control and take precedence over any such conflicting or omitted terms. The Parties agree that the Customer shall be allowed to increase or decrease the Services according to the below notification schedule by providing TPG with prior written notice via email to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optout@thepipelinegroup.io</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Increase or decrease of one (1) xDR requires Customer to provide thirty (30) days’ prior written notice to TPG.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Increase or decrease of two (2) xDRs requires Customer to provide sixty (60) days’ prior written notice to TPG.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Increase or decrease of between three (3) and ten (10) xDRs requires Customer to provide ninety (90) days’ prior written notice to TPG.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Increase or decrease of more than ten (10) xDRs will require TPG to provide separate express written approval of such increase or decrease.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rPr>
              <w:t>Customer agrees that it can only decrease a maximum of ten (10) xDRs per any six (6) month rolling period.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val="false"/>
                <w:i w:val="false"/>
                <w:caps w:val="false"/>
                <w:smallCaps w:val="false"/>
                <w:sz w:val="20"/>
              </w:rPr>
              <w:t>Minimum Commitment: Customer agrees to a minimum commitment of one (1) xDR for the duration of the Term or Renewal Term.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 of any such modification according to the above notification schedule shall be thirty (30) days after TPG receives written notice from Customer. Any increase in Services shall be subject to TPG’s resource availability and capability but TPG agrees to provide commercially reasonable efforts to meet any of Customer’s increased needs. This increase or decrease in Services will be subject to any price changes as mutually agreed to by the Parties (email to suffice).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clarity, the Parties expressly agree that in the event of any inconsistency, ambiguity, or conflict between the provisions of this Section in this Order Form and any other agreement, document, instrument, or communication between the parties, the provisions in this Section of this Order Form shall prevail.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28" w:type="dxa"/>
          <w:right w:w="0" w:type="dxa"/>
        </w:tblCellMar>
      </w:tblPr>
      <w:tblGrid>
        <w:gridCol w:w="6485"/>
        <w:gridCol w:w="60"/>
        <w:gridCol w:w="1985"/>
      </w:tblGrid>
      <w:tr>
        <w:trPr/>
        <w:tc>
          <w:tcPr>
            <w:tcW w:w="64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Payments</w:t>
            </w:r>
          </w:p>
        </w:tc>
        <w:tc>
          <w:tcPr>
            <w:tcW w:w="60" w:type="dxa"/>
            <w:tcBorders/>
            <w:tcMar>
              <w:bottom w:w="0" w:type="dxa"/>
            </w:tcMar>
            <w:vAlign w:val="center"/>
          </w:tcPr>
          <w:p>
            <w:pPr>
              <w:pStyle w:val="TableContents"/>
              <w:bidi w:val="0"/>
              <w:spacing w:before="0" w:after="283"/>
              <w:jc w:val="left"/>
              <w:rPr/>
            </w:pPr>
            <w:r>
              <w:rPr/>
              <w:t> </w:t>
            </w:r>
          </w:p>
        </w:tc>
        <w:tc>
          <w:tcPr>
            <w:tcW w:w="19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Terms</w:t>
            </w:r>
          </w:p>
        </w:tc>
      </w:tr>
      <w:tr>
        <w:trPr/>
        <w:tc>
          <w:tcPr>
            <w:tcW w:w="6485" w:type="dxa"/>
            <w:tcBorders>
              <w:left w:val="single" w:sz="8" w:space="0" w:color="EFEFEF"/>
              <w:bottom w:val="single" w:sz="8" w:space="0" w:color="EFEFEF"/>
              <w:right w:val="single" w:sz="8" w:space="0" w:color="EFEFEF"/>
            </w:tcBorders>
            <w:shd w:fill="CCEEFF" w:val="clear"/>
            <w:tcMar>
              <w:left w:w="28" w:type="dxa"/>
              <w:right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Scope: Main Tasks 1-16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to add additional xDR as a Service pursuant to the terms as listed above.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5" w:type="dxa"/>
            <w:tcBorders>
              <w:bottom w:val="single" w:sz="8" w:space="0" w:color="EFEFEF"/>
              <w:right w:val="single" w:sz="8" w:space="0" w:color="EFEFEF"/>
            </w:tcBorders>
            <w:shd w:fill="CCEEFF" w:val="clear"/>
            <w:tcMar>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Price: $13,500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Payment Due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payments are due on the 7th day of every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make all checks or wire transfers payable to The Pipeline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Signatories</w:t>
      </w:r>
    </w:p>
    <w:p>
      <w:pPr>
        <w:pStyle w:val="TextBody"/>
        <w:bidi w:val="0"/>
        <w:spacing w:before="0" w:after="0"/>
        <w:ind w:left="0" w:right="0" w:hanging="0"/>
        <w:jc w:val="center"/>
        <w:rPr>
          <w:caps w:val="false"/>
          <w:smallCaps w:val="false"/>
        </w:rPr>
      </w:pPr>
      <w:r>
        <w:rPr>
          <w:caps w:val="false"/>
          <w:smallCaps w:val="false"/>
        </w:rPr>
        <w:t> </w:t>
      </w:r>
    </w:p>
    <w:tbl>
      <w:tblPr>
        <w:tblW w:w="4550" w:type="dxa"/>
        <w:jc w:val="left"/>
        <w:tblInd w:w="0" w:type="dxa"/>
        <w:tblLayout w:type="fixed"/>
        <w:tblCellMar>
          <w:top w:w="0" w:type="dxa"/>
          <w:left w:w="0" w:type="dxa"/>
          <w:bottom w:w="0" w:type="dxa"/>
          <w:right w:w="0" w:type="dxa"/>
        </w:tblCellMar>
      </w:tblPr>
      <w:tblGrid>
        <w:gridCol w:w="605"/>
        <w:gridCol w:w="1130"/>
        <w:gridCol w:w="60"/>
        <w:gridCol w:w="590"/>
        <w:gridCol w:w="2165"/>
      </w:tblGrid>
      <w:tr>
        <w:trPr/>
        <w:tc>
          <w:tcPr>
            <w:tcW w:w="17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authID Inc.</w:t>
            </w:r>
          </w:p>
        </w:tc>
        <w:tc>
          <w:tcPr>
            <w:tcW w:w="60" w:type="dxa"/>
            <w:tcBorders/>
            <w:vAlign w:val="center"/>
          </w:tcPr>
          <w:p>
            <w:pPr>
              <w:pStyle w:val="TableContents"/>
              <w:bidi w:val="0"/>
              <w:spacing w:before="0" w:after="283"/>
              <w:jc w:val="left"/>
              <w:rPr/>
            </w:pPr>
            <w:r>
              <w:rPr/>
              <w:t> </w:t>
            </w:r>
          </w:p>
        </w:tc>
        <w:tc>
          <w:tcPr>
            <w:tcW w:w="2755" w:type="dxa"/>
            <w:gridSpan w:val="2"/>
            <w:tcBorders/>
            <w:vAlign w:val="center"/>
          </w:tcPr>
          <w:p>
            <w:pPr>
              <w:pStyle w:val="TableContents"/>
              <w:bidi w:val="0"/>
              <w:spacing w:before="0" w:after="283"/>
              <w:jc w:val="left"/>
              <w:rPr>
                <w:b/>
              </w:rPr>
            </w:pPr>
            <w:r>
              <w:rPr>
                <w:b/>
              </w:rPr>
              <w:t>The Pipeline Group, LLC</w:t>
            </w:r>
          </w:p>
        </w:tc>
      </w:tr>
      <w:tr>
        <w:trPr/>
        <w:tc>
          <w:tcPr>
            <w:tcW w:w="60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w:t>
            </w:r>
          </w:p>
        </w:tc>
        <w:tc>
          <w:tcPr>
            <w:tcW w:w="11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 Sellitto</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w:t>
            </w:r>
          </w:p>
        </w:tc>
        <w:tc>
          <w:tcPr>
            <w:tcW w:w="216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Wiesenfeld</w:t>
            </w:r>
          </w:p>
        </w:tc>
      </w:tr>
      <w:tr>
        <w:trPr/>
        <w:tc>
          <w:tcPr>
            <w:tcW w:w="60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Ed Sellitto</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65" w:type="dxa"/>
            <w:tcBorders>
              <w:bottom w:val="single" w:sz="12"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Scott Wiesenfeld</w:t>
            </w:r>
          </w:p>
        </w:tc>
      </w:tr>
      <w:tr>
        <w:trPr/>
        <w:tc>
          <w:tcPr>
            <w:tcW w:w="60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1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CFO</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6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Regional Director of Sales</w:t>
            </w:r>
          </w:p>
        </w:tc>
      </w:tr>
      <w:tr>
        <w:trPr/>
        <w:tc>
          <w:tcPr>
            <w:tcW w:w="60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1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4/13/2026</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16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Order Form is confidential information</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Schedule</w:t>
      </w:r>
    </w:p>
    <w:p>
      <w:pPr>
        <w:pStyle w:val="TextBody"/>
        <w:bidi w:val="0"/>
        <w:spacing w:before="0" w:after="0"/>
        <w:ind w:left="0" w:right="0" w:hanging="0"/>
        <w:jc w:val="center"/>
        <w:rPr>
          <w:caps w:val="false"/>
          <w:smallCaps w:val="false"/>
        </w:rPr>
      </w:pPr>
      <w:r>
        <w:rPr>
          <w:caps w:val="false"/>
          <w:smallCaps w:val="false"/>
        </w:rPr>
        <w:t> </w:t>
      </w:r>
    </w:p>
    <w:tbl>
      <w:tblPr>
        <w:tblW w:w="5335" w:type="dxa"/>
        <w:jc w:val="left"/>
        <w:tblInd w:w="0" w:type="dxa"/>
        <w:tblLayout w:type="fixed"/>
        <w:tblCellMar>
          <w:top w:w="0" w:type="dxa"/>
          <w:left w:w="0" w:type="dxa"/>
          <w:bottom w:w="28" w:type="dxa"/>
          <w:right w:w="0" w:type="dxa"/>
        </w:tblCellMar>
      </w:tblPr>
      <w:tblGrid>
        <w:gridCol w:w="2915"/>
        <w:gridCol w:w="60"/>
        <w:gridCol w:w="2360"/>
      </w:tblGrid>
      <w:tr>
        <w:trPr/>
        <w:tc>
          <w:tcPr>
            <w:tcW w:w="29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Subscription Period</w:t>
            </w:r>
          </w:p>
        </w:tc>
        <w:tc>
          <w:tcPr>
            <w:tcW w:w="60" w:type="dxa"/>
            <w:tcBorders/>
            <w:tcMar>
              <w:bottom w:w="0" w:type="dxa"/>
            </w:tcMar>
            <w:vAlign w:val="center"/>
          </w:tcPr>
          <w:p>
            <w:pPr>
              <w:pStyle w:val="TableContents"/>
              <w:bidi w:val="0"/>
              <w:spacing w:before="0" w:after="283"/>
              <w:jc w:val="left"/>
              <w:rPr/>
            </w:pPr>
            <w:r>
              <w:rPr/>
              <w:t> </w:t>
            </w:r>
          </w:p>
        </w:tc>
        <w:tc>
          <w:tcPr>
            <w:tcW w:w="236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June 7, 2026 – June 6, 2027</w:t>
            </w:r>
          </w:p>
        </w:tc>
      </w:tr>
      <w:tr>
        <w:trPr/>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 Length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 (months)</w:t>
            </w:r>
          </w:p>
        </w:tc>
      </w:tr>
      <w:tr>
        <w:trPr/>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Monthly Per xDR Price (List)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Monthly Per xDR Price (Discount)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Monthly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$13,500</w:t>
            </w:r>
          </w:p>
        </w:tc>
      </w:tr>
      <w:tr>
        <w:trPr/>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Agreement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$162,000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25" w:type="dxa"/>
        <w:jc w:val="left"/>
        <w:tblInd w:w="0" w:type="dxa"/>
        <w:tblLayout w:type="fixed"/>
        <w:tblCellMar>
          <w:top w:w="0" w:type="dxa"/>
          <w:left w:w="0" w:type="dxa"/>
          <w:bottom w:w="28" w:type="dxa"/>
          <w:right w:w="0" w:type="dxa"/>
        </w:tblCellMar>
      </w:tblPr>
      <w:tblGrid>
        <w:gridCol w:w="3770"/>
        <w:gridCol w:w="60"/>
        <w:gridCol w:w="140"/>
        <w:gridCol w:w="680"/>
        <w:gridCol w:w="75"/>
      </w:tblGrid>
      <w:tr>
        <w:trPr/>
        <w:tc>
          <w:tcPr>
            <w:tcW w:w="4725" w:type="dxa"/>
            <w:gridSpan w:val="5"/>
            <w:tcBorders>
              <w:bottom w:val="single" w:sz="12" w:space="0" w:color="000000"/>
            </w:tcBorders>
            <w:vAlign w:val="center"/>
          </w:tcPr>
          <w:p>
            <w:pPr>
              <w:pStyle w:val="TableContents"/>
              <w:bidi w:val="0"/>
              <w:spacing w:before="0" w:after="283"/>
              <w:jc w:val="center"/>
              <w:rPr>
                <w:b/>
              </w:rPr>
            </w:pPr>
            <w:r>
              <w:rPr>
                <w:b/>
              </w:rPr>
              <w:t>Service Periods</w:t>
            </w:r>
          </w:p>
        </w:tc>
      </w:tr>
      <w:tr>
        <w:trPr/>
        <w:tc>
          <w:tcPr>
            <w:tcW w:w="3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pPr>
            <w:r>
              <w:rPr/>
              <w:t>June 7, 2026 - July 6,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13,500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70" w:type="dxa"/>
            <w:tcBorders/>
            <w:shd w:fill="FFFFFF" w:val="clear"/>
            <w:tcMar>
              <w:bottom w:w="0" w:type="dxa"/>
            </w:tcMar>
            <w:vAlign w:val="center"/>
          </w:tcPr>
          <w:p>
            <w:pPr>
              <w:pStyle w:val="TableContents"/>
              <w:bidi w:val="0"/>
              <w:spacing w:before="0" w:after="283"/>
              <w:jc w:val="left"/>
              <w:rPr/>
            </w:pPr>
            <w:r>
              <w:rPr/>
              <w:t>July 7, 2026 - August 6,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13,500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pPr>
            <w:r>
              <w:rPr/>
              <w:t>August 7, 2026 - September 6,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13,500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70" w:type="dxa"/>
            <w:tcBorders/>
            <w:shd w:fill="FFFFFF" w:val="clear"/>
            <w:tcMar>
              <w:bottom w:w="0" w:type="dxa"/>
            </w:tcMar>
            <w:vAlign w:val="center"/>
          </w:tcPr>
          <w:p>
            <w:pPr>
              <w:pStyle w:val="TableContents"/>
              <w:bidi w:val="0"/>
              <w:spacing w:before="0" w:after="283"/>
              <w:jc w:val="left"/>
              <w:rPr/>
            </w:pPr>
            <w:r>
              <w:rPr/>
              <w:t>September 7, 2026 - October 6,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13,500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pPr>
            <w:r>
              <w:rPr/>
              <w:t>October 7, 2026 - November 6,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13,500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70" w:type="dxa"/>
            <w:tcBorders/>
            <w:shd w:fill="FFFFFF" w:val="clear"/>
            <w:tcMar>
              <w:bottom w:w="0" w:type="dxa"/>
            </w:tcMar>
            <w:vAlign w:val="center"/>
          </w:tcPr>
          <w:p>
            <w:pPr>
              <w:pStyle w:val="TableContents"/>
              <w:bidi w:val="0"/>
              <w:spacing w:before="0" w:after="283"/>
              <w:jc w:val="left"/>
              <w:rPr/>
            </w:pPr>
            <w:r>
              <w:rPr/>
              <w:t>November 7, 2026 - December 6,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13,500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pPr>
            <w:r>
              <w:rPr/>
              <w:t>December 7, 2026 - January 6,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13,500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70" w:type="dxa"/>
            <w:tcBorders/>
            <w:shd w:fill="FFFFFF" w:val="clear"/>
            <w:tcMar>
              <w:bottom w:w="0" w:type="dxa"/>
            </w:tcMar>
            <w:vAlign w:val="center"/>
          </w:tcPr>
          <w:p>
            <w:pPr>
              <w:pStyle w:val="TableContents"/>
              <w:bidi w:val="0"/>
              <w:spacing w:before="0" w:after="283"/>
              <w:jc w:val="left"/>
              <w:rPr/>
            </w:pPr>
            <w:r>
              <w:rPr/>
              <w:t>January 7, 2027 - February 6,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13,500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pPr>
            <w:r>
              <w:rPr/>
              <w:t>February 7, 2027 - March 6,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13,500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70" w:type="dxa"/>
            <w:tcBorders/>
            <w:shd w:fill="FFFFFF" w:val="clear"/>
            <w:tcMar>
              <w:bottom w:w="0" w:type="dxa"/>
            </w:tcMar>
            <w:vAlign w:val="center"/>
          </w:tcPr>
          <w:p>
            <w:pPr>
              <w:pStyle w:val="TableContents"/>
              <w:bidi w:val="0"/>
              <w:spacing w:before="0" w:after="283"/>
              <w:jc w:val="left"/>
              <w:rPr/>
            </w:pPr>
            <w:r>
              <w:rPr/>
              <w:t>March 7, 2027 - April 6,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13,500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pPr>
            <w:r>
              <w:rPr/>
              <w:t>April 7, 2027 - May 6,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13,500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70" w:type="dxa"/>
            <w:tcBorders/>
            <w:shd w:fill="FFFFFF" w:val="clear"/>
            <w:tcMar>
              <w:bottom w:w="0" w:type="dxa"/>
            </w:tcMar>
            <w:vAlign w:val="center"/>
          </w:tcPr>
          <w:p>
            <w:pPr>
              <w:pStyle w:val="TableContents"/>
              <w:bidi w:val="0"/>
              <w:spacing w:before="0" w:after="283"/>
              <w:jc w:val="left"/>
              <w:rPr/>
            </w:pPr>
            <w:r>
              <w:rPr/>
              <w:t>May 7, 2027 - June 6,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13,500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ea028714001ex31-1.htm"/>
      <w:bookmarkStart w:id="24" w:name="ksea028714001ex311"/>
      <w:bookmarkEnd w:id="23"/>
      <w:bookmarkEnd w:id="24"/>
      <w:r>
        <w:rPr>
          <w:b/>
        </w:rPr>
        <w:t>Exhibit 31.1</w:t>
      </w:r>
      <w:r>
        <w:br w:type="page"/>
      </w:r>
    </w:p>
    <w:p>
      <w:pPr>
        <w:pStyle w:val="TextBody"/>
        <w:bidi w:val="0"/>
        <w:jc w:val="right"/>
        <w:rPr/>
      </w:pPr>
      <w:r>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CERTIFICATION OF PRINCIPAL EXECUTIVE OFFICER</w:t>
        <w:br/>
        <w:t>PURSUANT TO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Rhoniel A. Daguro, Chief Executive Officer certify that:</w:t>
      </w:r>
    </w:p>
    <w:p>
      <w:pPr>
        <w:pStyle w:val="TextBody"/>
        <w:bidi w:val="0"/>
        <w:spacing w:before="0" w:after="0"/>
        <w:ind w:left="0" w:right="0" w:hanging="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85"/>
        <w:gridCol w:w="53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authID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year that has materially affected, or is reasonably likely to materially affect, the registrant’s internal control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1655"/>
        <w:gridCol w:w="2360"/>
      </w:tblGrid>
      <w:tr>
        <w:trPr/>
        <w:tc>
          <w:tcPr>
            <w:tcW w:w="165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236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Rhoniel A. Daguro</w:t>
            </w:r>
          </w:p>
        </w:tc>
      </w:tr>
      <w:tr>
        <w:trPr/>
        <w:tc>
          <w:tcPr>
            <w:tcW w:w="165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Rhoniel A. Daguro</w:t>
            </w:r>
          </w:p>
        </w:tc>
      </w:tr>
      <w:tr>
        <w:trPr/>
        <w:tc>
          <w:tcPr>
            <w:tcW w:w="165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8714001ex31-2.htm"/>
      <w:bookmarkStart w:id="26" w:name="ksea028714001ex312"/>
      <w:bookmarkEnd w:id="25"/>
      <w:bookmarkEnd w:id="26"/>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AND ACCOUNTING OFFICER</w:t>
        <w:br/>
        <w:t>PURSUANT TO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Edward Sellitto, Chief Financial Officer, certify that:</w:t>
      </w:r>
    </w:p>
    <w:p>
      <w:pPr>
        <w:pStyle w:val="TextBody"/>
        <w:bidi w:val="0"/>
        <w:spacing w:before="0" w:after="0"/>
        <w:ind w:left="0" w:right="0" w:hanging="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85"/>
        <w:gridCol w:w="534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authID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year that has materially affected, or is reasonably likely to materially affect, the registrant’s internal control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655"/>
        <w:gridCol w:w="3650"/>
      </w:tblGrid>
      <w:tr>
        <w:trPr/>
        <w:tc>
          <w:tcPr>
            <w:tcW w:w="165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365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 Sellitto</w:t>
            </w:r>
          </w:p>
        </w:tc>
      </w:tr>
      <w:tr>
        <w:trPr/>
        <w:tc>
          <w:tcPr>
            <w:tcW w:w="165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 Sellitto</w:t>
            </w:r>
          </w:p>
        </w:tc>
      </w:tr>
      <w:tr>
        <w:trPr/>
        <w:tc>
          <w:tcPr>
            <w:tcW w:w="165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8714001ex32-1.htm"/>
      <w:bookmarkStart w:id="28" w:name="ksea028714001ex321"/>
      <w:bookmarkEnd w:id="27"/>
      <w:bookmarkEnd w:id="28"/>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authID Inc. (the “Company”) on Form 10-Q for the quarter ended March 31, 2026 as filed with the Securities and Exchange Commission (the “Report”), We, Rhoniel A. Daguro, Chief Executive Officer of the Company, and, Edward Sellitto, Chief Financial Officer of the Company, certify, pursuant to 18 U.S.C. SS. 1350, as adopted pursuant to SS.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both"/>
              <w:rPr/>
            </w:pPr>
            <w:r>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1175"/>
        <w:gridCol w:w="2360"/>
      </w:tblGrid>
      <w:tr>
        <w:trPr/>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14, 2026</w:t>
            </w:r>
          </w:p>
        </w:tc>
        <w:tc>
          <w:tcPr>
            <w:tcW w:w="2360"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Rhoniel A. Daguro</w:t>
            </w:r>
          </w:p>
        </w:tc>
      </w:tr>
      <w:tr>
        <w:trPr/>
        <w:tc>
          <w:tcPr>
            <w:tcW w:w="11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Rhoniel A. Daguro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1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1175"/>
        <w:gridCol w:w="3650"/>
      </w:tblGrid>
      <w:tr>
        <w:trPr/>
        <w:tc>
          <w:tcPr>
            <w:tcW w:w="11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14, 2026</w:t>
            </w:r>
          </w:p>
        </w:tc>
        <w:tc>
          <w:tcPr>
            <w:tcW w:w="3650"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 Sellitto</w:t>
            </w:r>
          </w:p>
        </w:tc>
      </w:tr>
      <w:tr>
        <w:trPr/>
        <w:tc>
          <w:tcPr>
            <w:tcW w:w="11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 Sellitto, Chief Financial Officer</w:t>
            </w:r>
          </w:p>
        </w:tc>
      </w:tr>
      <w:tr>
        <w:trPr/>
        <w:tc>
          <w:tcPr>
            <w:tcW w:w="11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34154/000121390021017290/ea138222ex3-1_ipsidyinc.htm" TargetMode="External"/><Relationship Id="rId4" Type="http://schemas.openxmlformats.org/officeDocument/2006/relationships/hyperlink" Target="http://www.sec.gov/Archives/edgar/data/1534154/000121390022040296/ea162935ex3-2_authid.htm" TargetMode="External"/><Relationship Id="rId5" Type="http://schemas.openxmlformats.org/officeDocument/2006/relationships/hyperlink" Target="http://www.sec.gov/Archives/edgar/data/1534154/000121390021032569/ea142763ex3-1_ipsidyinc.htm" TargetMode="External"/><Relationship Id="rId6" Type="http://schemas.openxmlformats.org/officeDocument/2006/relationships/hyperlink" Target="http://www.sec.gov/Archives/edgar/data/1534154/000121390022040296/ea162935ex3-1_authid.htm" TargetMode="External"/><Relationship Id="rId7" Type="http://schemas.openxmlformats.org/officeDocument/2006/relationships/hyperlink" Target="http://www.sec.gov/Archives/edgar/data/1534154/000121390022057553/ea166087ex3-1_authid.htm" TargetMode="External"/><Relationship Id="rId8" Type="http://schemas.openxmlformats.org/officeDocument/2006/relationships/hyperlink" Target="http://www.sec.gov/Archives/edgar/data/1534154/000121390023052128/ea180976ex3-1_authidinc.htm" TargetMode="External"/><Relationship Id="rId9" Type="http://schemas.openxmlformats.org/officeDocument/2006/relationships/hyperlink" Target="http://www.sec.gov/Archives/edgar/data/1534154/000121390024056729/ea020866001ex3-1_authid.htm" TargetMode="External"/><Relationship Id="rId10" Type="http://schemas.openxmlformats.org/officeDocument/2006/relationships/hyperlink" Target="http://www.sec.gov/Archives/edgar/data/1534154/000121390021032569/ea142763ex4-1_ipsidyinc.htm" TargetMode="External"/><Relationship Id="rId11" Type="http://schemas.openxmlformats.org/officeDocument/2006/relationships/hyperlink" Target="http://www.sec.gov/Archives/edgar/data/1534154/000121390025109217/ea026169901ex4-2_authid.htm" TargetMode="External"/><Relationship Id="rId12" Type="http://schemas.openxmlformats.org/officeDocument/2006/relationships/hyperlink" Target="http://www.sec.gov/Archives/edgar/data/1534154/000121390021032569/ea142763ex10-6_ipsidyinc.htm" TargetMode="External"/><Relationship Id="rId13" Type="http://schemas.openxmlformats.org/officeDocument/2006/relationships/hyperlink" Target="http://www.sec.gov/Archives/edgar/data/1534154/000121390021032569/ea142763ex10-5_ipsidyinc.htm" TargetMode="External"/><Relationship Id="rId14" Type="http://schemas.openxmlformats.org/officeDocument/2006/relationships/hyperlink" Target="http://www.sec.gov/Archives/edgar/data/1534154/000161577418003344/s109839_ex10-27.htm" TargetMode="External"/><Relationship Id="rId15" Type="http://schemas.openxmlformats.org/officeDocument/2006/relationships/hyperlink" Target="http://www.sec.gov/Archives/edgar/data/1534154/000121390021032569/ea142763ex10-1_ipsidyinc.htm" TargetMode="External"/><Relationship Id="rId16" Type="http://schemas.openxmlformats.org/officeDocument/2006/relationships/hyperlink" Target="http://www.sec.gov/Archives/edgar/data/1534154/000121390021032569/ea142763ex10-2_ipsidyinc.htm" TargetMode="External"/><Relationship Id="rId17" Type="http://schemas.openxmlformats.org/officeDocument/2006/relationships/hyperlink" Target="http://www.sec.gov/Archives/edgar/data/1534154/000121390022004803/ea154748ex4-1_ipsidyinc.htm" TargetMode="External"/><Relationship Id="rId18" Type="http://schemas.openxmlformats.org/officeDocument/2006/relationships/hyperlink" Target="http://www.sec.gov/Archives/edgar/data/1534154/000121390022021805/ea158885ex10-1_ipsidyinc.htm" TargetMode="External"/><Relationship Id="rId19" Type="http://schemas.openxmlformats.org/officeDocument/2006/relationships/hyperlink" Target="http://www.sec.gov/Archives/edgar/data/1534154/000121390023018987/ea174977ex10-1_authid.htm" TargetMode="External"/><Relationship Id="rId20" Type="http://schemas.openxmlformats.org/officeDocument/2006/relationships/hyperlink" Target="http://www.sec.gov/Archives/edgar/data/1534154/000121390023018987/ea174977ex10-2_authid.htm" TargetMode="External"/><Relationship Id="rId21" Type="http://schemas.openxmlformats.org/officeDocument/2006/relationships/hyperlink" Target="http://www.sec.gov/Archives/edgar/data/1534154/000121390023018987/ea174977ex10-3_authid.htm" TargetMode="External"/><Relationship Id="rId22" Type="http://schemas.openxmlformats.org/officeDocument/2006/relationships/hyperlink" Target="http://www.sec.gov/Archives/edgar/data/1534154/000121390023018987/ea174977ex10-4_authid.htm" TargetMode="External"/><Relationship Id="rId23" Type="http://schemas.openxmlformats.org/officeDocument/2006/relationships/hyperlink" Target="http://www.sec.gov/Archives/edgar/data/1534154/000121390023023408/ea175837ex10-1_authid.htm" TargetMode="External"/><Relationship Id="rId24" Type="http://schemas.openxmlformats.org/officeDocument/2006/relationships/hyperlink" Target="http://www.sec.gov/Archives/edgar/data/1534154/000121390023023408/ea175837ex10-2_authid.htm" TargetMode="External"/><Relationship Id="rId25" Type="http://schemas.openxmlformats.org/officeDocument/2006/relationships/hyperlink" Target="http://www.sec.gov/Archives/edgar/data/1534154/000121390023023408/ea175837ex10-3_authid.htm" TargetMode="External"/><Relationship Id="rId26" Type="http://schemas.openxmlformats.org/officeDocument/2006/relationships/hyperlink" Target="http://www.sec.gov/Archives/edgar/data/1534154/000121390023030640/ea177091ex10-1_authid.htm" TargetMode="External"/><Relationship Id="rId27" Type="http://schemas.openxmlformats.org/officeDocument/2006/relationships/hyperlink" Target="http://www.sec.gov/Archives/edgar/data/1534154/000121390023030640/ea177091ex10-2_authid.htm" TargetMode="External"/><Relationship Id="rId28" Type="http://schemas.openxmlformats.org/officeDocument/2006/relationships/hyperlink" Target="http://www.sec.gov/Archives/edgar/data/1534154/000121390023040545/ea178743ex10-1_authid.htm" TargetMode="External"/><Relationship Id="rId29" Type="http://schemas.openxmlformats.org/officeDocument/2006/relationships/hyperlink" Target="http://www.sec.gov/Archives/edgar/data/1534154/000121390023043563/ea179371ex10-1_authidinc.htm" TargetMode="External"/><Relationship Id="rId30" Type="http://schemas.openxmlformats.org/officeDocument/2006/relationships/hyperlink" Target="http://www.sec.gov/Archives/edgar/data/1534154/000121390023043563/ea179371ex10-2_authidinc.htm" TargetMode="External"/><Relationship Id="rId31" Type="http://schemas.openxmlformats.org/officeDocument/2006/relationships/hyperlink" Target="http://www.sec.gov/Archives/edgar/data/1534154/000121390023043563/ea179371ex10-3_authidinc.htm" TargetMode="External"/><Relationship Id="rId32" Type="http://schemas.openxmlformats.org/officeDocument/2006/relationships/hyperlink" Target="http://www.sec.gov/Archives/edgar/data/1534154/000121390023043563/ea179371ex10-4_authidinc.htm" TargetMode="External"/><Relationship Id="rId33" Type="http://schemas.openxmlformats.org/officeDocument/2006/relationships/hyperlink" Target="http://www.sec.gov/Archives/edgar/data/1534154/000121390023062781/ea182763ex10-1_authidinc.htm" TargetMode="External"/><Relationship Id="rId34" Type="http://schemas.openxmlformats.org/officeDocument/2006/relationships/hyperlink" Target="http://www.sec.gov/Archives/edgar/data/1534154/000121390023081375/ea187301ex10-1_authid.htm" TargetMode="External"/><Relationship Id="rId35" Type="http://schemas.openxmlformats.org/officeDocument/2006/relationships/hyperlink" Target="http://www.sec.gov/Archives/edgar/data/1534154/000121390023090267/ea189066ex10-1_authidinc.htm" TargetMode="External"/><Relationship Id="rId36" Type="http://schemas.openxmlformats.org/officeDocument/2006/relationships/hyperlink" Target="http://www.sec.gov/Archives/edgar/data/1534154/000121390023090267/ea189066ex10-2_authidinc.htm" TargetMode="External"/><Relationship Id="rId37" Type="http://schemas.openxmlformats.org/officeDocument/2006/relationships/hyperlink" Target="http://www.sec.gov/Archives/edgar/data/1534154/000121390023090267/ea189066ex10-3_authidinc.htm" TargetMode="External"/><Relationship Id="rId38" Type="http://schemas.openxmlformats.org/officeDocument/2006/relationships/hyperlink" Target="http://www.sec.gov/Archives/edgar/data/1534154/000121390023097744/ea190517ex10-1_authidinc.htm" TargetMode="External"/><Relationship Id="rId39" Type="http://schemas.openxmlformats.org/officeDocument/2006/relationships/hyperlink" Target="http://www.sec.gov/Archives/edgar/data/1534154/000121390024026066/ea020260501ex10-1_authidinc.htm" TargetMode="External"/><Relationship Id="rId40" Type="http://schemas.openxmlformats.org/officeDocument/2006/relationships/hyperlink" Target="http://www.sec.gov/Archives/edgar/data/1534154/000121390024056729/ea020866001ex10-1_authid.htm" TargetMode="External"/><Relationship Id="rId41" Type="http://schemas.openxmlformats.org/officeDocument/2006/relationships/hyperlink" Target="http://www.sec.gov/Archives/edgar/data/1534154/000121390024056729/ea020866001ex10-2_authid.htm" TargetMode="External"/><Relationship Id="rId42" Type="http://schemas.openxmlformats.org/officeDocument/2006/relationships/hyperlink" Target="http://www.sec.gov/Archives/edgar/data/1534154/000121390024056729/ea020866001ex10-3_authid.htm" TargetMode="External"/><Relationship Id="rId43" Type="http://schemas.openxmlformats.org/officeDocument/2006/relationships/hyperlink" Target="http://www.sec.gov/Archives/edgar/data/1534154/000121390025023697/ea023186001ex10-32_authid.htm" TargetMode="External"/><Relationship Id="rId44" Type="http://schemas.openxmlformats.org/officeDocument/2006/relationships/hyperlink" Target="http://www.sec.gov/Archives/edgar/data/1534154/000121390024095394/ea021872901ex10-47_authid.htm" TargetMode="External"/><Relationship Id="rId45" Type="http://schemas.openxmlformats.org/officeDocument/2006/relationships/hyperlink" Target="http://www.sec.gov/Archives/edgar/data/1534154/000121390024095394/ea021872901ex10-48_authid.htm" TargetMode="External"/><Relationship Id="rId46" Type="http://schemas.openxmlformats.org/officeDocument/2006/relationships/hyperlink" Target="http://www.sec.gov/Archives/edgar/data/1534154/000121390025027527/ea023660501ex10-1_authid.htm" TargetMode="External"/><Relationship Id="rId47" Type="http://schemas.openxmlformats.org/officeDocument/2006/relationships/hyperlink" Target="http://www.sec.gov/Archives/edgar/data/1534154/000121390025027527/ea023660501ex10-2_authid.htm" TargetMode="External"/><Relationship Id="rId48" Type="http://schemas.openxmlformats.org/officeDocument/2006/relationships/hyperlink" Target="http://www.sec.gov/Archives/edgar/data/1534154/000121390025027527/ea023660501ex10-3_authid.htm" TargetMode="External"/><Relationship Id="rId49" Type="http://schemas.openxmlformats.org/officeDocument/2006/relationships/hyperlink" Target="http://www.sec.gov/Archives/edgar/data/1534154/000121390025027527/ea023660501ex10-4_authid.htm" TargetMode="External"/><Relationship Id="rId50" Type="http://schemas.openxmlformats.org/officeDocument/2006/relationships/hyperlink" Target="http://www.sec.gov/Archives/edgar/data/1534154/000121390025027527/ea023660501ex10-5_authid.htm" TargetMode="External"/><Relationship Id="rId51" Type="http://schemas.openxmlformats.org/officeDocument/2006/relationships/hyperlink" Target="http://www.sec.gov/Archives/edgar/data/1534154/000121390025027527/ea023660501ex10-6_authid.htm" TargetMode="External"/><Relationship Id="rId52" Type="http://schemas.openxmlformats.org/officeDocument/2006/relationships/hyperlink" Target="http://www.sec.gov/Archives/edgar/data/1534154/000121390025027527/ea023660501ex10-7_authid.htm" TargetMode="External"/><Relationship Id="rId53" Type="http://schemas.openxmlformats.org/officeDocument/2006/relationships/hyperlink" Target="http://www.sec.gov/Archives/edgar/data/1534154/000121390025040647/ea024124601ex10-1_authid.htm" TargetMode="External"/><Relationship Id="rId54" Type="http://schemas.openxmlformats.org/officeDocument/2006/relationships/hyperlink" Target="http://www.sec.gov/Archives/edgar/data/1534154/000121390025040647/ea024124601ex10-4_authid.htm" TargetMode="External"/><Relationship Id="rId55" Type="http://schemas.openxmlformats.org/officeDocument/2006/relationships/hyperlink" Target="http://www.sec.gov/Archives/edgar/data/1534154/000121390025040647/ea024124601ex10-5_authid.htm" TargetMode="External"/><Relationship Id="rId56" Type="http://schemas.openxmlformats.org/officeDocument/2006/relationships/hyperlink" Target="http://www.sec.gov/Archives/edgar/data/1534154/000121390025040647/ea024124601ex10-6_authid.htm" TargetMode="External"/><Relationship Id="rId57" Type="http://schemas.openxmlformats.org/officeDocument/2006/relationships/hyperlink" Target="http://www.sec.gov/Archives/edgar/data/1534154/000121390025076641/ea024985901ex10-46_authid.htm" TargetMode="External"/><Relationship Id="rId58" Type="http://schemas.openxmlformats.org/officeDocument/2006/relationships/hyperlink" Target="http://www.sec.gov/Archives/edgar/data/1534154/000121390025109217/ea026169901ex10-47_authid.htm" TargetMode="External"/><Relationship Id="rId59" Type="http://schemas.openxmlformats.org/officeDocument/2006/relationships/hyperlink" Target="http://www.sec.gov/Archives/edgar/data/1534154/000121390025114131/ea026685401ex10-1_authid.htm" TargetMode="External"/><Relationship Id="rId60" Type="http://schemas.openxmlformats.org/officeDocument/2006/relationships/hyperlink" Target="http://www.sec.gov/Archives/edgar/data/1534154/000121390025114131/ea026685401ex10-2_authid.htm" TargetMode="External"/><Relationship Id="rId61" Type="http://schemas.openxmlformats.org/officeDocument/2006/relationships/hyperlink" Target="http://www.sec.gov/Archives/edgar/data/1534154/000121390025114131/ea026685401ex10-3_authid.htm" TargetMode="External"/><Relationship Id="rId62" Type="http://schemas.openxmlformats.org/officeDocument/2006/relationships/hyperlink" Target="http://www.sec.gov/Archives/edgar/data/1534154/000121390025114131/ea026685401ex10-4_authid.htm" TargetMode="External"/><Relationship Id="rId63" Type="http://schemas.openxmlformats.org/officeDocument/2006/relationships/hyperlink" Target="http://www.sec.gov/Archives/edgar/data/1534154/000121390025114131/ea026685401ex10-5_authid.htm" TargetMode="External"/><Relationship Id="rId64" Type="http://schemas.openxmlformats.org/officeDocument/2006/relationships/hyperlink" Target="http://www.sec.gov/Archives/edgar/data/1534154/000121390025114131/ea026685401ex10-6_authid.htm" TargetMode="External"/><Relationship Id="rId65" Type="http://schemas.openxmlformats.org/officeDocument/2006/relationships/hyperlink" Target="http://www.sec.gov/Archives/edgar/data/1534154/000121390025114131/ea026685401ex10-7_authid.htm" TargetMode="External"/><Relationship Id="rId66" Type="http://schemas.openxmlformats.org/officeDocument/2006/relationships/hyperlink" Target="http://www.sec.gov/Archives/edgar/data/1534154/000121390026051038/ea028878001ex10-1.htm" TargetMode="External"/><Relationship Id="rId67" Type="http://schemas.openxmlformats.org/officeDocument/2006/relationships/hyperlink" Target="http://www.sec.gov/Archives/edgar/data/1534154/000121390026051038/ea028878001ex10-2.htm" TargetMode="External"/><Relationship Id="rId68" Type="http://schemas.openxmlformats.org/officeDocument/2006/relationships/hyperlink" Target="http://www.sec.gov/Archives/edgar/data/1534154/000121390026051038/ea028878001ex10-3.htm" TargetMode="External"/><Relationship Id="rId69" Type="http://schemas.openxmlformats.org/officeDocument/2006/relationships/hyperlink" Target="http://www.sec.gov/Archives/edgar/data/1534154/000121390026051038/ea028878001ex10-4.htm" TargetMode="External"/><Relationship Id="rId70" Type="http://schemas.openxmlformats.org/officeDocument/2006/relationships/hyperlink" Target="http://www.sec.gov/Archives/edgar/data/1534154/000121390026051038/ea028878001ex10-5.htm" TargetMode="External"/><Relationship Id="rId71" Type="http://schemas.openxmlformats.org/officeDocument/2006/relationships/hyperlink" Target="http://www.sec.gov/Archives/edgar/data/1534154/000121390023084806/f10q0923ex14-1_authidinc.htm" TargetMode="External"/><Relationship Id="rId72" Type="http://schemas.openxmlformats.org/officeDocument/2006/relationships/hyperlink" Target="http://www.sec.gov/Archives/edgar/data/1534154/000121390025023697/ea023186001ex19_authid.htm" TargetMode="External"/><Relationship Id="rId73" Type="http://schemas.openxmlformats.org/officeDocument/2006/relationships/hyperlink" Target="http://www.sec.gov/Archives/edgar/data/1534154/000121390026037459/ea027597701ex21-1.htm" TargetMode="External"/><Relationship Id="rId74" Type="http://schemas.openxmlformats.org/officeDocument/2006/relationships/hyperlink" Target="http://www.sec.gov/Archives/edgar/data/1534154/000121390023084806/f10q0923ex99-1_authidinc.htm" TargetMode="External"/><Relationship Id="rId75" Type="http://schemas.openxmlformats.org/officeDocument/2006/relationships/hyperlink" Target="http://www.sec.gov/Archives/edgar/data/1534154/000121390024043594/ea020525801ex99-1_authidinc.htm" TargetMode="External"/><Relationship Id="rId76" Type="http://schemas.openxmlformats.org/officeDocument/2006/relationships/image" Target="media/image2.jpeg"/><Relationship Id="rId77" Type="http://schemas.openxmlformats.org/officeDocument/2006/relationships/image" Target="media/image3.jpeg"/><Relationship Id="rId78" Type="http://schemas.openxmlformats.org/officeDocument/2006/relationships/image" Target="media/image4.jpeg"/><Relationship Id="rId79" Type="http://schemas.openxmlformats.org/officeDocument/2006/relationships/fontTable" Target="fontTable.xml"/><Relationship Id="rId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16039</Words>
  <Characters>89739</Characters>
  <CharactersWithSpaces>106598</CharactersWithSpaces>
  <Paragraphs>3889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