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1700" w:hanging="211"/>
        <w:spacing w:after="0"/>
        <w:tabs>
          <w:tab w:leader="none" w:pos="1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UNDER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September 30, 2023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1380" w:hanging="206"/>
        <w:spacing w:after="0"/>
        <w:tabs>
          <w:tab w:leader="none" w:pos="1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5" w:lineRule="exact"/>
        <w:rPr>
          <w:sz w:val="24"/>
          <w:szCs w:val="24"/>
          <w:color w:val="auto"/>
        </w:rPr>
      </w:pPr>
    </w:p>
    <w:p>
      <w:pPr>
        <w:ind w:left="3820"/>
        <w:spacing w:after="0"/>
        <w:tabs>
          <w:tab w:leader="none" w:pos="66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001-40747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151765</wp:posOffset>
            </wp:positionV>
            <wp:extent cx="2966085" cy="2280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66085" cy="22802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authID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7680" w:type="dxa"/>
            <w:vAlign w:val="bottom"/>
            <w:gridSpan w:val="3"/>
          </w:tcPr>
          <w:p>
            <w:pPr>
              <w:jc w:val="center"/>
              <w:ind w:right="2160"/>
              <w:spacing w:after="0"/>
              <w:rPr>
                <w:sz w:val="20"/>
                <w:szCs w:val="20"/>
                <w:color w:val="auto"/>
              </w:rPr>
            </w:pPr>
            <w:r>
              <w:rPr>
                <w:rFonts w:ascii="Arial" w:cs="Arial" w:eastAsia="Arial" w:hAnsi="Arial"/>
                <w:sz w:val="18"/>
                <w:szCs w:val="18"/>
                <w:color w:val="auto"/>
                <w:w w:val="89"/>
              </w:rPr>
              <w:t>Delaware</w:t>
            </w:r>
          </w:p>
        </w:tc>
        <w:tc>
          <w:tcPr>
            <w:tcW w:w="3560" w:type="dxa"/>
            <w:vAlign w:val="bottom"/>
          </w:tcPr>
          <w:p>
            <w:pPr>
              <w:jc w:val="right"/>
              <w:ind w:right="2230"/>
              <w:spacing w:after="0"/>
              <w:rPr>
                <w:sz w:val="20"/>
                <w:szCs w:val="20"/>
                <w:color w:val="auto"/>
              </w:rPr>
            </w:pPr>
            <w:r>
              <w:rPr>
                <w:rFonts w:ascii="Arial" w:cs="Arial" w:eastAsia="Arial" w:hAnsi="Arial"/>
                <w:sz w:val="18"/>
                <w:szCs w:val="18"/>
                <w:color w:val="auto"/>
              </w:rPr>
              <w:t>46-2069547</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ind w:left="18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7680" w:type="dxa"/>
            <w:vAlign w:val="bottom"/>
            <w:gridSpan w:val="3"/>
          </w:tcPr>
          <w:p>
            <w:pPr>
              <w:jc w:val="center"/>
              <w:ind w:right="2160"/>
              <w:spacing w:after="0"/>
              <w:rPr>
                <w:sz w:val="20"/>
                <w:szCs w:val="20"/>
                <w:color w:val="auto"/>
              </w:rPr>
            </w:pPr>
            <w:r>
              <w:rPr>
                <w:rFonts w:ascii="Arial" w:cs="Arial" w:eastAsia="Arial" w:hAnsi="Arial"/>
                <w:sz w:val="18"/>
                <w:szCs w:val="18"/>
                <w:color w:val="auto"/>
                <w:w w:val="92"/>
              </w:rPr>
              <w:t>incorporation or organization)</w:t>
            </w:r>
          </w:p>
        </w:tc>
        <w:tc>
          <w:tcPr>
            <w:tcW w:w="356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7680" w:type="dxa"/>
            <w:vAlign w:val="bottom"/>
            <w:gridSpan w:val="3"/>
          </w:tcPr>
          <w:p>
            <w:pPr>
              <w:jc w:val="center"/>
              <w:ind w:left="3470"/>
              <w:spacing w:after="0"/>
              <w:rPr>
                <w:sz w:val="20"/>
                <w:szCs w:val="20"/>
                <w:color w:val="auto"/>
              </w:rPr>
            </w:pPr>
            <w:r>
              <w:rPr>
                <w:rFonts w:ascii="Arial" w:cs="Arial" w:eastAsia="Arial" w:hAnsi="Arial"/>
                <w:sz w:val="18"/>
                <w:szCs w:val="18"/>
                <w:color w:val="auto"/>
                <w:w w:val="91"/>
              </w:rPr>
              <w:t>1580 North Logan Street, Suite 660, Unit 51767,</w:t>
            </w:r>
          </w:p>
        </w:tc>
        <w:tc>
          <w:tcPr>
            <w:tcW w:w="3560" w:type="dxa"/>
            <w:vAlign w:val="bottom"/>
          </w:tcPr>
          <w:p>
            <w:pPr>
              <w:spacing w:after="0"/>
              <w:rPr>
                <w:sz w:val="24"/>
                <w:szCs w:val="24"/>
                <w:color w:val="auto"/>
              </w:rPr>
            </w:pPr>
          </w:p>
        </w:tc>
      </w:tr>
      <w:tr>
        <w:trPr>
          <w:trHeight w:val="216"/>
        </w:trPr>
        <w:tc>
          <w:tcPr>
            <w:tcW w:w="7680" w:type="dxa"/>
            <w:vAlign w:val="bottom"/>
            <w:gridSpan w:val="3"/>
          </w:tcPr>
          <w:p>
            <w:pPr>
              <w:jc w:val="center"/>
              <w:ind w:left="3430"/>
              <w:spacing w:after="0"/>
              <w:rPr>
                <w:sz w:val="20"/>
                <w:szCs w:val="20"/>
                <w:color w:val="auto"/>
              </w:rPr>
            </w:pPr>
            <w:r>
              <w:rPr>
                <w:rFonts w:ascii="Arial" w:cs="Arial" w:eastAsia="Arial" w:hAnsi="Arial"/>
                <w:sz w:val="18"/>
                <w:szCs w:val="18"/>
                <w:color w:val="auto"/>
                <w:w w:val="90"/>
              </w:rPr>
              <w:t>Denver, CO 80203</w:t>
            </w:r>
          </w:p>
        </w:tc>
        <w:tc>
          <w:tcPr>
            <w:tcW w:w="3560" w:type="dxa"/>
            <w:vAlign w:val="bottom"/>
          </w:tcPr>
          <w:p>
            <w:pPr>
              <w:spacing w:after="0"/>
              <w:rPr>
                <w:sz w:val="18"/>
                <w:szCs w:val="18"/>
                <w:color w:val="auto"/>
              </w:rPr>
            </w:pPr>
          </w:p>
        </w:tc>
      </w:tr>
      <w:tr>
        <w:trPr>
          <w:trHeight w:val="230"/>
        </w:trPr>
        <w:tc>
          <w:tcPr>
            <w:tcW w:w="7680" w:type="dxa"/>
            <w:vAlign w:val="bottom"/>
            <w:gridSpan w:val="3"/>
          </w:tcPr>
          <w:p>
            <w:pPr>
              <w:jc w:val="center"/>
              <w:ind w:left="3490"/>
              <w:spacing w:after="0"/>
              <w:rPr>
                <w:sz w:val="20"/>
                <w:szCs w:val="20"/>
                <w:color w:val="auto"/>
              </w:rPr>
            </w:pPr>
            <w:r>
              <w:rPr>
                <w:rFonts w:ascii="Arial" w:cs="Arial" w:eastAsia="Arial" w:hAnsi="Arial"/>
                <w:sz w:val="18"/>
                <w:szCs w:val="18"/>
                <w:color w:val="auto"/>
                <w:w w:val="92"/>
              </w:rPr>
              <w:t>(Address of principal executive offices) (zip code)</w:t>
            </w:r>
          </w:p>
        </w:tc>
        <w:tc>
          <w:tcPr>
            <w:tcW w:w="3560" w:type="dxa"/>
            <w:vAlign w:val="bottom"/>
          </w:tcPr>
          <w:p>
            <w:pPr>
              <w:spacing w:after="0"/>
              <w:rPr>
                <w:sz w:val="20"/>
                <w:szCs w:val="20"/>
                <w:color w:val="auto"/>
              </w:rPr>
            </w:pPr>
          </w:p>
        </w:tc>
      </w:tr>
      <w:tr>
        <w:trPr>
          <w:trHeight w:val="418"/>
        </w:trPr>
        <w:tc>
          <w:tcPr>
            <w:tcW w:w="7680" w:type="dxa"/>
            <w:vAlign w:val="bottom"/>
            <w:gridSpan w:val="3"/>
          </w:tcPr>
          <w:p>
            <w:pPr>
              <w:jc w:val="center"/>
              <w:ind w:left="3490"/>
              <w:spacing w:after="0"/>
              <w:rPr>
                <w:sz w:val="20"/>
                <w:szCs w:val="20"/>
                <w:color w:val="auto"/>
              </w:rPr>
            </w:pPr>
            <w:r>
              <w:rPr>
                <w:rFonts w:ascii="Arial" w:cs="Arial" w:eastAsia="Arial" w:hAnsi="Arial"/>
                <w:sz w:val="18"/>
                <w:szCs w:val="18"/>
                <w:color w:val="auto"/>
                <w:w w:val="90"/>
              </w:rPr>
              <w:t>516-274-8700</w:t>
            </w:r>
          </w:p>
        </w:tc>
        <w:tc>
          <w:tcPr>
            <w:tcW w:w="3560" w:type="dxa"/>
            <w:vAlign w:val="bottom"/>
          </w:tcPr>
          <w:p>
            <w:pPr>
              <w:spacing w:after="0"/>
              <w:rPr>
                <w:sz w:val="24"/>
                <w:szCs w:val="24"/>
                <w:color w:val="auto"/>
              </w:rPr>
            </w:pPr>
          </w:p>
        </w:tc>
      </w:tr>
      <w:tr>
        <w:trPr>
          <w:trHeight w:val="230"/>
        </w:trPr>
        <w:tc>
          <w:tcPr>
            <w:tcW w:w="7680" w:type="dxa"/>
            <w:vAlign w:val="bottom"/>
            <w:gridSpan w:val="3"/>
          </w:tcPr>
          <w:p>
            <w:pPr>
              <w:jc w:val="center"/>
              <w:ind w:left="3470"/>
              <w:spacing w:after="0"/>
              <w:rPr>
                <w:sz w:val="20"/>
                <w:szCs w:val="20"/>
                <w:color w:val="auto"/>
              </w:rPr>
            </w:pPr>
            <w:r>
              <w:rPr>
                <w:rFonts w:ascii="Arial" w:cs="Arial" w:eastAsia="Arial" w:hAnsi="Arial"/>
                <w:sz w:val="18"/>
                <w:szCs w:val="18"/>
                <w:color w:val="auto"/>
                <w:w w:val="89"/>
              </w:rPr>
              <w:t>(Registrant’s telephone number, including area code)</w:t>
            </w:r>
          </w:p>
        </w:tc>
        <w:tc>
          <w:tcPr>
            <w:tcW w:w="356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00" w:type="dxa"/>
            <w:vAlign w:val="bottom"/>
            <w:gridSpan w:val="3"/>
          </w:tcPr>
          <w:p>
            <w:pPr>
              <w:jc w:val="center"/>
              <w:ind w:right="980"/>
              <w:spacing w:after="0"/>
              <w:rPr>
                <w:sz w:val="20"/>
                <w:szCs w:val="20"/>
                <w:color w:val="auto"/>
              </w:rPr>
            </w:pPr>
            <w:r>
              <w:rPr>
                <w:rFonts w:ascii="Arial" w:cs="Arial" w:eastAsia="Arial" w:hAnsi="Arial"/>
                <w:sz w:val="18"/>
                <w:szCs w:val="18"/>
                <w:color w:val="auto"/>
                <w:w w:val="90"/>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rPr>
              <w:t>AUID</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9" w:lineRule="exact"/>
        <w:rPr>
          <w:sz w:val="24"/>
          <w:szCs w:val="24"/>
          <w:color w:val="auto"/>
        </w:rPr>
      </w:pPr>
    </w:p>
    <w:p>
      <w:pPr>
        <w:ind w:left="5360" w:hanging="206"/>
        <w:spacing w:after="0" w:line="207" w:lineRule="exact"/>
        <w:tabs>
          <w:tab w:leader="none" w:pos="5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9" w:lineRule="exact"/>
        <w:rPr>
          <w:sz w:val="24"/>
          <w:szCs w:val="24"/>
          <w:color w:val="auto"/>
        </w:rPr>
      </w:pPr>
    </w:p>
    <w:p>
      <w:pPr>
        <w:ind w:left="5360" w:hanging="206"/>
        <w:spacing w:after="0" w:line="207" w:lineRule="exact"/>
        <w:tabs>
          <w:tab w:leader="none" w:pos="5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p>
      <w:pPr>
        <w:spacing w:after="0" w:line="207" w:lineRule="exact"/>
        <w:tabs>
          <w:tab w:leader="none" w:pos="67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ectPr>
          <w:pgSz w:w="11900" w:h="16838" w:orient="portrait"/>
          <w:cols w:equalWidth="0" w:num="1">
            <w:col w:w="11240"/>
          </w:cols>
          <w:pgMar w:left="320" w:top="517" w:right="339" w:bottom="0" w:gutter="0" w:footer="0" w:header="0"/>
        </w:sectPr>
      </w:pPr>
    </w:p>
    <w:bookmarkStart w:id="1" w:name="page2"/>
    <w:bookmarkEnd w:id="1"/>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6040" w:space="720"/>
            <w:col w:w="4480"/>
          </w:cols>
          <w:pgMar w:left="320" w:top="81" w:right="339" w:bottom="1440" w:gutter="0" w:footer="0" w:header="0"/>
        </w:sectPr>
      </w:pPr>
    </w:p>
    <w:p>
      <w:pPr>
        <w:spacing w:after="0" w:line="32" w:lineRule="exact"/>
        <w:rPr>
          <w:sz w:val="20"/>
          <w:szCs w:val="20"/>
          <w:color w:val="auto"/>
        </w:rPr>
      </w:pPr>
    </w:p>
    <w:p>
      <w:pPr>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0"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Class</w:t>
            </w:r>
          </w:p>
        </w:tc>
        <w:tc>
          <w:tcPr>
            <w:tcW w:w="5500" w:type="dxa"/>
            <w:vAlign w:val="bottom"/>
          </w:tcPr>
          <w:p>
            <w:pPr>
              <w:jc w:val="center"/>
              <w:spacing w:after="0"/>
              <w:rPr>
                <w:sz w:val="20"/>
                <w:szCs w:val="20"/>
                <w:color w:val="auto"/>
              </w:rPr>
            </w:pPr>
            <w:r>
              <w:rPr>
                <w:rFonts w:ascii="Arial" w:cs="Arial" w:eastAsia="Arial" w:hAnsi="Arial"/>
                <w:sz w:val="18"/>
                <w:szCs w:val="18"/>
                <w:color w:val="auto"/>
                <w:w w:val="90"/>
              </w:rPr>
              <w:t>Outstanding at November 6, 2023</w:t>
            </w:r>
          </w:p>
        </w:tc>
      </w:tr>
      <w:tr>
        <w:trPr>
          <w:trHeight w:val="216"/>
        </w:trPr>
        <w:tc>
          <w:tcPr>
            <w:tcW w:w="5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7,874,962 shares</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Documents incorporated by reference:</w:t>
            </w:r>
          </w:p>
        </w:tc>
        <w:tc>
          <w:tcPr>
            <w:tcW w:w="550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202"/>
        </w:trPr>
        <w:tc>
          <w:tcPr>
            <w:tcW w:w="5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500" w:type="dxa"/>
            <w:vAlign w:val="bottom"/>
            <w:tcBorders>
              <w:bottom w:val="single" w:sz="8" w:color="auto"/>
            </w:tcBorders>
          </w:tcPr>
          <w:p>
            <w:pPr>
              <w:spacing w:after="0"/>
              <w:rPr>
                <w:sz w:val="17"/>
                <w:szCs w:val="17"/>
                <w:color w:val="auto"/>
              </w:rPr>
            </w:pPr>
          </w:p>
        </w:tc>
      </w:tr>
      <w:tr>
        <w:trPr>
          <w:trHeight w:val="28"/>
        </w:trPr>
        <w:tc>
          <w:tcPr>
            <w:tcW w:w="5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439"/>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 w:right="339" w:bottom="144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40" w:type="dxa"/>
            <w:vAlign w:val="bottom"/>
            <w:gridSpan w:val="10"/>
          </w:tcPr>
          <w:p>
            <w:pPr>
              <w:ind w:left="96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Page No.</w:t>
            </w:r>
          </w:p>
        </w:tc>
      </w:tr>
      <w:tr>
        <w:trPr>
          <w:trHeight w:val="196"/>
        </w:trPr>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0" w:type="dxa"/>
            <w:vAlign w:val="bottom"/>
            <w:gridSpan w:val="12"/>
            <w:shd w:val="clear" w:color="auto" w:fill="CCEEFF"/>
          </w:tcPr>
          <w:p>
            <w:pPr>
              <w:jc w:val="center"/>
              <w:ind w:right="3040"/>
              <w:spacing w:after="0" w:line="162" w:lineRule="exact"/>
              <w:rPr>
                <w:sz w:val="20"/>
                <w:szCs w:val="20"/>
                <w:color w:val="auto"/>
              </w:rPr>
            </w:pPr>
            <w:r>
              <w:rPr>
                <w:rFonts w:ascii="Arial" w:cs="Arial" w:eastAsia="Arial" w:hAnsi="Arial"/>
                <w:sz w:val="18"/>
                <w:szCs w:val="18"/>
                <w:b w:val="1"/>
                <w:bCs w:val="1"/>
                <w:color w:val="0000EE"/>
              </w:rPr>
              <w:t>PART I – FINANCIAL INFORMATION</w:t>
            </w:r>
          </w:p>
        </w:tc>
        <w:tc>
          <w:tcPr>
            <w:tcW w:w="90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1. Financial Statements.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Balance Sheets as of September 30, 2023 (unaudited) and December 31, 2022</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w w:val="97"/>
              </w:rPr>
              <w:t>Condensed Consolidated Statements of Operations for the Three and Nine Months Ended September 30, 2023 and 2022 (unaudited)</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938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Comprehensive Loss for the Three and Nine Months Ended September 30, 2023 and 2022</w:t>
            </w:r>
          </w:p>
        </w:tc>
        <w:tc>
          <w:tcPr>
            <w:tcW w:w="960" w:type="dxa"/>
            <w:vAlign w:val="bottom"/>
            <w:tcBorders>
              <w:bottom w:val="single" w:sz="8" w:color="CCEEFF"/>
            </w:tcBorders>
            <w:gridSpan w:val="2"/>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216"/>
        </w:trPr>
        <w:tc>
          <w:tcPr>
            <w:tcW w:w="160" w:type="dxa"/>
            <w:vAlign w:val="bottom"/>
            <w:shd w:val="clear" w:color="auto" w:fill="CCEEFF"/>
          </w:tcPr>
          <w:p>
            <w:pPr>
              <w:spacing w:after="0"/>
              <w:rPr>
                <w:sz w:val="18"/>
                <w:szCs w:val="18"/>
                <w:color w:val="auto"/>
              </w:rPr>
            </w:pPr>
          </w:p>
        </w:tc>
        <w:tc>
          <w:tcPr>
            <w:tcW w:w="10180" w:type="dxa"/>
            <w:vAlign w:val="bottom"/>
            <w:gridSpan w:val="20"/>
            <w:shd w:val="clear" w:color="auto" w:fill="CCEEFF"/>
          </w:tcPr>
          <w:p>
            <w:pPr>
              <w:ind w:left="20"/>
              <w:spacing w:after="0" w:line="196" w:lineRule="exact"/>
              <w:rPr>
                <w:sz w:val="20"/>
                <w:szCs w:val="20"/>
                <w:color w:val="auto"/>
              </w:rPr>
            </w:pPr>
            <w:r>
              <w:rPr>
                <w:rFonts w:ascii="Arial" w:cs="Arial" w:eastAsia="Arial" w:hAnsi="Arial"/>
                <w:sz w:val="18"/>
                <w:szCs w:val="18"/>
                <w:color w:val="0000EE"/>
              </w:rPr>
              <w:t>(unaudited)</w:t>
            </w:r>
          </w:p>
        </w:tc>
        <w:tc>
          <w:tcPr>
            <w:tcW w:w="9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16"/>
        </w:trPr>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103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w w:val="99"/>
              </w:rPr>
              <w:t>Condensed Consolidated Statements of Stockholders’ Equity for the Three and Nine Months Ended September 30, 2023 and 2022</w:t>
            </w:r>
          </w:p>
        </w:tc>
        <w:tc>
          <w:tcPr>
            <w:tcW w:w="900" w:type="dxa"/>
            <w:vAlign w:val="bottom"/>
            <w:shd w:val="clear" w:color="auto" w:fill="CCEEFF"/>
          </w:tcPr>
          <w:p>
            <w:pPr>
              <w:spacing w:after="0"/>
              <w:rPr>
                <w:sz w:val="15"/>
                <w:szCs w:val="15"/>
                <w:color w:val="auto"/>
              </w:rPr>
            </w:pPr>
          </w:p>
        </w:tc>
      </w:tr>
      <w:tr>
        <w:trPr>
          <w:trHeight w:val="217"/>
        </w:trPr>
        <w:tc>
          <w:tcPr>
            <w:tcW w:w="160" w:type="dxa"/>
            <w:vAlign w:val="bottom"/>
            <w:tcBorders>
              <w:top w:val="single" w:sz="8" w:color="0000EE"/>
            </w:tcBorders>
            <w:shd w:val="clear" w:color="auto" w:fill="CCEEFF"/>
          </w:tcPr>
          <w:p>
            <w:pPr>
              <w:spacing w:after="0"/>
              <w:rPr>
                <w:sz w:val="18"/>
                <w:szCs w:val="18"/>
                <w:color w:val="auto"/>
              </w:rPr>
            </w:pPr>
          </w:p>
        </w:tc>
        <w:tc>
          <w:tcPr>
            <w:tcW w:w="9220" w:type="dxa"/>
            <w:vAlign w:val="bottom"/>
            <w:tcBorders>
              <w:top w:val="single" w:sz="8" w:color="0000EE"/>
            </w:tcBorders>
            <w:gridSpan w:val="18"/>
            <w:shd w:val="clear" w:color="auto" w:fill="CCEEFF"/>
          </w:tcPr>
          <w:p>
            <w:pPr>
              <w:ind w:left="20"/>
              <w:spacing w:after="0" w:line="196" w:lineRule="exact"/>
              <w:rPr>
                <w:sz w:val="20"/>
                <w:szCs w:val="20"/>
                <w:color w:val="auto"/>
              </w:rPr>
            </w:pPr>
            <w:r>
              <w:rPr>
                <w:rFonts w:ascii="Arial" w:cs="Arial" w:eastAsia="Arial" w:hAnsi="Arial"/>
                <w:sz w:val="18"/>
                <w:szCs w:val="18"/>
                <w:color w:val="0000EE"/>
              </w:rPr>
              <w:t>(unaudited)</w:t>
            </w:r>
          </w:p>
        </w:tc>
        <w:tc>
          <w:tcPr>
            <w:tcW w:w="960" w:type="dxa"/>
            <w:vAlign w:val="bottom"/>
            <w:tcBorders>
              <w:top w:val="single" w:sz="8" w:color="CCEEFF"/>
            </w:tcBorders>
            <w:gridSpan w:val="2"/>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w:t>
            </w:r>
          </w:p>
        </w:tc>
      </w:tr>
      <w:tr>
        <w:trPr>
          <w:trHeight w:val="216"/>
        </w:trPr>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Statements of Cash Flows for the Nine Months Ended September 30, 2023 and 2022 (unaudited)</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Notes to Unaudited Condensed Consolidated Financial Statements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6-23</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24-29</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3. Quantitative and Qualitative Disclosures About Market Risk.</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4. Controls and Procedures.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0" w:type="dxa"/>
            <w:vAlign w:val="bottom"/>
            <w:gridSpan w:val="11"/>
            <w:shd w:val="clear" w:color="auto" w:fill="CCEEFF"/>
          </w:tcPr>
          <w:p>
            <w:pPr>
              <w:jc w:val="center"/>
              <w:ind w:right="3620"/>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90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1. Legal Proceedings.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1A. Risk Factors.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2. Unregistered Sales of Equity Securities and Use of Proceeds.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3. Defaults Upon Senior Securities.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4. Mine Safety Disclosures.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5. Other Information.</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103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Item 6. Exhibits.</w:t>
            </w: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report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“aim,” “will,” “would,” “could,” and similar expressions or phrases identify forward-looking statements. We have based these forward-looking statements largely on our current expectations and future events and financial trends that we believe may affect our financial condition, results of operation, business strategy and financial needs.</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You should read thoroughly this report and the documents that we refer to herein with the understanding that our actual future results may be materially different from and/or worse than what we expect. We qualify all of our forward-looking statements by these cautionary statements including those made in this report, in Part I. Item 1A. Risk Factors also appear in our Annual Report on Form 10-K for the year ended December 31, 2022 and our other filings with the Securities and Exchange Commission. Some examples of risk factors which may affect our business are as follows:</w:t>
      </w:r>
    </w:p>
    <w:p>
      <w:pPr>
        <w:spacing w:after="0" w:line="15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lack of significant revenues, positive cash flow and history of losses,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acceptance of our products and competition;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customers for existing and new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maintain and update our technology and product and service portfolio;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third party software and developers;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breaches of network or IT security and presentation attacks;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hire and retain key personnel and additional talent;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raise capital under acceptable terms;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listing of our common stock on the Nasdaq Capital Market;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 or the loss of some of our intellectual property rights through costly litigation or administrative proceedings;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operate in non-US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wars in Ukraine and the Middle East;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 price and market volatility and the risk of securities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legislation and government regulation;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conditions, inflation and access to capital.</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Other sections of this report include additional factors which could adversely impact our business and financial performance.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Except for our ongoing obligations to disclose material information under the Federal securities laws, we undertake no obligation to release publicly any revisions to any forward-looking statements, to report events or to report the occurrence of unanticipated events. These forward-looking statements speak only as of the date of this report, and you should not rely on these statements without also considering the risks and uncertainties associated with these statements and our business.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PERTINENT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specifically set forth to the contrary, when used in this report the terms “authID” the “Company,” “we,” “our,” “us,” and similar terms refer to authID Inc., a Delaware corporation and its subsidiaries.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26, 2023 the Company filed a Certificate of Amendment to its Amended and Restated Certificate of Incorporations to effect a one-for-eight (1-for-8) reverse split which became effective on July 7, 2023 (See Note 8 “Shareholders’ Equity”).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which appears on our website www.authID.ai is not part of this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929"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9"/>
              </w:rPr>
              <w:t>authID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ind w:left="396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3,811,014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3,237,106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48,832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261,809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474,178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729,342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contract costs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66,300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assets held for sale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118,459</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4,400,324</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4,346,716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250,383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370,409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566,259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4,183,232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4,183,232</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 held for sale</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27,595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8,953,965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9,374,185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520"/>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989,538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1,154,072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103,052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81,318</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Current liabilities held for sale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13,759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1,092,590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1,249,149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220,309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7,841,500</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Accrued severance liability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325,000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1,637,899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9,090,649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4"/>
              </w:rPr>
              <w:t>Common stock, $0.0001 par value, 250,000,000 shares authorized; 7,874,962 and 3,179,789 shares issued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outstanding as of September 30, 2023 and December 31, 2022,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163,613,111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140,257,448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(156,310,215)</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(140,130,159)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comprehensive income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12,384</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155,929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7,316,066</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283,536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8,953,965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9,374,185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authID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5"/>
          </w:tcPr>
          <w:p>
            <w:pPr>
              <w:jc w:val="right"/>
              <w:ind w:right="581"/>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9"/>
                <w:szCs w:val="19"/>
                <w:color w:val="auto"/>
              </w:rPr>
            </w:pPr>
          </w:p>
        </w:tc>
        <w:tc>
          <w:tcPr>
            <w:tcW w:w="238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right"/>
              <w:ind w:right="841"/>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238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Verified software license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42,369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114,269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116,925</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Legacy authentication services</w:t>
            </w:r>
          </w:p>
        </w:tc>
        <w:tc>
          <w:tcPr>
            <w:tcW w:w="220" w:type="dxa"/>
            <w:vAlign w:val="bottom"/>
          </w:tcPr>
          <w:p>
            <w:pPr>
              <w:spacing w:after="0"/>
              <w:rPr>
                <w:sz w:val="20"/>
                <w:szCs w:val="20"/>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4,118</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144,559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net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43,389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261,484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2,965,344</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3,914,432</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5,712,303</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11,583,798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749,705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1,620,492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1,666,638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4,689,515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0"/>
                <w:szCs w:val="20"/>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60,416</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213,049</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212,450</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673,882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3,775,465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5,747,973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7,591,391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16,947,195</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from continuing operations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(3,732,076)</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(5,717,950)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(7,473,004)</w:t>
            </w: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(16,685,711)</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29,511</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(42,148)</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30,671</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(38,908)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(13,138)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(437,301)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(1,095,320)</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(931,205)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Conversion expense</w:t>
            </w: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(7,476,000)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(380,741)</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Other income (expense), net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16,373</w:t>
            </w:r>
          </w:p>
        </w:tc>
        <w:tc>
          <w:tcPr>
            <w:tcW w:w="2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(479,449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(8,921,390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(970,113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Loss from continuing operations before income taxes</w:t>
            </w:r>
          </w:p>
        </w:tc>
        <w:tc>
          <w:tcPr>
            <w:tcW w:w="22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(3,715,703)</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(6,197,399)</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(16,394,394)</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(17,655,824)</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 (expense)</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7,052</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(3,255)</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Loss from continuing operations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(3,715,703</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(6,190,347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(16,397,649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(17,656,872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Gain (loss) from discontinued operations</w:t>
            </w:r>
          </w:p>
        </w:tc>
        <w:tc>
          <w:tcPr>
            <w:tcW w:w="22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(1,915)</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43,645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1,524</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(363,385)</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(loss) on sale of discontinued operations</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(188,247)</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216,069</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(188,247)</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gain (loss) from discontinued operations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(1,915</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(144,602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217,593</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(551,632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(3,717,618</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(6,334,949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(16,180,056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(18,208,504</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1"/>
              <w:spacing w:after="0" w:line="256" w:lineRule="exact"/>
              <w:rPr>
                <w:sz w:val="20"/>
                <w:szCs w:val="20"/>
                <w:color w:val="auto"/>
              </w:rPr>
            </w:pPr>
            <w:r>
              <w:rPr>
                <w:rFonts w:ascii="Arial" w:cs="Arial" w:eastAsia="Arial" w:hAnsi="Arial"/>
                <w:sz w:val="16"/>
                <w:szCs w:val="16"/>
                <w:color w:val="auto"/>
              </w:rPr>
              <w:t>(0.47</w:t>
            </w:r>
            <w:r>
              <w:rPr>
                <w:rFonts w:ascii="Arial" w:cs="Arial" w:eastAsia="Arial" w:hAnsi="Arial"/>
                <w:sz w:val="29"/>
                <w:szCs w:val="29"/>
                <w:color w:val="auto"/>
                <w:vertAlign w:val="superscript"/>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(2.00</w:t>
            </w:r>
            <w:r>
              <w:rPr>
                <w:rFonts w:ascii="Arial" w:cs="Arial" w:eastAsia="Arial" w:hAnsi="Arial"/>
                <w:sz w:val="29"/>
                <w:szCs w:val="29"/>
                <w:color w:val="auto"/>
                <w:vertAlign w:val="super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(3.05</w:t>
            </w:r>
            <w:r>
              <w:rPr>
                <w:rFonts w:ascii="Arial" w:cs="Arial" w:eastAsia="Arial" w:hAnsi="Arial"/>
                <w:sz w:val="29"/>
                <w:szCs w:val="29"/>
                <w:color w:val="auto"/>
                <w:vertAlign w:val="super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40"/>
              <w:spacing w:after="0" w:line="256" w:lineRule="exact"/>
              <w:rPr>
                <w:sz w:val="20"/>
                <w:szCs w:val="20"/>
                <w:color w:val="auto"/>
              </w:rPr>
            </w:pPr>
            <w:r>
              <w:rPr>
                <w:rFonts w:ascii="Arial" w:cs="Arial" w:eastAsia="Arial" w:hAnsi="Arial"/>
                <w:sz w:val="16"/>
                <w:szCs w:val="16"/>
                <w:color w:val="auto"/>
              </w:rPr>
              <w:t>(5.80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Discontinued operations</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7,874,962</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3,102,745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5,376,821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3,044,151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authID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5"/>
          </w:tcPr>
          <w:p>
            <w:pPr>
              <w:jc w:val="right"/>
              <w:ind w:right="581"/>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9"/>
                <w:szCs w:val="19"/>
                <w:color w:val="auto"/>
              </w:rPr>
            </w:pPr>
          </w:p>
        </w:tc>
        <w:tc>
          <w:tcPr>
            <w:tcW w:w="2380" w:type="dxa"/>
            <w:vAlign w:val="bottom"/>
            <w:gridSpan w:val="5"/>
          </w:tcPr>
          <w:p>
            <w:pPr>
              <w:jc w:val="right"/>
              <w:ind w:right="481"/>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right"/>
              <w:ind w:right="841"/>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2380" w:type="dxa"/>
            <w:vAlign w:val="bottom"/>
            <w:gridSpan w:val="5"/>
          </w:tcPr>
          <w:p>
            <w:pPr>
              <w:jc w:val="right"/>
              <w:ind w:right="701"/>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59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(3,717,618)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(6,334,949)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(16,180,056)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(18,208,504)</w:t>
            </w: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Foreign currency translation (loss) gain</w:t>
            </w:r>
          </w:p>
        </w:tc>
        <w:tc>
          <w:tcPr>
            <w:tcW w:w="220" w:type="dxa"/>
            <w:vAlign w:val="bottom"/>
          </w:tcPr>
          <w:p>
            <w:pPr>
              <w:spacing w:after="0"/>
              <w:rPr>
                <w:sz w:val="20"/>
                <w:szCs w:val="20"/>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12,592</w:t>
            </w:r>
          </w:p>
        </w:tc>
        <w:tc>
          <w:tcPr>
            <w:tcW w:w="2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(37,383)</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(143,545)</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(72,431)</w:t>
            </w:r>
          </w:p>
        </w:tc>
      </w:tr>
      <w:tr>
        <w:trPr>
          <w:trHeight w:val="250"/>
        </w:trPr>
        <w:tc>
          <w:tcPr>
            <w:tcW w:w="59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(3,705,026</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(6,372,332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(16,323,601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(18,280,935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
        </w:trPr>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authID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2320" w:type="dxa"/>
            <w:vAlign w:val="bottom"/>
            <w:gridSpan w:val="5"/>
            <w:vMerge w:val="restart"/>
          </w:tcPr>
          <w:p>
            <w:pPr>
              <w:jc w:val="right"/>
              <w:ind w:right="62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Additional</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80" w:type="dxa"/>
            <w:vAlign w:val="bottom"/>
          </w:tcPr>
          <w:p>
            <w:pPr>
              <w:spacing w:after="0"/>
              <w:rPr>
                <w:sz w:val="19"/>
                <w:szCs w:val="19"/>
                <w:color w:val="auto"/>
              </w:rPr>
            </w:pPr>
          </w:p>
        </w:tc>
        <w:tc>
          <w:tcPr>
            <w:tcW w:w="232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Paid-in</w:t>
            </w:r>
          </w:p>
        </w:tc>
        <w:tc>
          <w:tcPr>
            <w:tcW w:w="128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w w:val="90"/>
              </w:rPr>
              <w:t>Accumulated</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22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Capital</w:t>
            </w:r>
          </w:p>
        </w:tc>
        <w:tc>
          <w:tcPr>
            <w:tcW w:w="128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Income</w:t>
            </w:r>
          </w:p>
        </w:tc>
        <w:tc>
          <w:tcPr>
            <w:tcW w:w="10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2022</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3,179,789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$ 140,257,448</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(140,130,159)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155,929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(22,949)</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(22,949)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in lieu of interest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111,516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387,567</w:t>
            </w: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387,578</w:t>
            </w:r>
          </w:p>
        </w:tc>
        <w:tc>
          <w:tcPr>
            <w:tcW w:w="0" w:type="dxa"/>
            <w:vAlign w:val="bottom"/>
          </w:tcPr>
          <w:p>
            <w:pPr>
              <w:spacing w:after="0"/>
              <w:rPr>
                <w:sz w:val="1"/>
                <w:szCs w:val="1"/>
                <w:color w:val="auto"/>
              </w:rPr>
            </w:pPr>
          </w:p>
        </w:tc>
      </w:tr>
      <w:tr>
        <w:trPr>
          <w:trHeight w:val="202"/>
        </w:trPr>
        <w:tc>
          <w:tcPr>
            <w:tcW w:w="3780" w:type="dxa"/>
            <w:vAlign w:val="bottom"/>
          </w:tcPr>
          <w:p>
            <w:pPr>
              <w:ind w:left="180"/>
              <w:spacing w:after="0" w:line="201" w:lineRule="exact"/>
              <w:rPr>
                <w:sz w:val="20"/>
                <w:szCs w:val="20"/>
                <w:color w:val="auto"/>
              </w:rPr>
            </w:pPr>
            <w:r>
              <w:rPr>
                <w:rFonts w:ascii="Arial" w:cs="Arial" w:eastAsia="Arial" w:hAnsi="Arial"/>
                <w:sz w:val="18"/>
                <w:szCs w:val="18"/>
                <w:color w:val="auto"/>
                <w:w w:val="97"/>
              </w:rPr>
              <w:t>Warrants for services with securities purchase</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agreement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438,000</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438,000</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Conversion of convertible debt into common</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2,348,347</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15,331,776</w:t>
            </w: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15,332,011</w:t>
            </w:r>
          </w:p>
        </w:tc>
        <w:tc>
          <w:tcPr>
            <w:tcW w:w="0" w:type="dxa"/>
            <w:vAlign w:val="bottom"/>
          </w:tcPr>
          <w:p>
            <w:pPr>
              <w:spacing w:after="0"/>
              <w:rPr>
                <w:sz w:val="1"/>
                <w:szCs w:val="1"/>
                <w:color w:val="auto"/>
              </w:rPr>
            </w:pPr>
          </w:p>
        </w:tc>
      </w:tr>
      <w:tr>
        <w:trPr>
          <w:trHeight w:val="202"/>
        </w:trPr>
        <w:tc>
          <w:tcPr>
            <w:tcW w:w="3780" w:type="dxa"/>
            <w:vAlign w:val="bottom"/>
          </w:tcPr>
          <w:p>
            <w:pPr>
              <w:ind w:left="180"/>
              <w:spacing w:after="0" w:line="201" w:lineRule="exact"/>
              <w:rPr>
                <w:sz w:val="20"/>
                <w:szCs w:val="20"/>
                <w:color w:val="auto"/>
              </w:rPr>
            </w:pPr>
            <w:r>
              <w:rPr>
                <w:rFonts w:ascii="Arial" w:cs="Arial" w:eastAsia="Arial" w:hAnsi="Arial"/>
                <w:sz w:val="18"/>
                <w:szCs w:val="18"/>
                <w:color w:val="auto"/>
              </w:rPr>
              <w:t>Conversion of credit facility borrowings into</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245,634</w:t>
            </w: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899,976</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Sale of common stock for cash, net of offering</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1,989,676</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6,321,293</w:t>
            </w: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6,321,491</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(16,180,056)</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(16,180,056)</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(143,545)</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(143,545)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Balances, September 30, 2023</w:t>
            </w: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780" w:type="dxa"/>
            <w:vAlign w:val="bottom"/>
            <w:vMerge w:val="continue"/>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7,874,962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786</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$ 163,613,111</w:t>
            </w:r>
          </w:p>
        </w:tc>
        <w:tc>
          <w:tcPr>
            <w:tcW w:w="1080" w:type="dxa"/>
            <w:vAlign w:val="bottom"/>
          </w:tcPr>
          <w:p>
            <w:pPr>
              <w:jc w:val="right"/>
              <w:spacing w:after="0"/>
              <w:rPr>
                <w:sz w:val="20"/>
                <w:szCs w:val="20"/>
                <w:color w:val="auto"/>
              </w:rPr>
            </w:pPr>
            <w:r>
              <w:rPr>
                <w:rFonts w:ascii="Arial" w:cs="Arial" w:eastAsia="Arial" w:hAnsi="Arial"/>
                <w:sz w:val="18"/>
                <w:szCs w:val="18"/>
                <w:color w:val="auto"/>
                <w:w w:val="87"/>
              </w:rPr>
              <w:t>$ (156,310,215</w:t>
            </w:r>
          </w:p>
        </w:tc>
        <w:tc>
          <w:tcPr>
            <w:tcW w:w="200" w:type="dxa"/>
            <w:vAlign w:val="bottom"/>
            <w:vMerge w:val="continue"/>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12,384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7,316,066</w:t>
            </w:r>
          </w:p>
        </w:tc>
        <w:tc>
          <w:tcPr>
            <w:tcW w:w="0" w:type="dxa"/>
            <w:vAlign w:val="bottom"/>
          </w:tcPr>
          <w:p>
            <w:pPr>
              <w:spacing w:after="0"/>
              <w:rPr>
                <w:sz w:val="1"/>
                <w:szCs w:val="1"/>
                <w:color w:val="auto"/>
              </w:rPr>
            </w:pPr>
          </w:p>
        </w:tc>
      </w:tr>
      <w:tr>
        <w:trPr>
          <w:trHeight w:val="216"/>
        </w:trPr>
        <w:tc>
          <w:tcPr>
            <w:tcW w:w="37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w w:val="92"/>
              </w:rPr>
              <w:t>Balances, June 30, 2023 (as Revised - see Note 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7,874,962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786</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$ 162,155,308</w:t>
            </w: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w w:val="88"/>
              </w:rPr>
              <w:t>$ (152,592,597)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9,563,289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1,519,952</w:t>
            </w: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1,519,952</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Incremental offering costs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(62,149)</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(62,149)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(3,717,618)</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(3,717,618)</w:t>
            </w:r>
          </w:p>
        </w:tc>
        <w:tc>
          <w:tcPr>
            <w:tcW w:w="0" w:type="dxa"/>
            <w:vAlign w:val="bottom"/>
          </w:tcPr>
          <w:p>
            <w:pPr>
              <w:spacing w:after="0"/>
              <w:rPr>
                <w:sz w:val="1"/>
                <w:szCs w:val="1"/>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12,592</w:t>
            </w: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12,592</w:t>
            </w:r>
          </w:p>
        </w:tc>
        <w:tc>
          <w:tcPr>
            <w:tcW w:w="0" w:type="dxa"/>
            <w:vAlign w:val="bottom"/>
          </w:tcPr>
          <w:p>
            <w:pPr>
              <w:spacing w:after="0"/>
              <w:rPr>
                <w:sz w:val="1"/>
                <w:szCs w:val="1"/>
                <w:color w:val="auto"/>
              </w:rPr>
            </w:pPr>
          </w:p>
        </w:tc>
      </w:tr>
      <w:tr>
        <w:trPr>
          <w:trHeight w:val="27"/>
        </w:trPr>
        <w:tc>
          <w:tcPr>
            <w:tcW w:w="3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Balances, September 30, 2023</w:t>
            </w: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vMerge w:val="continue"/>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7,874,962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$ 163,613,111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(156,310,215</w:t>
            </w:r>
          </w:p>
        </w:tc>
        <w:tc>
          <w:tcPr>
            <w:tcW w:w="20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7,316,066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2021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2,926,655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$ 126,583,738</w:t>
            </w: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8"/>
              </w:rPr>
              <w:t>$ (115,899,939)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211,486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10,895,578</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6,726,871</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6,726,871</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Sale of common stock for cash, net of offering</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132,940</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3,146,927</w:t>
            </w: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3,146,940</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Common stock issued with convertible debt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3,562</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91,756</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91,757</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issued for working capital</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facility</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302,999</w:t>
            </w: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303,000</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Shares issued in lieu of interest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23,964</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473,810</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473,812</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Warrants for services with the issuance of</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debt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449,474</w:t>
            </w: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449,474</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Cashless stock option exercise</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23,139</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Cashless warrant exercise</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Warrant exercise for cash</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4,584</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66,002</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66,003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Convertible note converted into common stock</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49,999</w:t>
            </w: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(18,208,504)</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(18,208,504)</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(72,431)</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(72,431)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Balances, September 30, 2022</w:t>
            </w: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780" w:type="dxa"/>
            <w:vAlign w:val="bottom"/>
            <w:vMerge w:val="continue"/>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3,129,205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314</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$ 137,891,574</w:t>
            </w:r>
          </w:p>
        </w:tc>
        <w:tc>
          <w:tcPr>
            <w:tcW w:w="1080" w:type="dxa"/>
            <w:vAlign w:val="bottom"/>
          </w:tcPr>
          <w:p>
            <w:pPr>
              <w:jc w:val="right"/>
              <w:spacing w:after="0"/>
              <w:rPr>
                <w:sz w:val="20"/>
                <w:szCs w:val="20"/>
                <w:color w:val="auto"/>
              </w:rPr>
            </w:pPr>
            <w:r>
              <w:rPr>
                <w:rFonts w:ascii="Arial" w:cs="Arial" w:eastAsia="Arial" w:hAnsi="Arial"/>
                <w:sz w:val="18"/>
                <w:szCs w:val="18"/>
                <w:color w:val="auto"/>
                <w:w w:val="87"/>
              </w:rPr>
              <w:t>$ (134,108,443</w:t>
            </w:r>
          </w:p>
        </w:tc>
        <w:tc>
          <w:tcPr>
            <w:tcW w:w="200" w:type="dxa"/>
            <w:vAlign w:val="bottom"/>
            <w:vMerge w:val="continue"/>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139,055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3,922,500</w:t>
            </w:r>
          </w:p>
        </w:tc>
        <w:tc>
          <w:tcPr>
            <w:tcW w:w="0" w:type="dxa"/>
            <w:vAlign w:val="bottom"/>
          </w:tcPr>
          <w:p>
            <w:pPr>
              <w:spacing w:after="0"/>
              <w:rPr>
                <w:sz w:val="1"/>
                <w:szCs w:val="1"/>
                <w:color w:val="auto"/>
              </w:rPr>
            </w:pPr>
          </w:p>
        </w:tc>
      </w:tr>
      <w:tr>
        <w:trPr>
          <w:trHeight w:val="216"/>
        </w:trPr>
        <w:tc>
          <w:tcPr>
            <w:tcW w:w="37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Balances, June 30, 2022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3,113,580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$ 135,325,005</w:t>
            </w: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w w:val="88"/>
              </w:rPr>
              <w:t>$ (127,773,494)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176,438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7,728,260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in lieu of interest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222,804</w:t>
            </w: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222,805</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2,227,764</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2,227,764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exercise for cash</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66,002</w:t>
            </w: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66,003</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w w:val="96"/>
              </w:rPr>
              <w:t>Convertible note converted into common stock</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1,689</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49,999</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(6,334,949)</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(6,334,949)</w:t>
            </w:r>
          </w:p>
        </w:tc>
        <w:tc>
          <w:tcPr>
            <w:tcW w:w="0" w:type="dxa"/>
            <w:vAlign w:val="bottom"/>
          </w:tcPr>
          <w:p>
            <w:pPr>
              <w:spacing w:after="0"/>
              <w:rPr>
                <w:sz w:val="1"/>
                <w:szCs w:val="1"/>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(37,383)</w:t>
            </w: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(37,383)</w:t>
            </w:r>
          </w:p>
        </w:tc>
        <w:tc>
          <w:tcPr>
            <w:tcW w:w="0" w:type="dxa"/>
            <w:vAlign w:val="bottom"/>
          </w:tcPr>
          <w:p>
            <w:pPr>
              <w:spacing w:after="0"/>
              <w:rPr>
                <w:sz w:val="1"/>
                <w:szCs w:val="1"/>
                <w:color w:val="auto"/>
              </w:rPr>
            </w:pPr>
          </w:p>
        </w:tc>
      </w:tr>
      <w:tr>
        <w:trPr>
          <w:trHeight w:val="27"/>
        </w:trPr>
        <w:tc>
          <w:tcPr>
            <w:tcW w:w="3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Balances, September 30, 2022</w:t>
            </w: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vMerge w:val="continue"/>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3,129,205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$ 137,891,574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(134,108,443</w:t>
            </w:r>
          </w:p>
        </w:tc>
        <w:tc>
          <w:tcPr>
            <w:tcW w:w="20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139,055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3,922,500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9"/>
              </w:rPr>
              <w:t>authID INC. AND SUBSIDIARIES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right"/>
              <w:ind w:right="48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right"/>
              <w:ind w:right="70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(16,180,056)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(18,208,504)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with cash flows from operations: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212,450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674,836</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Provision for doubtful collection of other receivable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150,000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(22,949)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6,726,871</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Warrants for services with securities purchase agreement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438,000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issued in lieu of interest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387,578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473,812</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Amortization of debt discounts and issuance costs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693,420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403,244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from sale of discontinued operation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(216,069)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188,247</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Conversion expense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7,476,000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debt extinguishment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380,741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212,977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Deferred contract costs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(66,300)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66,676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(161,884)</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(178,428)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235,050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21,734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(102,074)</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290,000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relating to discontinued operations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110,064</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226,586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color w:val="auto"/>
              </w:rPr>
              <w:t>Net cash flows from operating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(6,224,162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(9,553,050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discontinued operations, net of selling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91,751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146,728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Cash disposed of from the sale of a discontinued operation</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(299,505)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 - discontinued operations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(16,159)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(7,981)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intangible assets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(16,601)</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Net cash flows from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75,150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(183,228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common stock, net of offering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6,321,492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3,146,940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Credit facility drawdown, net of issuance costs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543,760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convertible note payable, net of issuance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7,992,841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exercise of warrants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66,003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working capital facility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on notes payable - discontinued operations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capital lease obligation - discontinued operations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(10,582)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flows from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6,865,252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10,893,623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Effect of Foreign Currencies</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(145,035)</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(78,019)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Change in Cash</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571,205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1,079,326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the Period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3,237,106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5,767,276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Beginning of the Period - Discontinued Operations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2,703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270,707</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End of the Period - Discontinued Operations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Cash, End of the Period</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80" w:type="dxa"/>
            <w:vAlign w:val="bottom"/>
            <w:vMerge w:val="continue"/>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3,811,014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7,105,967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 - discontinued operations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8,779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Cash paid for income taxes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paid for income taxes - discontinued operations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Schedule of Non-cash Investing and Financing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Arial" w:cs="Arial" w:eastAsia="Arial" w:hAnsi="Arial"/>
                <w:sz w:val="18"/>
                <w:szCs w:val="18"/>
                <w:color w:val="auto"/>
              </w:rPr>
              <w:t>Conversion of convertible note payable and accrued interest to common stock</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7,856,011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6,232,340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Conversion of credit facility borrowings into common stock</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Warrants for consulting services with the sale of common stock</w:t>
            </w: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438,000</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Cashless option and warrant exercises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Settlement of accounts payable with issuance of common stock</w:t>
            </w: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349,376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Reclass from other assets to intangible assets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91" w:orient="portrait"/>
          <w:cols w:equalWidth="0" w:num="1">
            <w:col w:w="11240"/>
          </w:cols>
          <w:pgMar w:left="320" w:top="877" w:right="339" w:bottom="0" w:gutter="0" w:footer="0" w:header="0"/>
        </w:sectPr>
      </w:pPr>
    </w:p>
    <w:bookmarkStart w:id="9" w:name="page10"/>
    <w:bookmarkEnd w:id="9"/>
    <w:p>
      <w:pPr>
        <w:jc w:val="center"/>
        <w:ind w:right="5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5711825</wp:posOffset>
            </wp:positionH>
            <wp:positionV relativeFrom="page">
              <wp:posOffset>88900</wp:posOffset>
            </wp:positionV>
            <wp:extent cx="15601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0195" cy="8255"/>
                    </a:xfrm>
                    <a:prstGeom prst="rect">
                      <a:avLst/>
                    </a:prstGeom>
                    <a:noFill/>
                  </pic:spPr>
                </pic:pic>
              </a:graphicData>
            </a:graphic>
          </wp:anchor>
        </w:drawing>
        <w:t>See notes to condensed consolidated financial statements.</w:t>
      </w:r>
    </w:p>
    <w:p>
      <w:pPr>
        <w:sectPr>
          <w:pgSz w:w="11900" w:h="16838" w:orient="portrait"/>
          <w:cols w:equalWidth="0" w:num="1">
            <w:col w:w="9019"/>
          </w:cols>
          <w:pgMar w:left="1440" w:top="355" w:right="1440"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type w:val="continuous"/>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authID INC.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are prepared in accordance with instructions for Form 10-Q, include all adjustments (consisting only of normal recurring accruals) which we considered as necessary for a fair presentation of the results for the periods presented. Certain information and footnote disclosures normally included in the consolidated financial statements prepared in accordance with accounting principles generally accepted in the United States of America have been condensed or omitted. It is suggested that these condensed consolidated financial statements be read in conjunction with the Company’s Annual Report on Form 10-K for the year ended December 31, 2022. The results of operations for the three and nine months ended September 30, 2023 are not necessarily indicative of the results to be expected for future periods or the full year.</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condensed consolidated financial statements include the accounts of authID Inc. and its wholly-owned subsidiaries MultiPay S.A.S., ID Solutions, Inc., FIN Holdings Inc., Ipsidy Enterprises Limited and authID Gaming Inc. (collectively the “Company”). All significant intercompany balances and transactions have been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2023, the Company had an accumulated deficit of approximately $156.3 million. For the three and nine months ended September 30, 2023, the Company earned revenue from continuing operations of approximately $0.04 million and $0.12 million, used approximately $2.1 million and $6.2 million to fund its operations, and incurred a net loss of approximately $3.7 million and $16.2 million, respectively.</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continuation of the Company as a going concern is dependent upon financial support from the Company’s stockholders and noteholders, the ability of the Company to obtain additional debt or equity financing to continue operations, the Company’s ability to generate sufficient cash flows from operations, successfully locating and negotiating with other business entities for potential acquisition, and acquiring new clients to generate revenues and cash flows.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2023, the Company has secured additional financing of approximately $6.4 million net, which provides funding for its current operations as it continues to invest in its product, people, and technology. Although there is no guarantee, the Company projects that the investments will lead to revenue expansion thereby reducing liquidity needs. However, in order to further implement its business plan and satisfy its working capital requirements, the Company will need to raise additional capital. There is no guarantee that the Company will be able to raise additional equity or debt financing at acceptable terms, if at all.</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is no assurance that the Company will ever be profitable. These unaudited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positive) and raise sufficient capital to maintain operations, there is substantial doubt about the Company’s ability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Certain prior year expenses have been reclassified for consistency with the current year presentation. These reclassifications had no effect on the previously reported loss from continuing operations and management does not believe that this reclassification is material to the consolidated financial statements taken as a whole. Specifically, we reclassified certain expenses from general and administrative expenses to research and development expenses.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computes net loss per share in accordance with FASB ASC 260, “Earnings per Share”. ASC 260 requires presentation of both basic and diluted earnings per share (“EPS”) on the face of the statement of operations. Basic EPS is computed by dividing net loss available to common shareholders by the weighted average number of common shares outstanding during the period. Diluted EPS gives effect to all dilutive potential common shares outstanding during the period including stock options, using the treasury stock method, and convertible notes and stock warrants, using the if-converted method. In computing diluted EPS, the average stock price for the period is used in determining the number of shares assumed to be purchased from the exercise of stock options, warrants and conversion of convertible notes. Diluted EPS excludes all dilutive potential common shares if their effect is anti-dilutive. The following potentially dilutive securities were excluded from the calculation of diluted loss per share for the three and nine months ended September 30, 2023 and 2022 because their effect was antidilutive: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Security</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notes payable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325,188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488,018</w:t>
            </w:r>
          </w:p>
        </w:tc>
        <w:tc>
          <w:tcPr>
            <w:tcW w:w="1120" w:type="dxa"/>
            <w:vAlign w:val="bottom"/>
          </w:tcPr>
          <w:p>
            <w:pPr>
              <w:jc w:val="right"/>
              <w:spacing w:after="0"/>
              <w:rPr>
                <w:sz w:val="20"/>
                <w:szCs w:val="20"/>
                <w:color w:val="auto"/>
              </w:rPr>
            </w:pPr>
            <w:r>
              <w:rPr>
                <w:rFonts w:ascii="Arial" w:cs="Arial" w:eastAsia="Arial" w:hAnsi="Arial"/>
                <w:sz w:val="18"/>
                <w:szCs w:val="18"/>
                <w:color w:val="auto"/>
              </w:rPr>
              <w:t>163,045</w:t>
            </w:r>
          </w:p>
        </w:tc>
        <w:tc>
          <w:tcPr>
            <w:tcW w:w="100" w:type="dxa"/>
            <w:vAlign w:val="bottom"/>
          </w:tcPr>
          <w:p>
            <w:pPr>
              <w:spacing w:after="0"/>
              <w:rPr>
                <w:sz w:val="18"/>
                <w:szCs w:val="18"/>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1,685,570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1,212,202</w:t>
            </w:r>
          </w:p>
        </w:tc>
        <w:tc>
          <w:tcPr>
            <w:tcW w:w="100" w:type="dxa"/>
            <w:vAlign w:val="bottom"/>
            <w:shd w:val="clear" w:color="auto" w:fill="CCEEFF"/>
          </w:tcPr>
          <w:p>
            <w:pPr>
              <w:spacing w:after="0"/>
              <w:rPr>
                <w:sz w:val="19"/>
                <w:szCs w:val="19"/>
                <w:color w:val="auto"/>
              </w:rPr>
            </w:pP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2,181,866</w:t>
            </w:r>
          </w:p>
        </w:tc>
        <w:tc>
          <w:tcPr>
            <w:tcW w:w="1120" w:type="dxa"/>
            <w:vAlign w:val="bottom"/>
          </w:tcPr>
          <w:p>
            <w:pPr>
              <w:jc w:val="right"/>
              <w:spacing w:after="0"/>
              <w:rPr>
                <w:sz w:val="20"/>
                <w:szCs w:val="20"/>
                <w:color w:val="auto"/>
              </w:rPr>
            </w:pPr>
            <w:r>
              <w:rPr>
                <w:rFonts w:ascii="Arial" w:cs="Arial" w:eastAsia="Arial" w:hAnsi="Arial"/>
                <w:sz w:val="18"/>
                <w:szCs w:val="18"/>
                <w:color w:val="auto"/>
              </w:rPr>
              <w:t>1,700,435</w:t>
            </w:r>
          </w:p>
        </w:tc>
        <w:tc>
          <w:tcPr>
            <w:tcW w:w="100" w:type="dxa"/>
            <w:vAlign w:val="bottom"/>
          </w:tcPr>
          <w:p>
            <w:pPr>
              <w:spacing w:after="0"/>
              <w:rPr>
                <w:sz w:val="21"/>
                <w:szCs w:val="2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Verified Software License </w:t>
      </w:r>
      <w:r>
        <w:rPr>
          <w:rFonts w:ascii="Arial" w:cs="Arial" w:eastAsia="Arial" w:hAnsi="Arial"/>
          <w:sz w:val="17"/>
          <w:szCs w:val="17"/>
          <w:color w:val="auto"/>
        </w:rPr>
        <w:t>– The Company recognizes revenue based on the identified performance obligations over the performance period for fixed</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and / or variable fees generated that are earned on a usage fee based over time based on user monthly user or transaction volumes or on a monthly flat fee rate. We allocate the selling price in a contract which has multiple performance obligations based on the contract selling price that we believe represents a fair market price for the service rendered based on estimated standalone selling price.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contract liabilities of approximately $103,000 and $81,000 as of September 30, 2023 and December 31, 2022 respectively for certain revenue that will be earned in future periods. All deferred revenue contract liabilities as of September 30, 2023 are expected to be earned over the next twelve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2023, the Company’s Remaining Performance Obligation (RPO) was $1.87 million, of which $0.10 million is held as deferred revenue and $1.77 million is related to other non-cancelable contracted amounts. The Company expects approximately 34% of the RPO to be recognized as revenue in the twelve months ending September 30, 2024 based on contractual commitments and expected usage patterns. However, the amount and timing of revenue recognition are generally dependent upon customers’ future consumption, which is inherently variable at customers’ discretion. Furthermore, the Company does not have historical information to estimate the recognition of revenue due to its current operations and has approximated such amount based on discussions with the contracted parties.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Deferred Contract Costs </w:t>
      </w:r>
      <w:r>
        <w:rPr>
          <w:rFonts w:ascii="Arial" w:cs="Arial" w:eastAsia="Arial" w:hAnsi="Arial"/>
          <w:sz w:val="18"/>
          <w:szCs w:val="18"/>
          <w:color w:val="auto"/>
        </w:rPr>
        <w:t>– We defer the portion of sales commission that is considered a cost of obtaining a new contract with a customer and amortize</w:t>
      </w:r>
      <w:r>
        <w:rPr>
          <w:rFonts w:ascii="Arial" w:cs="Arial" w:eastAsia="Arial" w:hAnsi="Arial"/>
          <w:sz w:val="18"/>
          <w:szCs w:val="18"/>
          <w:i w:val="1"/>
          <w:iCs w:val="1"/>
          <w:color w:val="auto"/>
        </w:rPr>
        <w:t xml:space="preserve"> </w:t>
      </w:r>
      <w:r>
        <w:rPr>
          <w:rFonts w:ascii="Arial" w:cs="Arial" w:eastAsia="Arial" w:hAnsi="Arial"/>
          <w:sz w:val="18"/>
          <w:szCs w:val="18"/>
          <w:color w:val="auto"/>
        </w:rPr>
        <w:t>these deferred costs over the period of benefit. We expense the remaining sales commissions as incurred. The following table summarizes deferred contract cost activity for the nine months ended September 30, 2023:</w:t>
      </w:r>
    </w:p>
    <w:p>
      <w:pPr>
        <w:spacing w:after="0" w:line="180" w:lineRule="exact"/>
        <w:rPr>
          <w:sz w:val="20"/>
          <w:szCs w:val="20"/>
          <w:color w:val="auto"/>
        </w:rPr>
      </w:pPr>
    </w:p>
    <w:p>
      <w:pPr>
        <w:jc w:val="center"/>
        <w:ind w:left="9900"/>
        <w:spacing w:after="0"/>
        <w:rPr>
          <w:sz w:val="20"/>
          <w:szCs w:val="20"/>
          <w:color w:val="auto"/>
        </w:rPr>
      </w:pPr>
      <w:r>
        <w:rPr>
          <w:rFonts w:ascii="Arial" w:cs="Arial" w:eastAsia="Arial" w:hAnsi="Arial"/>
          <w:sz w:val="18"/>
          <w:szCs w:val="18"/>
          <w:b w:val="1"/>
          <w:bCs w:val="1"/>
          <w:color w:val="auto"/>
        </w:rPr>
        <w:t>Deferred</w:t>
      </w:r>
    </w:p>
    <w:p>
      <w:pPr>
        <w:spacing w:after="0" w:line="27" w:lineRule="exact"/>
        <w:rPr>
          <w:sz w:val="20"/>
          <w:szCs w:val="20"/>
          <w:color w:val="auto"/>
        </w:rPr>
      </w:pPr>
    </w:p>
    <w:p>
      <w:pPr>
        <w:jc w:val="center"/>
        <w:ind w:left="9900"/>
        <w:spacing w:after="0"/>
        <w:rPr>
          <w:sz w:val="20"/>
          <w:szCs w:val="20"/>
          <w:color w:val="auto"/>
        </w:rPr>
      </w:pPr>
      <w:r>
        <w:rPr>
          <w:rFonts w:ascii="Arial" w:cs="Arial" w:eastAsia="Arial" w:hAnsi="Arial"/>
          <w:sz w:val="18"/>
          <w:szCs w:val="18"/>
          <w:b w:val="1"/>
          <w:bCs w:val="1"/>
          <w:color w:val="auto"/>
        </w:rPr>
        <w:t>Contract</w:t>
      </w:r>
    </w:p>
    <w:p>
      <w:pPr>
        <w:spacing w:after="0" w:line="9" w:lineRule="exact"/>
        <w:rPr>
          <w:sz w:val="20"/>
          <w:szCs w:val="20"/>
          <w:color w:val="auto"/>
        </w:rPr>
      </w:pPr>
    </w:p>
    <w:p>
      <w:pPr>
        <w:jc w:val="center"/>
        <w:ind w:left="9900"/>
        <w:spacing w:after="0"/>
        <w:rPr>
          <w:sz w:val="20"/>
          <w:szCs w:val="20"/>
          <w:color w:val="auto"/>
        </w:rPr>
      </w:pPr>
      <w:r>
        <w:rPr>
          <w:rFonts w:ascii="Arial" w:cs="Arial" w:eastAsia="Arial" w:hAnsi="Arial"/>
          <w:sz w:val="18"/>
          <w:szCs w:val="18"/>
          <w:b w:val="1"/>
          <w:bCs w:val="1"/>
          <w:color w:val="auto"/>
        </w:rPr>
        <w:t>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5715</wp:posOffset>
            </wp:positionV>
            <wp:extent cx="7029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December 31, 2022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Additions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66,300</w:t>
            </w:r>
          </w:p>
        </w:tc>
        <w:tc>
          <w:tcPr>
            <w:tcW w:w="100" w:type="dxa"/>
            <w:vAlign w:val="bottom"/>
          </w:tcPr>
          <w:p>
            <w:pPr>
              <w:spacing w:after="0"/>
              <w:rPr>
                <w:sz w:val="18"/>
                <w:szCs w:val="18"/>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Carrying Value at September 30, 2023</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66,300</w:t>
            </w:r>
          </w:p>
        </w:tc>
        <w:tc>
          <w:tcPr>
            <w:tcW w:w="10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Legacy Authentication Services </w:t>
      </w:r>
      <w:r>
        <w:rPr>
          <w:rFonts w:ascii="Arial" w:cs="Arial" w:eastAsia="Arial" w:hAnsi="Arial"/>
          <w:sz w:val="18"/>
          <w:szCs w:val="18"/>
          <w:color w:val="auto"/>
        </w:rPr>
        <w:t>– The Company historically has sold certain legacy software licenses to customers and revenue is recognized when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and all other revenue recognition criteria have been met. During both quarters ended September 30, 2023 and 2022, the Company provided annual software maintenance support services relating to previously licensed software on a stand-ready basis. These fees were billed in advance and recognized ratably over the requisite service period as revenue.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Revenue Accounting Pronouncement </w:t>
      </w:r>
      <w:r>
        <w:rPr>
          <w:rFonts w:ascii="Arial" w:cs="Arial" w:eastAsia="Arial" w:hAnsi="Arial"/>
          <w:sz w:val="18"/>
          <w:szCs w:val="18"/>
          <w:color w:val="auto"/>
        </w:rPr>
        <w:t>– In June 2016, the Financial Accounting Standards Board issued Accounting Standards Update No. 2016-13,</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 Credit Losses (Topic),” which replaces the current incurred loss impairment methodology for most financial assets with the current expected credit lost, or CECL, methodology. The series of new guidance amends the impairment model by requiring entities to use a forward-looking approach based on expected losses rather than incurred losses to estimate credit losses on certain types of financial instruments, including trade receivables. The Company adopted the new standard effective January 1, 2023, which did not have a material impact to the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024"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2 – OTHER CURRENT ASSETS AND OTHER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Other current assets consisted of the following at September 30, 2023 (unaudited) and December 31, 2022: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295,188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244,215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Prepaid third party services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155,052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135,405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Unamortized credit facility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199,156</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23,938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150,566</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474,178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729,342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Other assets consisted of the following at September 30, 2023 (unaudited) and December 31, 2022: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Unamortized working capital facility fees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248,945</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250,383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3 – INTANGIBLE ASSETS, NET (OTHER THAN GOODWILL)</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Company’s intangible assets primarily consist of acquired and developed software that is being amortized over their estimated useful lives as indicated below. The following is a summary of activity related to intangible assets for the nine months ended September 30, 2023 (unaudited):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Acquired and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Developed</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Software</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Patents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Useful Lives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 Years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10 Years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435,595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130,664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566,259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Acquisition of intangible assets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16,601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16,601</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(200,100)</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(12,351)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(212,451)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Carrying Value at September 30, 2023</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252,096</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118,313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370,409</w:t>
            </w:r>
          </w:p>
        </w:tc>
        <w:tc>
          <w:tcPr>
            <w:tcW w:w="0" w:type="dxa"/>
            <w:vAlign w:val="bottom"/>
          </w:tcPr>
          <w:p>
            <w:pPr>
              <w:spacing w:after="0"/>
              <w:rPr>
                <w:sz w:val="1"/>
                <w:szCs w:val="1"/>
                <w:color w:val="auto"/>
              </w:rPr>
            </w:pPr>
          </w:p>
        </w:tc>
      </w:tr>
      <w:tr>
        <w:trPr>
          <w:trHeight w:val="21"/>
        </w:trPr>
        <w:tc>
          <w:tcPr>
            <w:tcW w:w="7320" w:type="dxa"/>
            <w:vAlign w:val="bottom"/>
            <w:vMerge w:val="restart"/>
          </w:tcPr>
          <w:p>
            <w:pPr>
              <w:spacing w:after="0"/>
              <w:rPr>
                <w:sz w:val="20"/>
                <w:szCs w:val="20"/>
                <w:color w:val="auto"/>
              </w:rPr>
            </w:pPr>
            <w:r>
              <w:rPr>
                <w:rFonts w:ascii="Arial" w:cs="Arial" w:eastAsia="Arial" w:hAnsi="Arial"/>
                <w:sz w:val="18"/>
                <w:szCs w:val="18"/>
                <w:color w:val="auto"/>
              </w:rPr>
              <w:t>The following is a summary of intangible assets as of September 30, 2023 (unaudited):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4"/>
                <w:szCs w:val="24"/>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Acquired and</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Developed</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Software</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Patents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4,492,872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164,614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4,657,486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(4,240,776)</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(46,301)</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(4,287,077)</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Carrying Value at September 30, 2023</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252,096</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118,313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370,409</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totaled approximately $212,450 and $642,000 for the nine months ended September 30, 2023, and 2022,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Future expected amortization of intangible assets is as follows: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2023 (Remainder of the Year)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51,458</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171,414</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67,111</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19,776</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9,776</w:t>
            </w:r>
          </w:p>
        </w:tc>
      </w:tr>
      <w:tr>
        <w:trPr>
          <w:trHeight w:val="236"/>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50,874</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370,409</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is no impairment indicator identified for impairment of the Company’s intangible assets and goodwill as of September 30,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4 – ACCOUNTS PAYABLE AND ACCRUED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gridSpan w:val="4"/>
          </w:tcPr>
          <w:p>
            <w:pPr>
              <w:spacing w:after="0"/>
              <w:rPr>
                <w:sz w:val="20"/>
                <w:szCs w:val="20"/>
                <w:color w:val="auto"/>
              </w:rPr>
            </w:pPr>
            <w:r>
              <w:rPr>
                <w:rFonts w:ascii="Arial" w:cs="Arial" w:eastAsia="Arial" w:hAnsi="Arial"/>
                <w:sz w:val="18"/>
                <w:szCs w:val="18"/>
                <w:color w:val="auto"/>
                <w:w w:val="95"/>
              </w:rPr>
              <w:t>Accounts payable and accrued expenses consisted of the following as of September 30, 2023 (unaudited) and December 31, 2022: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426,723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623,130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payroll and related obligations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113,494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145,837</w:t>
            </w: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449,321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385,105</w:t>
            </w:r>
          </w:p>
        </w:tc>
        <w:tc>
          <w:tcPr>
            <w:tcW w:w="10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989,538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1,154,072</w:t>
            </w:r>
          </w:p>
        </w:tc>
        <w:tc>
          <w:tcPr>
            <w:tcW w:w="10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14, 2023, the Company’s Board of Directors resolved to implement a revised budget for 2023 in order to reduce expenses and cash requirements and as part of such revised budget decided to re-balance staffing levels to better align with the evolving needs of the Company (the “Labor Reduction Plan”). Under the Labor Reduction Plan, 12 employees and 6 contractors have left the Company. The Company has also given termination notice to certain vendors and contractors that provide services to the Company. For the nine months ended September 30, 2023, the Company incurred approximately $0.8 million of severance expenses, of which $0.4 million was paid and $0.1 million was included in the Accounts payable and accrued expenses and the remaining $0.3 million was accrued for in Other liabilities as a long term liability on the unaudited Condensed Consolidated Balance Sheets as of September 30, 2023.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WORKING CAPITAL FACILTIY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21, 2022, the Company entered into a Credit Facility Agreement (the “Original Facility Agreement”) with Stephen J. Garchik (“Garchik”), who is a shareholder of the Company, pursuant to which Garchik agreed to provide to the Company a $10.0 million unsecured standby line of credit facility that could be drawn down in several tranches, subject to certain conditions described in the Original Facility Agreement. Pursuant to the Original Facility Agreement, the Company paid Garchik a Facility Commitment Fee of 12,500 shares of our common stock upon the effective date of the Original Facility Agreement.</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8, 2023, the Company entered into an Amended and Restated Facility Agreement (“A&amp;R Facility Agreement”) with Garchik, pursuant to which the Company and Garchik amended and restated the Original Facility Agreement in its entirety, to replace the credit facility contemplated by the Original Facility Agreement with (i) an initial credit facility to the Company in an amount of $900,000 and (ii) the parties to use their reasonable best efforts after the Initial Funding to negotiate the terms of a subsequent credit facility in the aggregate amount of $2,700,000 (the “Subsequent Funding”).</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9, 2023, pursuant to the A&amp;R Facility Agreement, the Company entered into a promissory note (the “Initial Promissory Note”) in favor of Garchik, pursuant to which Garchik loaned the amount of $900,000 (the “Principal Amount”) to the Company. In connection with the Company and Garchik entering into the Initial Promissory Note, each of the principal United States based subsidiaries of the Company agreed to, for the benefit and security of Garchik, guarantee the payment and performance all of the Company’s obligations under the Initial Promissory Note and the Guaranty. The Company and Garchik also entered into the Release Agreement, pursuant to which the Company and Garchik mutually agreed to release any and all rights to make a claim against the other and any existing claims against the other arising out of or relating to the Original Facility Agreement.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wrote-off approximately $410,000 of the issuance costs related to the Original Credit Facility and capitalized $426,000 issuance costs related to the A&amp;R Facility Agreement as of March 31, 2023.</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25, 2023, the Company and Garchik agreed to cancel the Initial Promissory Note, terminate the A&amp;R Facility Agreement and Guaranty and satisfy and offset the outstanding balance of the Initial Promissory Note, plus accrued and unpaid interest in the aggregate amount of $929,250 against the purchase price of certain shares of common stock of the Company. See Note 8 “Shareholders’ Equity”. All remaining unamortized debt issuance costs of approximately $381,000 related to the Initial Promissory Note and the A&amp;R Facility Agreement were recorded as a loss on debt extinguishment for the nine months ended September 30, 2023.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 CONVERTIBLE NOTES PAYABLE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21, 2022, the Company entered into a Securities Purchase Agreement (“SPA”) with certain accredited investors, including certain directors of the Company or their affiliates (the “Note Investors”), and, pursuant to the SPA, sold to the Note Investors Senior Secured Convertible Notes (the “Convertible Notes”) with an aggregate initial principal amount of approximately $9.2 million and a conversion price of $29.60. The Convertible Notes were sold with an aggregate cash origination fee of approximately $200,000, and we issued a total of approximately 3,563 shares of our common stock to the Note Investors as an additional origination fee. The Convertible Notes accrue interest at the rate of 9.75% per annum, which is payable in cash or, for some or all of the first five interest payments, in shares of our common stock at the Company’s option, on the last day of each calendar quarter before the maturity date and on the maturity date. The maturity date of the Convertible Notes is March 31, 2025.</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September 30, 2022, a holder of a Convertible Note converted the full principal amount of $50,000 and accrued interest of $406 into 1,706 shares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September 30, 2022, the Company issued 9,335 shares of common stock for approximately $223,000 of interest.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2023 and 2022, the Company issued 103,533 and 23,947 shares of common stock for approximately $358,000 and $474,000 of interest expense, respectively. The number of shares issued to each Note Investor was based on the VWAP of the common stock as of the relevant interest payment date, as defined in the Convertible Notes.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issuance of the Convertible Notes, the Company issued 17,836 common stock warrants to a broker and its representatives with an estimated grant date fair value of approximately $449,000 which was recorded as a reduction in the carrying value of the Convertible Notes.</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23, 2023, the Company entered into an exchange agreement with certain holders (“Holders”) of the Convertible Notes of the Company, pursuant to which the Company agreed to issue 2,346,105 shares of common stock to the Holders in exchange for approximately $8.9 million (or approximately $7.9 million, net of debt issuance costs and discount) of the principal amount of Holders’ Convertible Notes at a price of $3.78 per share (or $4.12 if the Holder is a director, officer or insider of the Company). On June 7, 2023, the Company entered into a further Securities Purchase Agreement and Exchange Agreement with an accredited investor pursuant to which the Company agreed to issue 2,242 Exchange Shares in exchange for $13,000 of the principal amount of the Holder’s Convertible Note at a price of $5.80 per share. The Company also recognized an expense on conversion of convertible notes of approximately $7.5 million, representing the market value of the additional shares issued by the Company in exchange for the Convertible Notes, above the number of shares that the Holders would have received upon conversion at the original conversion price under the Convertible Notes.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23, 2023, the Company solicited the consent of the Convertible Notes Holders to eliminate substantially all of the restrictive covenants and a related event of default in the Convertible Notes. The Company received consent from Holders representing over the necessary 66.67% of the outstanding principal amount under the Convertible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8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Convertible Notes payable outstanding as of September 30, 2023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9.75% convertible notes due March 31, 2025</w:t>
            </w:r>
          </w:p>
        </w:tc>
        <w:tc>
          <w:tcPr>
            <w:tcW w:w="49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245,000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4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r>
              <w:rPr>
                <w:rFonts w:ascii="Arial" w:cs="Arial" w:eastAsia="Arial" w:hAnsi="Arial"/>
                <w:sz w:val="18"/>
                <w:szCs w:val="18"/>
                <w:color w:val="auto"/>
              </w:rPr>
              <w:t>Unamortized debt issuance expense</w:t>
            </w:r>
          </w:p>
        </w:tc>
        <w:tc>
          <w:tcPr>
            <w:tcW w:w="4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(24,691)</w:t>
            </w:r>
          </w:p>
        </w:tc>
        <w:tc>
          <w:tcPr>
            <w:tcW w:w="0" w:type="dxa"/>
            <w:vAlign w:val="bottom"/>
          </w:tcPr>
          <w:p>
            <w:pPr>
              <w:spacing w:after="0"/>
              <w:rPr>
                <w:sz w:val="1"/>
                <w:szCs w:val="1"/>
                <w:color w:val="auto"/>
              </w:rPr>
            </w:pPr>
          </w:p>
        </w:tc>
      </w:tr>
      <w:tr>
        <w:trPr>
          <w:trHeight w:val="250"/>
        </w:trPr>
        <w:tc>
          <w:tcPr>
            <w:tcW w:w="5440" w:type="dxa"/>
            <w:vAlign w:val="bottom"/>
            <w:tcBorders>
              <w:top w:val="single" w:sz="8" w:color="CCEEFF"/>
              <w:bottom w:val="single" w:sz="8" w:color="CCEEFF"/>
            </w:tcBorders>
            <w:shd w:val="clear" w:color="auto" w:fill="CCEEFF"/>
          </w:tcPr>
          <w:p>
            <w:pPr>
              <w:spacing w:after="0"/>
              <w:rPr>
                <w:sz w:val="21"/>
                <w:szCs w:val="21"/>
                <w:color w:val="auto"/>
              </w:rPr>
            </w:pPr>
          </w:p>
        </w:tc>
        <w:tc>
          <w:tcPr>
            <w:tcW w:w="45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w w:val="92"/>
              </w:rPr>
              <w:t>Future maturities of Convertible Notes payable as of September 30, 2023:</w:t>
            </w:r>
          </w:p>
        </w:tc>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440" w:type="dxa"/>
            <w:vAlign w:val="bottom"/>
            <w:vMerge w:val="continue"/>
          </w:tcPr>
          <w:p>
            <w:pPr>
              <w:spacing w:after="0"/>
              <w:rPr>
                <w:sz w:val="24"/>
                <w:szCs w:val="24"/>
                <w:color w:val="auto"/>
              </w:rPr>
            </w:pPr>
          </w:p>
        </w:tc>
        <w:tc>
          <w:tcPr>
            <w:tcW w:w="4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490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45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40" w:type="dxa"/>
            <w:vAlign w:val="bottom"/>
          </w:tcPr>
          <w:p>
            <w:pPr>
              <w:spacing w:after="0"/>
              <w:rPr>
                <w:sz w:val="21"/>
                <w:szCs w:val="21"/>
                <w:color w:val="auto"/>
              </w:rPr>
            </w:pPr>
          </w:p>
        </w:tc>
        <w:tc>
          <w:tcPr>
            <w:tcW w:w="49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245,000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4580" w:type="dxa"/>
            <w:vAlign w:val="bottom"/>
            <w:vMerge w:val="restart"/>
          </w:tcPr>
          <w:p>
            <w:pPr>
              <w:jc w:val="right"/>
              <w:ind w:right="4210"/>
              <w:spacing w:after="0"/>
              <w:rPr>
                <w:sz w:val="20"/>
                <w:szCs w:val="20"/>
                <w:color w:val="auto"/>
              </w:rPr>
            </w:pPr>
            <w:r>
              <w:rPr>
                <w:rFonts w:ascii="Arial" w:cs="Arial" w:eastAsia="Arial" w:hAnsi="Arial"/>
                <w:sz w:val="18"/>
                <w:szCs w:val="18"/>
                <w:color w:val="auto"/>
              </w:rPr>
              <w:t>11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4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7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Payable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May 23, 2023, pursuant to an Exchange Agreement, Mr. Ken Jisser converted $100,000 of Convertible Notes payable and accrued interest of $1,463 into 24,628 shares of common stock.</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May 23, 2023, pursuant to an Exchange Agreement, Mr. Stephen J. Garchik, who is a shareholder of the Company, converted $1,000,000 of Convertible Notes payable and $14,625 of accrued interest into 264,831 and 3,874 shares of common stock, respectively. As a result of such exchange, the issuance of shares in satisfaction of the Credit Facility referred to below and the purchase of additional shares of common stock in May 2023, (See Note 8 “Shareholders’ Equity”), Mr. Garchik is now a holder of more than 10% of the outstanding shares of the Company’s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See Note 6 “Convertible Notes Payable” and Note 8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23, 2023, Messrs. Rhoniel Daguro, CEO, Ken Jisser, Michael Thompson, members of the Company’s Board of Directors and Joseph Trelin, the Chairman of the Board, each purchased 12,500 shares of Company’s common stock at a price of $50,000.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21, 2022 the Company entered into the Original Facility Agreement with Mr. Stephen Garchik, an accredited investor, who is both a current shareholder of the Company and a Note Investor, pursuant to which Mr. Garchik agreed to provide a $10.0 million unsecured standby line of credit facility that will rank behind the Convertible Notes and may be drawn down in several tranches, subject to certain conditions described in the Original Facility Agreement. Pursuant to the Original Facility Agreement, the Company agreed to pay Mr. Garchik the Facility Commitment Fee of 12,500 shares of our common stock upon the effective date of the Original Facility Agreement. Upon request by Mr. Garchik and until the full amount due under the Original Agreement is repaid in full, the Company agreed to provide for the nomination of one designee specified in writing by Garchik for appointment to our board directors and for subsequent election to our board of directors and to recommend such nominee for election to our board of directors. On April 18, 2022, Joseph Trelin, as Garchik’s designee under the Original Facility Agreement, was appointed as a member of the Board of Directors of the Company. By virtue of such right of nomination Mr. Garchik considered himself a “director by deputization”.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described in Note 5 “Working Capital Facility”, the Original Facility Agreement was amended and restated effective March 8, 2023 pursuant to which amendment the amount of the facility was reduced to $3.6 million, an initial advance of $900,000 was made and subsequent advances under the A&amp;R Facility Agreement are subject to various conditions including the granting of a security interest over substantially all the Company’s assets. Under the A&amp;R Facility Agreement Garchik had a one-time right for the nomination of four designees specified in writing by Garchik for appointment to our board of directors. On March 9, 2023 Rhoniel Daguro, Ken Jisser, Michael Thompson and Thomas Szoke as Garchik’s designees under the A&amp;R Facility Agreement, were appointed as members of the Board of Directors of the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jc w:val="both"/>
        <w:spacing w:after="0" w:line="286" w:lineRule="auto"/>
        <w:rPr>
          <w:sz w:val="20"/>
          <w:szCs w:val="20"/>
          <w:color w:val="auto"/>
        </w:rPr>
      </w:pPr>
      <w:r>
        <w:rPr>
          <w:rFonts w:ascii="Arial" w:cs="Arial" w:eastAsia="Arial" w:hAnsi="Arial"/>
          <w:sz w:val="17"/>
          <w:szCs w:val="17"/>
          <w:color w:val="auto"/>
        </w:rPr>
        <w:t>On May 25, 2023, the Company and Mr. Garchik agreed to cancel the Initial Promissory Note, terminated the A&amp;R Facility Agreement and Guaranty and satisfied and offset the outstanding balance of the Note in the principal amount of $900,000 and $29,250 accrued and unpaid interest with the purchase price of 245,634 and 7,983 shares of common stock, respectively. See Note 5 “Working Capital Facility” and Note 8 “Shareholders’ Equity”.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March 23, 2023, Mr. Thomas Thimot resigned as the Company’s Chief Executive Officer.</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March 23, 2023, the Company and Rhoniel A. Daguro, a director of the Company, entered an Offer Letter pursuant to which Mr. Daguro agreed to serve as Chief Executive Officer of the Company in consideration of an initial annual salary of $400,000. Mr. Daguro will be eligible for an annual target bonus of up to $375,000 based on performance milestones. For the period ending March 31, 2024, a bonus amount of $75,000 shall be payable upon the Company achieving increments of $1,000,000 in total contract value of all customer agreements less claw backs (“Bookings”) up to an aggregate of $5,000,000 in Bookings. For subsequent years, Mr. Daguro and the Compensation Committee of the Board will mutually agree as to the performance targets to be achieved, to earn the annual bonus. On April 10, 2023, the Company provided Mr. Daguro with an initial grant of options to purchase 306,875 shares of common stock at the exercise price of $3.176 per share for a period of ten years vesting subject to achievement of performance and service conditions. On June 28, 2023, the Company made an additional grant of options to Mr. Daguro to acquire 183,125 shares of common stock at the exercise price of $5.48 for a period of ten years vesting subject to achievement of performance and service conditions.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employment of Mr. Daguro is at will and may be terminated at any time, with or without formal cause. The Company also entered an Executive Retention Agreement with Mr. Daguro,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Daguro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Daguro for the cost of continuation of health coverage for Mr. Daguro and his eligible dependents pursuant to COBRA until the earlier of 12 months following the termination date, the date Mr. Daguro and his dependents are eligible for health coverage from a new employer or the date Mr. Daguro and his eligible dependents are no longer eligible for COBRA.</w:t>
      </w:r>
    </w:p>
    <w:p>
      <w:pPr>
        <w:spacing w:after="0" w:line="1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April 25, 2022, Hang Pham and the Company entered an Offer Letter pursuant to which Ms. Pham agreed to serve as Chief Financial Officer with a planned employment date commencing June 20, 2022. Ms. Pham receives an annual salary of $275,000. The Company agreed to provide a bonus of 40% of the base salary based on achievement of performance milestones, calculated and payable in accordance with the corporate milestones approved by the Board for the year 2022. For subsequent fiscal years the bonus shall be subject to performance targets to be mutually agreed with the Compensation Committee of the Board. In addition, Ms. Pham received a signing bonus in the amount of $25,000, which is fully refundable to the Company if Ms. Pham leaves her employment voluntarily or is terminated for cause prior to the first anniversary of the commencement of employment. Upon commencing employment, Ms. Pham was granted an option to acquire 43,750 shares of common stock at an exercise price of $19.28 with an exercise period of ten years subject to certain performance and market vesting requirements. On May 11, 2023, the Company entered a Retention Agreement with Ms. Pham, pursuant to which the Company agreed to provide specified retention bonus amounts subject to certain performance conditions in the aggregate amount of up to $240,625 and to accelerate the vesting on her equity awards upon termination. This Agreement replaces the previous Executive Retention Agreement dated April 25, 2022, which was terminated and a release granted in relation thereto. Ms. Pham resigned as Chief Financial Officer effective August 15, 2023.</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p>
      <w:pPr>
        <w:jc w:val="both"/>
        <w:spacing w:after="0" w:line="288" w:lineRule="auto"/>
        <w:rPr>
          <w:sz w:val="20"/>
          <w:szCs w:val="20"/>
          <w:color w:val="auto"/>
        </w:rPr>
      </w:pPr>
      <w:r>
        <w:rPr>
          <w:rFonts w:ascii="Arial" w:cs="Arial" w:eastAsia="Arial" w:hAnsi="Arial"/>
          <w:sz w:val="16"/>
          <w:szCs w:val="16"/>
          <w:color w:val="auto"/>
        </w:rPr>
        <w:t>On April 12, 2023, the Company entered an Offer Letter with Thomas R. Szoke, a director of the Company, pursuant to which Mr. Szoke agreed to serve as Chief Technology Officer in consideration of an initial annual salary of $250,000. Mr. Szoke received an initial signing bonus of $20,833 and will be eligible for an annual target bonus of up to $200,000 based on performance milestones. For the period ending March 31, 2024, a bonus amount of $40,000 shall be payable upon our company achieving increments of $1,000,000 in total contract value of all customer agreements less claw backs (“Bookings”) up to an aggregate of $5,000,000 in Bookings. For subsequent years, Mr. Szoke and the Compensation Committee of the Board will mutually agree as to the performance targets to be achieved, to earn the annual bonus. The vesting criteria of Mr. Szoke’s Stock Options to acquire 12,500 shares of common stock previously granted to Mr. Szoke on March 14, 2023 (the “Original Grant”) were amended pursuant to an Amended and Restated Stock Non-Statutory Option Agreement providing for vesting subject to achievement of performance and service conditions. All other terms of the Original Grant were not changed. On June 28, 2023, the Company made an additional grant of options to Mr. Szoke to acquire 50,000 shares of common stock at the exercise price of $5.48 per share for a period of ten years vesting subject to achievement of performance and service conditions.</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employment of Mr. Szoke is at will and may be terminated at any time, with or without formal cause. The Company also entered an Executive Retention Agreement with Mr. Szoke,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Szoke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Szoke for the cost of continuation of health coverage for Mr. Szoke and his eligible dependents pursuant to COBRA until the earlier of 12 months following the termination date, the date Mr. Szoke and his dependents are eligible for health coverage from a new employer or the date Mr. Szoke and his eligible dependents are no longer eligible for COBRA.</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31, 2023, the Company and Edward Sellitto entered an Offer Letter pursuant to which Mr. Sellitto agreed to serve as Chief Financial Officer of the Company commencing August 15, 2023 in consideration of an annual salary of $250,000. Mr. Sellitto will be eligible for an annual target bonus of up to 60% of base salary based on achievement of performance milestones, as Mr. Sellitto and the Compensation Committee of the Board, will mutually agree for each year. The bonus shall be pro-rated for the year 2023. At the outset of employment, Mr. Sellitto was provided with a grant of options to purchase 50,000 shares of common stock vesting subject to achievement of performance and service conditions at an exercise price of $8.87, with an exercise period of 10 years. The employment of Mr. Sellitto will be at will and may be terminated at any time, with or without formal cause.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Messrs. Thomas Thimot, Phillip L. Kumnick, Philip R. Broenniman, Michael A. Gorriz and Ms. Neepa Patel tendered their resignations from the Board of Directors of the Company on March 9, 2023. The Board of Directors appointed Joseph Trelin to the Company’s Compensation and Audit Committees. On March 9, 2023, the Board of Directors appointed Rhon Daguro, Ken Jisser, Michael Thompson and Thomas Szoke as additional directors of the Company and reduced the size of the Board of Directors from 8 directors to 7 directors. The Company granted Messrs. Jisser, Thompson and Szoke 12,500 options each at the exercise price of $2.64 per share.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16, 2023, the Company appointed Joseph Trelin as the Chairman of the Board, Michael Koehneman as Chairman of the Governance Committee and appointed Michael Thompson to the Company’s Compensation and Governance Committees.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28, 2023, the Company granted 15,625 options each at the exercise price of $5.48 per share to Messrs. Joseph Trelin, Michael Koehneman and Ms. Jacqueline White and 3,125 options each at the exercise price of $5.48 to Messrs. Jisser and Thompson, in accordance with the Company’s compensation policy for non-employee directors. Each such option vests over a period of twelve months.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Services Agreements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Mr. Ken Jisser joined our Board of Directors on March 9, 2023. Mr. Jisser is the founder and Chief Executive Officer of The Pipeline Group, Inc. (“TPG”), a technology-enabled services company that assists the Company with pipeline generation. On June 6, 2023, the Company entered into a services agreement with TPG. The agreement provides that TPG assist in providing outsourced sales including business development resources for outbound calling, provide support for automated dialing technology, classify customer data and other sales related services. In consideration of the services, the Company will pay TPG $47,000 per month during a one-year term. On October 25, 2023 the Agreement was amended to provide for additional services and for the Company to pay TPG $70,000 per month during the remainder of the term.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June 26, 2023, the Company filed a Certificate of Amendment to its Amended and Restated Certificate of Incorporation to effect a one-for-eight (1-for-</w:t>
      </w:r>
    </w:p>
    <w:p>
      <w:pPr>
        <w:spacing w:after="0" w:line="46" w:lineRule="exact"/>
        <w:rPr>
          <w:sz w:val="20"/>
          <w:szCs w:val="20"/>
          <w:color w:val="auto"/>
        </w:rPr>
      </w:pPr>
    </w:p>
    <w:p>
      <w:pPr>
        <w:jc w:val="both"/>
        <w:ind w:firstLine="8"/>
        <w:spacing w:after="0" w:line="285" w:lineRule="auto"/>
        <w:tabs>
          <w:tab w:leader="none" w:pos="214" w:val="left"/>
        </w:tabs>
        <w:numPr>
          <w:ilvl w:val="0"/>
          <w:numId w:val="6"/>
        </w:numPr>
        <w:rPr>
          <w:rFonts w:ascii="Arial" w:cs="Arial" w:eastAsia="Arial" w:hAnsi="Arial"/>
          <w:sz w:val="16"/>
          <w:szCs w:val="16"/>
          <w:color w:val="auto"/>
        </w:rPr>
      </w:pPr>
      <w:r>
        <w:rPr>
          <w:rFonts w:ascii="Arial" w:cs="Arial" w:eastAsia="Arial" w:hAnsi="Arial"/>
          <w:sz w:val="16"/>
          <w:szCs w:val="16"/>
          <w:color w:val="auto"/>
        </w:rPr>
        <w:t>reverse split (the “Reverse Split”) of the shares of the Company’s common stock. The Reverse Split became effective on July 7, 2023 (see Note 11 “Subsequent Event”). As a result of the Reverse Split, every eight shares of the Company’s issued and outstanding common stock automatically converted into one share of common stock, without any change in the par value per share, and began trading on a post-split basis under the Company’s existing trading symbol, “AUID”, when the market opened on July 10, 2023. The Reverse Split affected all holders of common stock uniformly and did not affect any common stockholder’s percentage ownership interest in the Company, except for de minimis changes as a result of the elimination of fractional shares. A total of 62,816,330 shares of common stock were issued and outstanding immediately prior to the Reverse Split, and 7,874,962 shares of common stock were issued and outstanding immediately after the Reverse Split. No fractional shares will be outstanding following the Reverse Split. Any holder who would have received a fractional share of common stock received an additional fraction of a share of common stock to round up their holding to the next whole share. In addition, effective as of the Reverse Split, proportionate adjustments were made to all then-outstanding options and warrants with respect to the number of shares of common stock subject to such options or warrants and the exercise prices thereof, as well as to the conversion price under the remaining Convertible Notes. The impact of this change in capital structure has been retroactively applied to all periods presented 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2023, shares of common stock were issued as a result of the following transactions:</w:t>
      </w:r>
    </w:p>
    <w:p>
      <w:pPr>
        <w:spacing w:after="0" w:line="225" w:lineRule="exact"/>
        <w:rPr>
          <w:sz w:val="20"/>
          <w:szCs w:val="20"/>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May 26, 2023, pursuant to Securities Purchase Agreements, the Company issued 1,989,676 shares of common stock for cash gross proceeds of approximately $7.3 million (or approximately $6.4 million, net of offering costs).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May 26, 2023, pursuant to a Securities Purchase Agreement, Mr. Garchik capitalized the outstanding principal balance of $900,000 under the Initial Promissory Note, into 245,634 shares of common stock, respectively.</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May 26, 2023, pursuant to an exchange agreement with Holders of Convertible Notes payable, the Company issued 2,348,347 shares of common stock in exchange for Convertible Notes in the gross principal amount of approximately $8.9 million (approximately $7.9 million, net of debt issuance costs and discount). In addition, the Company recorded approximately $7.5 million of expense on conversion of convertible notes.</w:t>
      </w:r>
    </w:p>
    <w:p>
      <w:pPr>
        <w:spacing w:after="0" w:line="186"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issued 111,516 shares of common stock for approximately $388,000 of interest accrued under the Convertible Notes and Credit Facility. See Note 6 “Convertible Notes Payable”.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May 12, 2023, in connection with certain recruitment services, the Company issued 187,500 common stock warrants to Madison III, LLC with a term of 5 years and an exercise price of $3.164 per share.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May 26, 2023, in connection with their placement agent services, the Company issued 156,712 common stock warrants to Madison Global Partners, LLC, with a term of 5 years and an exercise price of $3.664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warrant activity for the nine months ended September 30, 2023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29"/>
        </w:trPr>
        <w:tc>
          <w:tcPr>
            <w:tcW w:w="732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41"/>
        </w:trPr>
        <w:tc>
          <w:tcPr>
            <w:tcW w:w="732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Life</w:t>
            </w:r>
          </w:p>
        </w:tc>
      </w:tr>
      <w:tr>
        <w:trPr>
          <w:trHeight w:val="216"/>
        </w:trPr>
        <w:tc>
          <w:tcPr>
            <w:tcW w:w="7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153,683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2.21 Years</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344,212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Exercised/cancelled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50"/>
        </w:trPr>
        <w:tc>
          <w:tcPr>
            <w:tcW w:w="7320" w:type="dxa"/>
            <w:vAlign w:val="bottom"/>
            <w:tcBorders>
              <w:top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488,018</w:t>
            </w: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3.94 Years</w:t>
            </w: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2023, the Company granted directors a total of 78,125 options at exercise prices ranging from $2.64 to $5.48 per share. During the nine months ended September 30, 2023, the Company granted the Chief Executive Officer 490,000 options at exercise prices ranging from $3.18 to $5.48 per share, the Chief Technology Officer 62,500 options at exercise prices ranging from $2.64 to $5.48 per share and the Chief Financial Officer 50,000 options at an exercise price of $8.87. During the nine months ended September 30, 2023 the Company also granted a total of 75,000 options to certain new employees at an exercise price of $7.36 per share.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2023 the Company agreed to accelerate the vesting of 45,190 options for Annie Pham under her Retention Agreement with exercise prices ranging from $6.32 to $19.28 per share. These accelerated options would not otherwise have vested prior to termination of employment according to their Market and Service conditions. Therefore, the Company recalculated the fair value of these options as of her termination date of August 15, 2023 using the Black Scholes method.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The Company determined the grant date fair value of options granted for the nine months ended September 30, 2023, using the Black Scholes and Monte Carlo Methods, as applicable, with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term</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w w:val="98"/>
              </w:rPr>
              <w:t>0.25 - 5 years</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1"/>
              </w:rPr>
              <w:t>3.52% - 4.36%</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Dividend rate</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700" w:type="dxa"/>
            <w:vAlign w:val="bottom"/>
            <w:gridSpan w:val="7"/>
          </w:tcPr>
          <w:p>
            <w:pPr>
              <w:spacing w:after="0"/>
              <w:rPr>
                <w:sz w:val="20"/>
                <w:szCs w:val="20"/>
                <w:color w:val="auto"/>
              </w:rPr>
            </w:pPr>
            <w:r>
              <w:rPr>
                <w:rFonts w:ascii="Arial" w:cs="Arial" w:eastAsia="Arial" w:hAnsi="Arial"/>
                <w:sz w:val="18"/>
                <w:szCs w:val="18"/>
                <w:color w:val="auto"/>
                <w:w w:val="92"/>
              </w:rPr>
              <w:t>Activity related to stock options for the nine months ended September 30, 2023 (unaudited), is summarized as follows: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Term (Yrs.)</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2022</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1,291,595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46.48</w:t>
            </w:r>
          </w:p>
        </w:tc>
        <w:tc>
          <w:tcPr>
            <w:tcW w:w="11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755,625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4.81</w:t>
            </w:r>
          </w:p>
        </w:tc>
        <w:tc>
          <w:tcPr>
            <w:tcW w:w="1100" w:type="dxa"/>
            <w:vAlign w:val="bottom"/>
          </w:tcPr>
          <w:p>
            <w:pPr>
              <w:jc w:val="center"/>
              <w:ind w:left="30"/>
              <w:spacing w:after="0"/>
              <w:rPr>
                <w:sz w:val="20"/>
                <w:szCs w:val="20"/>
                <w:color w:val="auto"/>
              </w:rPr>
            </w:pPr>
            <w:r>
              <w:rPr>
                <w:rFonts w:ascii="Arial" w:cs="Arial" w:eastAsia="Arial" w:hAnsi="Arial"/>
                <w:sz w:val="18"/>
                <w:szCs w:val="18"/>
                <w:color w:val="auto"/>
                <w:w w:val="85"/>
              </w:rPr>
              <w:t>10.0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2,218,309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Forfeited/cancelled</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(361,650)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52.80</w:t>
            </w:r>
          </w:p>
        </w:tc>
        <w:tc>
          <w:tcPr>
            <w:tcW w:w="110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September 30,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1,685,570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25.85</w:t>
            </w:r>
          </w:p>
        </w:tc>
        <w:tc>
          <w:tcPr>
            <w:tcW w:w="1100" w:type="dxa"/>
            <w:vAlign w:val="bottom"/>
            <w:tcBorders>
              <w:top w:val="single" w:sz="8" w:color="CCEEFF"/>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6.7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2,334,011</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Arial" w:cs="Arial" w:eastAsia="Arial" w:hAnsi="Arial"/>
                <w:sz w:val="18"/>
                <w:szCs w:val="18"/>
                <w:color w:val="auto"/>
              </w:rPr>
              <w:t>Exercisable as of September 30, 2023</w:t>
            </w: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44.36</w:t>
            </w:r>
          </w:p>
        </w:tc>
        <w:tc>
          <w:tcPr>
            <w:tcW w:w="1100" w:type="dxa"/>
            <w:vAlign w:val="bottom"/>
            <w:vMerge w:val="restart"/>
          </w:tcPr>
          <w:p>
            <w:pPr>
              <w:jc w:val="center"/>
              <w:ind w:left="30"/>
              <w:spacing w:after="0"/>
              <w:rPr>
                <w:sz w:val="20"/>
                <w:szCs w:val="20"/>
                <w:color w:val="auto"/>
              </w:rPr>
            </w:pPr>
            <w:r>
              <w:rPr>
                <w:rFonts w:ascii="Arial" w:cs="Arial" w:eastAsia="Arial" w:hAnsi="Arial"/>
                <w:sz w:val="18"/>
                <w:szCs w:val="18"/>
                <w:color w:val="auto"/>
                <w:w w:val="87"/>
              </w:rPr>
              <w:t>4.9</w:t>
            </w:r>
          </w:p>
        </w:tc>
        <w:tc>
          <w:tcPr>
            <w:tcW w:w="220" w:type="dxa"/>
            <w:vAlign w:val="bottom"/>
            <w:vMerge w:val="restart"/>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876,503</w:t>
            </w: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1,004,499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information as of September 30, 2023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Exercise Price</w:t>
            </w: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Outstanding</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Term (Yrs.)</w:t>
            </w: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Exercisable</w:t>
            </w:r>
          </w:p>
        </w:tc>
      </w:tr>
      <w:tr>
        <w:trPr>
          <w:trHeight w:val="216"/>
        </w:trPr>
        <w:tc>
          <w:tcPr>
            <w:tcW w:w="520" w:type="dxa"/>
            <w:vAlign w:val="bottom"/>
            <w:tcBorders>
              <w:top w:val="single" w:sz="8" w:color="auto"/>
            </w:tcBorders>
          </w:tcPr>
          <w:p>
            <w:pPr>
              <w:spacing w:after="0"/>
              <w:rPr>
                <w:sz w:val="18"/>
                <w:szCs w:val="18"/>
                <w:color w:val="auto"/>
              </w:rPr>
            </w:pPr>
          </w:p>
        </w:tc>
        <w:tc>
          <w:tcPr>
            <w:tcW w:w="6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than or equal $32.00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1,280,216</w:t>
            </w:r>
          </w:p>
        </w:tc>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709,283</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0"/>
              </w:rPr>
              <w:t>$32.08</w:t>
            </w:r>
          </w:p>
        </w:tc>
        <w:tc>
          <w:tcPr>
            <w:tcW w:w="6680" w:type="dxa"/>
            <w:vAlign w:val="bottom"/>
          </w:tcPr>
          <w:p>
            <w:pPr>
              <w:ind w:left="20"/>
              <w:spacing w:after="0"/>
              <w:rPr>
                <w:sz w:val="20"/>
                <w:szCs w:val="20"/>
                <w:color w:val="auto"/>
              </w:rPr>
            </w:pPr>
            <w:r>
              <w:rPr>
                <w:rFonts w:ascii="Arial" w:cs="Arial" w:eastAsia="Arial" w:hAnsi="Arial"/>
                <w:sz w:val="18"/>
                <w:szCs w:val="18"/>
                <w:color w:val="auto"/>
              </w:rPr>
              <w:t>- $56.00</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17,917</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17,917</w:t>
            </w: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90"/>
              </w:rPr>
              <w:t>$56.08</w:t>
            </w:r>
          </w:p>
        </w:tc>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$80.00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222,792</w:t>
            </w:r>
          </w:p>
        </w:tc>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131,820</w:t>
            </w:r>
          </w:p>
        </w:tc>
      </w:tr>
      <w:tr>
        <w:trPr>
          <w:trHeight w:val="236"/>
        </w:trPr>
        <w:tc>
          <w:tcPr>
            <w:tcW w:w="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0"/>
              </w:rPr>
              <w:t>$80.08</w:t>
            </w:r>
          </w:p>
        </w:tc>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$127.76</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164,645</w:t>
            </w: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jc w:val="right"/>
              <w:ind w:right="290"/>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145,479</w:t>
            </w:r>
          </w:p>
        </w:tc>
        <w:tc>
          <w:tcPr>
            <w:tcW w:w="100" w:type="dxa"/>
            <w:vAlign w:val="bottom"/>
            <w:tcBorders>
              <w:bottom w:val="single" w:sz="8" w:color="CCEEFF"/>
            </w:tcBorders>
          </w:tcPr>
          <w:p>
            <w:pPr>
              <w:spacing w:after="0"/>
              <w:rPr>
                <w:sz w:val="20"/>
                <w:szCs w:val="20"/>
                <w:color w:val="auto"/>
              </w:rPr>
            </w:pPr>
          </w:p>
        </w:tc>
      </w:tr>
      <w:tr>
        <w:trPr>
          <w:trHeight w:val="250"/>
        </w:trPr>
        <w:tc>
          <w:tcPr>
            <w:tcW w:w="520" w:type="dxa"/>
            <w:vAlign w:val="bottom"/>
            <w:shd w:val="clear" w:color="auto" w:fill="CCEEFF"/>
          </w:tcPr>
          <w:p>
            <w:pPr>
              <w:spacing w:after="0"/>
              <w:rPr>
                <w:sz w:val="21"/>
                <w:szCs w:val="21"/>
                <w:color w:val="auto"/>
              </w:rPr>
            </w:pPr>
          </w:p>
        </w:tc>
        <w:tc>
          <w:tcPr>
            <w:tcW w:w="6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1,685,570</w:t>
            </w:r>
          </w:p>
        </w:tc>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1,004,499</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2023, the Company recognized approximately ($0.02) million of stock option based compensation expense. As of September 30, 2023, there was approximately $3.2 million of unrecognized compensation costs related to stock options outstanding that will be expensed through 2026.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Revision of Prior Period Information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review of the Company’s financial statements for the three and nine-month periods ended September 30, 2023, the Company identified errors in the recording of stock-based compensation expense relating to the three months ended March 31, 2023, related to reversing cumulative stock-based compensation recognized on stock awards with market vesting conditions due to Q1 2023 terminations. The Company recorded the following revisions in the nine-month period ended September 30, 2023. The following revisions will also be included to compare the three and six month periods ending March 31 and June 30, 2023 respectively to the 2024 results.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8"/>
          </w:tcPr>
          <w:p>
            <w:pPr>
              <w:jc w:val="right"/>
              <w:ind w:right="720"/>
              <w:spacing w:after="0"/>
              <w:rPr>
                <w:sz w:val="20"/>
                <w:szCs w:val="20"/>
                <w:color w:val="auto"/>
              </w:rPr>
            </w:pPr>
            <w:r>
              <w:rPr>
                <w:rFonts w:ascii="Arial" w:cs="Arial" w:eastAsia="Arial" w:hAnsi="Arial"/>
                <w:sz w:val="18"/>
                <w:szCs w:val="18"/>
                <w:b w:val="1"/>
                <w:bCs w:val="1"/>
                <w:color w:val="auto"/>
              </w:rPr>
              <w:t>Three Months Ended March 31, 2023</w:t>
            </w:r>
          </w:p>
        </w:tc>
        <w:tc>
          <w:tcPr>
            <w:tcW w:w="120" w:type="dxa"/>
            <w:vAlign w:val="bottom"/>
          </w:tcPr>
          <w:p>
            <w:pPr>
              <w:spacing w:after="0"/>
              <w:rPr>
                <w:sz w:val="20"/>
                <w:szCs w:val="20"/>
                <w:color w:val="auto"/>
              </w:rPr>
            </w:pPr>
          </w:p>
        </w:tc>
        <w:tc>
          <w:tcPr>
            <w:tcW w:w="3740" w:type="dxa"/>
            <w:vAlign w:val="bottom"/>
            <w:gridSpan w:val="8"/>
          </w:tcPr>
          <w:p>
            <w:pPr>
              <w:jc w:val="right"/>
              <w:ind w:right="720"/>
              <w:spacing w:after="0"/>
              <w:rPr>
                <w:sz w:val="20"/>
                <w:szCs w:val="20"/>
                <w:color w:val="auto"/>
              </w:rPr>
            </w:pPr>
            <w:r>
              <w:rPr>
                <w:rFonts w:ascii="Arial" w:cs="Arial" w:eastAsia="Arial" w:hAnsi="Arial"/>
                <w:sz w:val="18"/>
                <w:szCs w:val="18"/>
                <w:b w:val="1"/>
                <w:bCs w:val="1"/>
                <w:color w:val="auto"/>
              </w:rPr>
              <w:t>Six Months Ended June 30, 2023</w:t>
            </w:r>
          </w:p>
        </w:tc>
      </w:tr>
      <w:tr>
        <w:trPr>
          <w:trHeight w:val="198"/>
        </w:trPr>
        <w:tc>
          <w:tcPr>
            <w:tcW w:w="3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6"/>
              </w:rPr>
              <w:t>As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6"/>
              </w:rPr>
              <w:t>As</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Previously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Previously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Reported</w:t>
            </w:r>
          </w:p>
        </w:tc>
        <w:tc>
          <w:tcPr>
            <w:tcW w:w="10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Adjustment</w:t>
            </w:r>
          </w:p>
        </w:tc>
        <w:tc>
          <w:tcPr>
            <w:tcW w:w="12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8"/>
              </w:rPr>
              <w:t>As Revised</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Reported</w:t>
            </w:r>
          </w:p>
        </w:tc>
        <w:tc>
          <w:tcPr>
            <w:tcW w:w="1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Adjustment</w:t>
            </w: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6"/>
              </w:rPr>
              <w:t>As Revised</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837,608</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(3,438,613)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(2,601,005)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1,895,712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(3,438,613)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(1,542,901)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4,458,022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(3,438,613)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1,019,409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7,254,539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(3,438,613)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3,815,926</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(5,220,239)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3,438,613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(1,781,626)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(16,120,559)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3,438,613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(12,681,946)</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(5,222,494)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3,438,613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(1,783,881)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(15,901,051)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3,438,613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(12,462,438)</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APIC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141,317,627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(3,438,613)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137,879,014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165,593,921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(3,438,613)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162,155,308</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(145,352,653)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3,438,613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(141,914,040)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(156,031,210)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3,438,613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(152,592,597)</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(3,900,576)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(3,900,576)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9,563,289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9,563,289</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Net Loss Per Share from Continuing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w:t>
            </w: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the SEC’s Staff Accounting Bulletin Nos. 99 and 108 (“SAB 99” and “SAB 108”), the Company evaluated this error and concluded that although the adjustment to certain areas of the statement of operations was quantitatively material, the cumulative effects were qualitatively immaterial and would not have materially impacted a reasonable investor’s opinion of the Company. This is further supported by the fact that the impact would not have been significant in comparison to prior periods and all errors are of a non-cash nature. Therefore, as permitted by SAB 108 and treated under the Financial Accounting Standards Board (“FASB”) Accounting Standards Codification (“ASC”) Topic 250, Accounting Changes and Error Corrections, the Company revised previously recorded results for the three months ended March 31, 2023 and the six months ended June 30, 2023, to account for the prior period error in this current filing.</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the statement of operations for the three and nine month periods ended September 30, 2023 reflects the revised expenses, loss from continuing operations and net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DISCONTINUED OPERATIONS AND ASSETS HELD FOR SALE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of authID considered it in the best interests of the Company to focus its business activities on providing biometric authentication products and services by means of our proprietary Verified platform. Accordingly, on May 4, 2022, the Board approved a plan to exit from certain non-core activities comprising the MultiPay correspondent bank, payments services in Colombia and the Cards Plus cards manufacturing and printing business in South Africa.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Cards Plus business in South Africa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of Cards Plus are classified as a discontinued operation and an asset held for sale, as all required classification criteria under appropriate accounting standards were met as of June 30, 2022.</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29, 2022, the Company completed the sale of Cards Plus for a price of $300,000 of which $150,000 was received and the remaining balance of $150,000 was recorded in other current asset, less $3,272 in costs to sell, and recognized a loss of $188,247 from the transaction. While the Company and Cards Plus continue to actively pursue payment of the remaining balance, which is subject to regulatory approval, management re-evaluated the likelihood of recovery and recorded an allowance for doubtful account in September 30, 2023 related to this receivable.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MultiPay business in Colombia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exited the MultiPay business in Colombia in an orderly fashion, honoring our obligations to employees, customers and under applicable laws and regulations. We maintain our customer support and operations team in Bogota, which performs essential functions to support the global operations of our Verified product.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2023, all impacted employees had left the Company. MultiPay finalized the sale of the Company’s proprietary software to its major customer on June 30, 2023 for approximately $96,000 of sale consideration. The Company recorded the receivable under the sale in Other current assets, released foreign currency translation gain of approximately $155,000 and recognized a gain of $216,000 from the transaction. This receivable was collected in September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assets and liabilities of the MultiPay sale and the consideration received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Carrying value of net assets sold:</w:t>
            </w:r>
          </w:p>
        </w:tc>
        <w:tc>
          <w:tcPr>
            <w:tcW w:w="5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write-off</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19,528</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Net assets write-off</w:t>
            </w:r>
          </w:p>
        </w:tc>
        <w:tc>
          <w:tcPr>
            <w:tcW w:w="54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19,528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Sale consideration on disposition of net assets:</w:t>
            </w:r>
          </w:p>
        </w:tc>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 consideration</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95,852</w:t>
            </w:r>
          </w:p>
        </w:tc>
        <w:tc>
          <w:tcPr>
            <w:tcW w:w="0" w:type="dxa"/>
            <w:vAlign w:val="bottom"/>
          </w:tcPr>
          <w:p>
            <w:pPr>
              <w:spacing w:after="0"/>
              <w:rPr>
                <w:sz w:val="1"/>
                <w:szCs w:val="1"/>
                <w:color w:val="auto"/>
              </w:rPr>
            </w:pPr>
          </w:p>
        </w:tc>
      </w:tr>
      <w:tr>
        <w:trPr>
          <w:trHeight w:val="236"/>
        </w:trPr>
        <w:tc>
          <w:tcPr>
            <w:tcW w:w="4540" w:type="dxa"/>
            <w:vAlign w:val="bottom"/>
          </w:tcPr>
          <w:p>
            <w:pPr>
              <w:ind w:left="180"/>
              <w:spacing w:after="0"/>
              <w:rPr>
                <w:sz w:val="20"/>
                <w:szCs w:val="20"/>
                <w:color w:val="auto"/>
              </w:rPr>
            </w:pPr>
            <w:r>
              <w:rPr>
                <w:rFonts w:ascii="Arial" w:cs="Arial" w:eastAsia="Arial" w:hAnsi="Arial"/>
                <w:sz w:val="18"/>
                <w:szCs w:val="18"/>
                <w:color w:val="auto"/>
              </w:rPr>
              <w:t>Less: Value added tax</w:t>
            </w:r>
          </w:p>
        </w:tc>
        <w:tc>
          <w:tcPr>
            <w:tcW w:w="5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(15,304)</w:t>
            </w:r>
          </w:p>
        </w:tc>
        <w:tc>
          <w:tcPr>
            <w:tcW w:w="0" w:type="dxa"/>
            <w:vAlign w:val="bottom"/>
          </w:tcPr>
          <w:p>
            <w:pPr>
              <w:spacing w:after="0"/>
              <w:rPr>
                <w:sz w:val="1"/>
                <w:szCs w:val="1"/>
                <w:color w:val="auto"/>
              </w:rPr>
            </w:pPr>
          </w:p>
        </w:tc>
      </w:tr>
      <w:tr>
        <w:trPr>
          <w:trHeight w:val="236"/>
        </w:trPr>
        <w:tc>
          <w:tcPr>
            <w:tcW w:w="45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Consideration</w:t>
            </w:r>
          </w:p>
        </w:tc>
        <w:tc>
          <w:tcPr>
            <w:tcW w:w="54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Foreign currency translation:</w:t>
            </w:r>
          </w:p>
        </w:tc>
        <w:tc>
          <w:tcPr>
            <w:tcW w:w="5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155,049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gain on sale of a discontinued operation</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216,069</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bottom w:val="single" w:sz="8" w:color="CCEEFF"/>
            </w:tcBorders>
            <w:vMerge w:val="restart"/>
          </w:tcPr>
          <w:p>
            <w:pPr>
              <w:jc w:val="right"/>
              <w:ind w:right="4210"/>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t>The operations of Cards Plus and MultiPay for the three and nine months ended September 30, 2023 and 2022 on a consolidated basis are below (unaudited):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18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700" w:type="dxa"/>
            <w:vAlign w:val="bottom"/>
            <w:gridSpan w:val="2"/>
          </w:tcPr>
          <w:p>
            <w:pPr>
              <w:spacing w:after="0" w:line="176" w:lineRule="exact"/>
              <w:rPr>
                <w:sz w:val="20"/>
                <w:szCs w:val="20"/>
                <w:color w:val="auto"/>
              </w:rPr>
            </w:pPr>
            <w:r>
              <w:rPr>
                <w:rFonts w:ascii="Arial" w:cs="Arial" w:eastAsia="Arial" w:hAnsi="Arial"/>
                <w:sz w:val="18"/>
                <w:szCs w:val="18"/>
                <w:color w:val="auto"/>
              </w:rPr>
              <w:t>Discontinued Operations</w:t>
            </w: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 net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446,643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1,468,199</w:t>
            </w:r>
          </w:p>
        </w:tc>
        <w:tc>
          <w:tcPr>
            <w:tcW w:w="0" w:type="dxa"/>
            <w:vAlign w:val="bottom"/>
          </w:tcPr>
          <w:p>
            <w:pPr>
              <w:spacing w:after="0"/>
              <w:rPr>
                <w:sz w:val="1"/>
                <w:szCs w:val="1"/>
                <w:color w:val="auto"/>
              </w:rPr>
            </w:pPr>
          </w:p>
        </w:tc>
      </w:tr>
      <w:tr>
        <w:trPr>
          <w:trHeight w:val="216"/>
        </w:trPr>
        <w:tc>
          <w:tcPr>
            <w:tcW w:w="180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Cost of Sales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145,205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665,269</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276,866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1,003,003</w:t>
            </w:r>
          </w:p>
        </w:tc>
        <w:tc>
          <w:tcPr>
            <w:tcW w:w="0" w:type="dxa"/>
            <w:vAlign w:val="bottom"/>
          </w:tcPr>
          <w:p>
            <w:pPr>
              <w:spacing w:after="0"/>
              <w:rPr>
                <w:sz w:val="1"/>
                <w:szCs w:val="1"/>
                <w:color w:val="auto"/>
              </w:rPr>
            </w:pPr>
          </w:p>
        </w:tc>
      </w:tr>
      <w:tr>
        <w:trPr>
          <w:trHeight w:val="216"/>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Impairment loss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143,698</w:t>
            </w:r>
          </w:p>
        </w:tc>
        <w:tc>
          <w:tcPr>
            <w:tcW w:w="0" w:type="dxa"/>
            <w:vAlign w:val="bottom"/>
          </w:tcPr>
          <w:p>
            <w:pPr>
              <w:spacing w:after="0"/>
              <w:rPr>
                <w:sz w:val="1"/>
                <w:szCs w:val="1"/>
                <w:color w:val="auto"/>
              </w:rPr>
            </w:pPr>
          </w:p>
        </w:tc>
      </w:tr>
      <w:tr>
        <w:trPr>
          <w:trHeight w:val="249"/>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(6,749)</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8,066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33,025</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12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415,322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20,334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1,844,995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Income (Loss) from operations</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31,321</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9,020</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(376,796)</w:t>
            </w:r>
          </w:p>
        </w:tc>
        <w:tc>
          <w:tcPr>
            <w:tcW w:w="0" w:type="dxa"/>
            <w:vAlign w:val="bottom"/>
          </w:tcPr>
          <w:p>
            <w:pPr>
              <w:spacing w:after="0"/>
              <w:rPr>
                <w:sz w:val="1"/>
                <w:szCs w:val="1"/>
                <w:color w:val="auto"/>
              </w:rPr>
            </w:pPr>
          </w:p>
        </w:tc>
      </w:tr>
      <w:tr>
        <w:trPr>
          <w:trHeight w:val="216"/>
        </w:trPr>
        <w:tc>
          <w:tcPr>
            <w:tcW w:w="1800" w:type="dxa"/>
            <w:vAlign w:val="bottom"/>
            <w:tcBorders>
              <w:top w:val="single" w:sz="8" w:color="CCEEFF"/>
            </w:tcBorders>
            <w:shd w:val="clear" w:color="auto" w:fill="CCEEFF"/>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(356,339)</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1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(1,915)</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(7,496)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(7,046)</w:t>
            </w:r>
          </w:p>
        </w:tc>
        <w:tc>
          <w:tcPr>
            <w:tcW w:w="0" w:type="dxa"/>
            <w:vAlign w:val="bottom"/>
          </w:tcPr>
          <w:p>
            <w:pPr>
              <w:spacing w:after="0"/>
              <w:rPr>
                <w:sz w:val="1"/>
                <w:szCs w:val="1"/>
                <w:color w:val="auto"/>
              </w:rPr>
            </w:pPr>
          </w:p>
        </w:tc>
      </w:tr>
      <w:tr>
        <w:trPr>
          <w:trHeight w:val="216"/>
        </w:trPr>
        <w:tc>
          <w:tcPr>
            <w:tcW w:w="180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(1,915)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(363,385)</w:t>
            </w: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Loss (gain) from sale of discontinued operations</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(188,247)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216,069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(188,247)</w:t>
            </w:r>
          </w:p>
        </w:tc>
        <w:tc>
          <w:tcPr>
            <w:tcW w:w="0" w:type="dxa"/>
            <w:vAlign w:val="bottom"/>
          </w:tcPr>
          <w:p>
            <w:pPr>
              <w:spacing w:after="0"/>
              <w:rPr>
                <w:sz w:val="1"/>
                <w:szCs w:val="1"/>
                <w:color w:val="auto"/>
              </w:rPr>
            </w:pPr>
          </w:p>
        </w:tc>
      </w:tr>
      <w:tr>
        <w:trPr>
          <w:trHeight w:val="27"/>
        </w:trPr>
        <w:tc>
          <w:tcPr>
            <w:tcW w:w="470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Total income (loss) from discontinued operations</w:t>
            </w:r>
          </w:p>
        </w:tc>
        <w:tc>
          <w:tcPr>
            <w:tcW w:w="1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gridSpan w:val="2"/>
            <w:vMerge w:val="continue"/>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26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(144,602)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217,593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(551,632)</w:t>
            </w:r>
          </w:p>
        </w:tc>
        <w:tc>
          <w:tcPr>
            <w:tcW w:w="0" w:type="dxa"/>
            <w:vAlign w:val="bottom"/>
          </w:tcPr>
          <w:p>
            <w:pPr>
              <w:spacing w:after="0"/>
              <w:rPr>
                <w:sz w:val="1"/>
                <w:szCs w:val="1"/>
                <w:color w:val="auto"/>
              </w:rPr>
            </w:pPr>
          </w:p>
        </w:tc>
      </w:tr>
      <w:tr>
        <w:trPr>
          <w:trHeight w:val="21"/>
        </w:trPr>
        <w:tc>
          <w:tcPr>
            <w:tcW w:w="18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8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7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ind w:left="20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7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72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7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175"/>
        </w:trPr>
        <w:tc>
          <w:tcPr>
            <w:tcW w:w="5980" w:type="dxa"/>
            <w:vAlign w:val="bottom"/>
            <w:gridSpan w:val="2"/>
          </w:tcPr>
          <w:p>
            <w:pPr>
              <w:spacing w:after="0" w:line="176" w:lineRule="exact"/>
              <w:rPr>
                <w:sz w:val="20"/>
                <w:szCs w:val="20"/>
                <w:color w:val="auto"/>
              </w:rPr>
            </w:pPr>
            <w:r>
              <w:rPr>
                <w:rFonts w:ascii="Arial" w:cs="Arial" w:eastAsia="Arial" w:hAnsi="Arial"/>
                <w:sz w:val="18"/>
                <w:szCs w:val="18"/>
                <w:color w:val="auto"/>
              </w:rPr>
              <w:t>Cards Plus</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 net</w:t>
            </w:r>
          </w:p>
        </w:tc>
        <w:tc>
          <w:tcPr>
            <w:tcW w:w="900" w:type="dxa"/>
            <w:vAlign w:val="bottom"/>
            <w:shd w:val="clear" w:color="auto" w:fill="CCEEFF"/>
          </w:tcPr>
          <w:p>
            <w:pPr>
              <w:jc w:val="right"/>
              <w:ind w:right="737"/>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380,372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1,263,672</w:t>
            </w:r>
          </w:p>
        </w:tc>
      </w:tr>
      <w:tr>
        <w:trPr>
          <w:trHeight w:val="216"/>
        </w:trPr>
        <w:tc>
          <w:tcPr>
            <w:tcW w:w="780" w:type="dxa"/>
            <w:vAlign w:val="bottom"/>
            <w:tcBorders>
              <w:top w:val="single" w:sz="8" w:color="CCEEFF"/>
            </w:tcBorders>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Cost of Sales</w:t>
            </w:r>
          </w:p>
        </w:tc>
        <w:tc>
          <w:tcPr>
            <w:tcW w:w="90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145,205</w:t>
            </w:r>
          </w:p>
        </w:tc>
        <w:tc>
          <w:tcPr>
            <w:tcW w:w="24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665,269</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21,539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412,243</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Impairment loss</w:t>
            </w:r>
          </w:p>
        </w:tc>
        <w:tc>
          <w:tcPr>
            <w:tcW w:w="90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143,698</w:t>
            </w:r>
          </w:p>
        </w:tc>
      </w:tr>
      <w:tr>
        <w:trPr>
          <w:trHeight w:val="249"/>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9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(1,482)</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24,415</w:t>
            </w:r>
          </w:p>
        </w:tc>
      </w:tr>
      <w:tr>
        <w:trPr>
          <w:trHeight w:val="210"/>
        </w:trPr>
        <w:tc>
          <w:tcPr>
            <w:tcW w:w="598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9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165,262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1,245,625</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Income (loss) from operations</w:t>
            </w:r>
          </w:p>
        </w:tc>
        <w:tc>
          <w:tcPr>
            <w:tcW w:w="900" w:type="dxa"/>
            <w:vAlign w:val="bottom"/>
          </w:tcPr>
          <w:p>
            <w:pPr>
              <w:spacing w:after="0"/>
              <w:rPr>
                <w:sz w:val="20"/>
                <w:szCs w:val="20"/>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215,110</w:t>
            </w:r>
          </w:p>
        </w:tc>
        <w:tc>
          <w:tcPr>
            <w:tcW w:w="240" w:type="dxa"/>
            <w:vAlign w:val="bottom"/>
          </w:tcPr>
          <w:p>
            <w:pPr>
              <w:spacing w:after="0"/>
              <w:rPr>
                <w:sz w:val="20"/>
                <w:szCs w:val="20"/>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18,047</w:t>
            </w:r>
          </w:p>
        </w:tc>
      </w:tr>
      <w:tr>
        <w:trPr>
          <w:trHeight w:val="216"/>
        </w:trPr>
        <w:tc>
          <w:tcPr>
            <w:tcW w:w="780" w:type="dxa"/>
            <w:vAlign w:val="bottom"/>
            <w:tcBorders>
              <w:top w:val="single" w:sz="8" w:color="CCEEFF"/>
            </w:tcBorders>
            <w:shd w:val="clear" w:color="auto" w:fill="CCEEFF"/>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8,919</w:t>
            </w: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900" w:type="dxa"/>
            <w:vAlign w:val="bottom"/>
          </w:tcPr>
          <w:p>
            <w:pPr>
              <w:spacing w:after="0"/>
              <w:rPr>
                <w:sz w:val="20"/>
                <w:szCs w:val="20"/>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(364)</w:t>
            </w:r>
          </w:p>
        </w:tc>
      </w:tr>
      <w:tr>
        <w:trPr>
          <w:trHeight w:val="223"/>
        </w:trPr>
        <w:tc>
          <w:tcPr>
            <w:tcW w:w="59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income, net</w:t>
            </w: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217,213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26,602</w:t>
            </w:r>
          </w:p>
        </w:tc>
      </w:tr>
      <w:tr>
        <w:trPr>
          <w:trHeight w:val="216"/>
        </w:trPr>
        <w:tc>
          <w:tcPr>
            <w:tcW w:w="7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9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(4,681)</w:t>
            </w:r>
          </w:p>
        </w:tc>
      </w:tr>
      <w:tr>
        <w:trPr>
          <w:trHeight w:val="216"/>
        </w:trPr>
        <w:tc>
          <w:tcPr>
            <w:tcW w:w="780" w:type="dxa"/>
            <w:vAlign w:val="bottom"/>
            <w:tcBorders>
              <w:top w:val="single" w:sz="8" w:color="CCEEFF"/>
            </w:tcBorders>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217,213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21,921</w:t>
            </w:r>
          </w:p>
        </w:tc>
      </w:tr>
      <w:tr>
        <w:trPr>
          <w:trHeight w:val="304"/>
        </w:trPr>
        <w:tc>
          <w:tcPr>
            <w:tcW w:w="5980" w:type="dxa"/>
            <w:vAlign w:val="bottom"/>
            <w:gridSpan w:val="2"/>
          </w:tcPr>
          <w:p>
            <w:pPr>
              <w:spacing w:after="0"/>
              <w:rPr>
                <w:sz w:val="20"/>
                <w:szCs w:val="20"/>
                <w:color w:val="auto"/>
              </w:rPr>
            </w:pPr>
            <w:r>
              <w:rPr>
                <w:rFonts w:ascii="Arial" w:cs="Arial" w:eastAsia="Arial" w:hAnsi="Arial"/>
                <w:sz w:val="18"/>
                <w:szCs w:val="18"/>
                <w:color w:val="auto"/>
              </w:rPr>
              <w:t>Loss from sale of discontinued operations</w:t>
            </w:r>
          </w:p>
        </w:tc>
        <w:tc>
          <w:tcPr>
            <w:tcW w:w="90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(188,247)</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(188,247)</w:t>
            </w:r>
          </w:p>
        </w:tc>
      </w:tr>
      <w:tr>
        <w:trPr>
          <w:trHeight w:val="223"/>
        </w:trPr>
        <w:tc>
          <w:tcPr>
            <w:tcW w:w="598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Total Income (Loss) from discontinued operations</w:t>
            </w:r>
          </w:p>
        </w:tc>
        <w:tc>
          <w:tcPr>
            <w:tcW w:w="900" w:type="dxa"/>
            <w:vAlign w:val="bottom"/>
            <w:tcBorders>
              <w:top w:val="single" w:sz="8" w:color="auto"/>
              <w:bottom w:val="single" w:sz="8" w:color="auto"/>
            </w:tcBorders>
            <w:shd w:val="clear" w:color="auto" w:fill="CCEEFF"/>
          </w:tcPr>
          <w:p>
            <w:pPr>
              <w:jc w:val="right"/>
              <w:ind w:right="73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(166,326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6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540" w:type="dxa"/>
            <w:vAlign w:val="bottom"/>
            <w:gridSpan w:val="2"/>
          </w:tcPr>
          <w:p>
            <w:pPr>
              <w:spacing w:after="0" w:line="176" w:lineRule="exact"/>
              <w:rPr>
                <w:sz w:val="20"/>
                <w:szCs w:val="20"/>
                <w:color w:val="auto"/>
              </w:rPr>
            </w:pPr>
            <w:r>
              <w:rPr>
                <w:rFonts w:ascii="Arial" w:cs="Arial" w:eastAsia="Arial" w:hAnsi="Arial"/>
                <w:sz w:val="18"/>
                <w:szCs w:val="18"/>
                <w:color w:val="auto"/>
              </w:rPr>
              <w:t>MultiPay</w:t>
            </w: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 net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204,527</w:t>
            </w:r>
          </w:p>
        </w:tc>
        <w:tc>
          <w:tcPr>
            <w:tcW w:w="0" w:type="dxa"/>
            <w:vAlign w:val="bottom"/>
          </w:tcPr>
          <w:p>
            <w:pPr>
              <w:spacing w:after="0"/>
              <w:rPr>
                <w:sz w:val="1"/>
                <w:szCs w:val="1"/>
                <w:color w:val="auto"/>
              </w:rPr>
            </w:pPr>
          </w:p>
        </w:tc>
      </w:tr>
      <w:tr>
        <w:trPr>
          <w:trHeight w:val="216"/>
        </w:trPr>
        <w:tc>
          <w:tcPr>
            <w:tcW w:w="680" w:type="dxa"/>
            <w:vAlign w:val="bottom"/>
            <w:tcBorders>
              <w:top w:val="single" w:sz="8" w:color="CCEEFF"/>
            </w:tcBorders>
          </w:tcPr>
          <w:p>
            <w:pPr>
              <w:spacing w:after="0"/>
              <w:rPr>
                <w:sz w:val="18"/>
                <w:szCs w:val="18"/>
                <w:color w:val="auto"/>
              </w:rPr>
            </w:pPr>
          </w:p>
        </w:tc>
        <w:tc>
          <w:tcPr>
            <w:tcW w:w="38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255,327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12,268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590,760</w:t>
            </w:r>
          </w:p>
        </w:tc>
        <w:tc>
          <w:tcPr>
            <w:tcW w:w="0" w:type="dxa"/>
            <w:vAlign w:val="bottom"/>
          </w:tcPr>
          <w:p>
            <w:pPr>
              <w:spacing w:after="0"/>
              <w:rPr>
                <w:sz w:val="1"/>
                <w:szCs w:val="1"/>
                <w:color w:val="auto"/>
              </w:rPr>
            </w:pPr>
          </w:p>
        </w:tc>
      </w:tr>
      <w:tr>
        <w:trPr>
          <w:trHeight w:val="249"/>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(5,267)</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8,066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8,610</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14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250,060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20,334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599,370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40" w:type="dxa"/>
            <w:vAlign w:val="bottom"/>
            <w:gridSpan w:val="2"/>
          </w:tcPr>
          <w:p>
            <w:pPr>
              <w:ind w:left="500"/>
              <w:spacing w:after="0"/>
              <w:rPr>
                <w:sz w:val="20"/>
                <w:szCs w:val="20"/>
                <w:color w:val="auto"/>
              </w:rPr>
            </w:pPr>
            <w:r>
              <w:rPr>
                <w:rFonts w:ascii="Arial" w:cs="Arial" w:eastAsia="Arial" w:hAnsi="Arial"/>
                <w:sz w:val="18"/>
                <w:szCs w:val="18"/>
                <w:color w:val="auto"/>
              </w:rPr>
              <w:t>Loss from operations</w:t>
            </w: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(183,789)</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9,020</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(394,843)</w:t>
            </w:r>
          </w:p>
        </w:tc>
        <w:tc>
          <w:tcPr>
            <w:tcW w:w="0" w:type="dxa"/>
            <w:vAlign w:val="bottom"/>
          </w:tcPr>
          <w:p>
            <w:pPr>
              <w:spacing w:after="0"/>
              <w:rPr>
                <w:sz w:val="1"/>
                <w:szCs w:val="1"/>
                <w:color w:val="auto"/>
              </w:rPr>
            </w:pPr>
          </w:p>
        </w:tc>
      </w:tr>
      <w:tr>
        <w:trPr>
          <w:trHeight w:val="216"/>
        </w:trPr>
        <w:tc>
          <w:tcPr>
            <w:tcW w:w="680" w:type="dxa"/>
            <w:vAlign w:val="bottom"/>
            <w:tcBorders>
              <w:top w:val="single" w:sz="8" w:color="CCEEFF"/>
            </w:tcBorders>
            <w:shd w:val="clear" w:color="auto" w:fill="CCEEFF"/>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10,689</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11,902</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Other income</w:t>
            </w:r>
          </w:p>
        </w:tc>
        <w:tc>
          <w:tcPr>
            <w:tcW w:w="14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10,689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11,902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(173,100)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9,020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(382,941)</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40" w:type="dxa"/>
            <w:vAlign w:val="bottom"/>
            <w:gridSpan w:val="2"/>
          </w:tcPr>
          <w:p>
            <w:pPr>
              <w:ind w:left="340"/>
              <w:spacing w:after="0"/>
              <w:rPr>
                <w:sz w:val="20"/>
                <w:szCs w:val="20"/>
                <w:color w:val="auto"/>
              </w:rPr>
            </w:pPr>
            <w:r>
              <w:rPr>
                <w:rFonts w:ascii="Arial" w:cs="Arial" w:eastAsia="Arial" w:hAnsi="Arial"/>
                <w:sz w:val="18"/>
                <w:szCs w:val="18"/>
                <w:color w:val="auto"/>
              </w:rPr>
              <w:t>Income tax expense</w:t>
            </w: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(1,915)</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(468)</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(7,496)</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(2,365)</w:t>
            </w:r>
          </w:p>
        </w:tc>
        <w:tc>
          <w:tcPr>
            <w:tcW w:w="0" w:type="dxa"/>
            <w:vAlign w:val="bottom"/>
          </w:tcPr>
          <w:p>
            <w:pPr>
              <w:spacing w:after="0"/>
              <w:rPr>
                <w:sz w:val="1"/>
                <w:szCs w:val="1"/>
                <w:color w:val="auto"/>
              </w:rPr>
            </w:pPr>
          </w:p>
        </w:tc>
      </w:tr>
      <w:tr>
        <w:trPr>
          <w:trHeight w:val="216"/>
        </w:trPr>
        <w:tc>
          <w:tcPr>
            <w:tcW w:w="680" w:type="dxa"/>
            <w:vAlign w:val="bottom"/>
            <w:tcBorders>
              <w:top w:val="single" w:sz="8" w:color="CCEEFF"/>
            </w:tcBorders>
            <w:shd w:val="clear" w:color="auto" w:fill="CCEEFF"/>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(1,915)</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(173,568)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1,524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(385,306)</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from sale of discontinued operations</w:t>
            </w:r>
          </w:p>
        </w:tc>
        <w:tc>
          <w:tcPr>
            <w:tcW w:w="1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216,069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Total Income (loss) from discontinued operations</w:t>
            </w:r>
          </w:p>
        </w:tc>
        <w:tc>
          <w:tcPr>
            <w:tcW w:w="1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gridSpan w:val="2"/>
            <w:vMerge w:val="continue"/>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(1,915)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(173,568)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217,593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(385,306)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40" w:type="dxa"/>
            <w:vAlign w:val="bottom"/>
            <w:vMerge w:val="restart"/>
          </w:tcPr>
          <w:p>
            <w:pPr>
              <w:jc w:val="right"/>
              <w:ind w:right="170"/>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6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As a result of meeting the discontinued operations/assets held for sale criteria for Cards Plus and the MultiPay operations, the cash flow activity related to discontinued operations is presented separately on the statement of cash flows as summarized below (unaudited):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(363,385)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loss with cash flows from operations: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8,067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42,364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143,701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105,194</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(14,288)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10,562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186,370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(78,806)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(13,759)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(16,092)</w:t>
            </w: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(36,663)</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relating to discontinued operations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226,586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Cash flows from discontinued operations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111,588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(136,799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 Discontinued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Cards Plus – The Company recognized revenue for the design and production of cards at the point in time when products are shipped, or services have been performed due to the short-term nature of the contracts. Additionally, the cards produced by the Company have no alternative use and the Company has an enforceable right to payment for work performed should the contract be cancelled.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MultiPay recognized revenue for variable fees generated for payment processing solutions that are earned on a usage fee over time based on monthly transaction volumes or on a monthly flat fee rate. Additionally, MultiPay also sells certain equipment from time to time for which revenue is recognized upon delivery to the customer.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a party to various legal or administrative proceedings arising in the ordinary course of our business. While any litigation contains an element of uncertainty, we have no reason to believe the outcome of such proceedings will have a material adverse effect on the financial condition or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rented office space in Long Beach, New York at a monthly cost of $2,500 in 2022. The agreement was month to month and could be terminated on 30 days notice. The lease agreement was terminated in July 2022. The agreement was between the Company and Bridgeworks LLC, an entity principally owned by Mr. Beck, the Company’s former CEO and Director and his family.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2022, the Company signed a new lease agreement for one year and moved its headquarters to Denver, Colorado. The office monthly lease cost is approximately $1,500 per month. The Company did not renew the lease agreement after July 2023 and has no remaining lease agreements as of September 30, 2023.</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Rent expense included in general and administrative on the Consolidated Statements of Operations for the nine months ended September 30, 2023 was approximately $8,000. For the nine months ended September 30, 2022, rent expense was approximately $80,000, inclusive of short-term leases of which $13,000 was for continuing operations and $67,000 for discontinued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SUBSEQUENT EVENT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of the Company has performed a review of all events and transactions occurring after the condensed consolidated balance sheet date and determined there were no events or transactions requiring adjustment to or disclosure in the accompanying condensed consolidated financial statements.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authID Inc. is a leading provider of secure, authentication solutions delivered by our easy to integrate Verified platform. Our Verified platform binds strong passwordless authentication with biometric identity, which offers our customers a streamlined path to zero trust architecture. Verified FIDO2 passwordless authentication is certified by the FIDO Alliance to be compliant and interoperable with FIDO specifications.</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explosive growth in online and mobile commerce, telemedicine, remote working and digital activities of all descriptions is self-evident to everyone who lived through the Covid 19 pandemic since 2020. Identity theft, phishing attacks, spear-phishing, password vulnerabilities, account takeovers, benefits fraud - it seems like these words have entered our daily lexicon overnight. These are significant impediments to the operations and growth of any business or organization, and dealing with the risks and consequences of these criminal activities has created significant friction in both time, cost and lost opportunity. Consider all the outdated methods that organizations have implemented in order to prevent fraud. The requests to receive and enter one-time passwords, that can be easily hijacked. The vulnerable security questions you get asked – whether on-line or when reaching out to a call center – what was your first pet’s name? who was your best friend in high school? These steps all add up to friction, making it difficult for consumers to login, transact and execute daily tasks, with little added protection from fraud. Surely there is a better way to address these challenges? authID believes there is.</w:t>
      </w:r>
    </w:p>
    <w:p>
      <w:pPr>
        <w:spacing w:after="0" w:line="19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authID provides secure, facial biometric, identity verification, and strong customer authentication. We maintain a global, cloud-based Verified platform for our enterprise customers or employees to enable their users to easily verify and authenticate their identity through a mobile device or desktop (with camera) of their choosing (without requiring dedicated hardware, or authentication apps). We can help our customers establish a proven identity, creating a root of trust that ensures the highest level of assurance for our passwordless login and step-up verification products. Our system enables participants to consent to transactions using their biometric information with a digitally signed authentication response, embedding the underlying transaction data and each user’s identity attributes within every electronic transaction message processed through our platform.</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Digital transformation across all market segments requires trusted identity. Our identity platform offers innovative solutions that are flexible, fast and easy to integrate and offer seamless user experiences. authID’s products help advance digital transformation efforts without the fear of identity fraud, while delivering frictionless user experiences. We believe that it is also essential that electronic transactions have an audit trail, proving that the identity of the individual was duly authenticated. Our platform provides biometric and multi-factor identity software, which are intended to establish, authenticate and verify identity across a wide range of use cases and electronic transactions.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authID’s products focus on the broad requirement for enabling frictionless commerce by allowing an entity to instantly “Know Who’s Behind the Device”, their customer, employee or their member. Organizations of all descriptions require cost-effective and secure means of growing their business while mitigating identity fraud. We aim to offer our enterprise customers products that can be integrated easily into each of their business and organizational operations, in order to facilitate their adoption and enhance the end user customer experience.</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management believes that some of the advantages of our Verified Platform approach are the ability to leverage the platform to support a variety of vertical markets and the adaptability of the platform to the requirements of new markets and new products requiring cost-effective, secure, and configurable mobile solutions. Our target markets include cybersecurity, workforce, banking, fintech and other disrupters of traditional commerce, small and medium sized businesses, and system integrators working with government and Fortune 1000 enterprises. At its core, the Company’s offering, combining its proprietary and acquired biometric and artificial intelligence technologies (or AI), is intended to facilitate frictionless commerce, whether in the physical or digital world. The Company intends to increase its investment in developing, patenting and acquiring the various elements necessary to enhance the platform, which are intended to allow us to achieve our goals. One of the principal intended areas of investment is to enhance and expand our use of artificial intelligence in proprietary software, that we believe will increase our value to enterprise customers and stockholders alike.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jc w:val="both"/>
        <w:ind w:firstLine="648"/>
        <w:spacing w:after="0" w:line="257" w:lineRule="auto"/>
        <w:rPr>
          <w:sz w:val="20"/>
          <w:szCs w:val="20"/>
          <w:color w:val="auto"/>
        </w:rPr>
      </w:pPr>
      <w:r>
        <w:rPr>
          <w:rFonts w:ascii="Arial" w:cs="Arial" w:eastAsia="Arial" w:hAnsi="Arial"/>
          <w:sz w:val="18"/>
          <w:szCs w:val="18"/>
          <w:color w:val="auto"/>
        </w:rPr>
        <w:t>authID is dedicated to developing advanced methods of protecting consumer privacy and deploying ethical and socially responsible AI.. We believe that a proactive commitment to ethical AI presents a strong business opportunity for authID and will enable us to bring more accurate products to market more quickly and with less risk to better serve our global user base. Our methods to achieve ethical AI include engaging the users of our products with informed consent, prioritizing the security of our user’s personal information, considering and avoiding potential bias in our algorithms, and monitoring of algorithm performance in our applications.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also owns an entity in Colombia, MultiPay. On May 4, 2022, the Board approved a plan to exit from certain non-core activities comprising the MultiPay correspondent bank, payments services in Colombia and the Cards Plus cards manufacturing and printing business in South Africa. On August 29, 2022 the Company completed the sale of Cards Plus business. On June 30, 2023, the Company completed the exit of the MultiPay business. See Discontinued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was incorporated in the State of Delaware on September 21, 2011 and changed our name to authID Inc. on July 18, 2022.</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Common Stock is traded on the Nasdaq Capital Market under the trading symbol “AUID”. Our main address is 1580 North Logan Street, Suite 660, Unit 51767, Denver, CO 80203 and our main phone number is (516) 274-8700. We maintain a website at www.authID.ai. The information contained on, or that can be accessed through, our websites is not incorporated by reference into this prospectus and is intended for informational purposes only.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unaudited condensed consolidated financial statements included in this Quarterly Report have been prepared in accordance with United States GAAP assuming the Company will continue on a going concern basis, which implies the Company will continue to meet its obligations and continue its operations for the next year following the issuance date of these financial statements.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September 30, 2023, the Company had an accumulated deficit of approximately $156.3 million. For the nine months ended September 30, 2023, the Company earned revenue of approximately $0.12 million, used $6.2 million to fund its operations, and incurred a net loss from continuing operations of approximately $16.4 million. The continuation of the Company as a going concern is dependent upon financial support from the Company’s stockholders and noteholders, the ability of the Company to obtain additional debt or equity financing to continue operations, the Company’s ability to generate sufficient cash flows from operations, successfully locating and negotiating with other business entities for potential acquisition and /or acquiring new clients to generate revenues and cash flows.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nine months ended September 30, 2023, the Company has secured additional financing of approximately $6.4 million net, which provides funding for its current operations as it continues to invest in its product, people, and technology. Although there is no guarantee, the Company projects that the investments will lead to revenue expansion thereby reducing liquidity needs. However, in order to further implement its business plan and satisfy its working capital requirements, the Company will need to raise additional capital. There is no guarantee that the Company will be able to raise additional equity or debt financing at acceptable terms, if at all.</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is no assurance that the Company will ever be profitable.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profitable) and raise sufficient capital to maintain operations, there is substantial doubt about the Company’s ability to continue as a going concern.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This discussion includes information about Adjusted EBITDA that is not prepared in accordance with GAAP. Adjusted EBITDA is not based on any standardized methodology prescribed by GAAP and is not necessarily comparable to similar measures presented by other companies. A reconciliation of this non-GAAP measure is included below. Adjusted EBITDA is a non-GAAP financial measure that represents GAAP net income (loss) adjusted to exclude (1) interest expense and debt discount and debt issuance costs amortization expense, (2) interest income, (3) provision for income taxes, (4) depreciation and amortization, (5) stock-based compensation expense (stock options) and (6) loss on debt extinguishment, and conversion expense on exchange of Convertible Notes and certain other items management believes affect the comparability of operating results. Management believes that Adjusted EBITDA, when viewed with our results under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 and it will be a focus as we invest in and grow the business. Adjusted EBITDA has limitations as an analytical tool, and you should not consider it in isolation from, or as a substitute for, analysis of our results as reported under GAAP. Some of these limitations are:</w:t>
      </w:r>
    </w:p>
    <w:p>
      <w:pPr>
        <w:spacing w:after="0" w:line="168"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does not include the impact of certain charges or gains resulting from matters we consider not to be indicative of our ongoing operations.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GAAP results and using Adjusted EBITDA only as a supplement to our GAAP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Loss from Continuing Operations to Adjusted EBITDA Continuing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3"/>
          </w:tcPr>
          <w:p>
            <w:pPr>
              <w:ind w:left="740"/>
              <w:spacing w:after="0"/>
              <w:rPr>
                <w:sz w:val="20"/>
                <w:szCs w:val="20"/>
                <w:color w:val="auto"/>
              </w:rPr>
            </w:pPr>
            <w:r>
              <w:rPr>
                <w:rFonts w:ascii="Arial" w:cs="Arial" w:eastAsia="Arial" w:hAnsi="Arial"/>
                <w:sz w:val="18"/>
                <w:szCs w:val="18"/>
                <w:b w:val="1"/>
                <w:bCs w:val="1"/>
                <w:color w:val="auto"/>
              </w:rPr>
              <w:t>For the</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ind w:left="780"/>
              <w:spacing w:after="0"/>
              <w:rPr>
                <w:sz w:val="20"/>
                <w:szCs w:val="20"/>
                <w:color w:val="auto"/>
              </w:rPr>
            </w:pPr>
            <w:r>
              <w:rPr>
                <w:rFonts w:ascii="Arial" w:cs="Arial" w:eastAsia="Arial" w:hAnsi="Arial"/>
                <w:sz w:val="18"/>
                <w:szCs w:val="18"/>
                <w:b w:val="1"/>
                <w:bCs w:val="1"/>
                <w:color w:val="auto"/>
                <w:w w:val="94"/>
              </w:rPr>
              <w:t>For the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38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1"/>
        </w:trPr>
        <w:tc>
          <w:tcPr>
            <w:tcW w:w="4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8"/>
                <w:szCs w:val="18"/>
                <w:color w:val="auto"/>
              </w:rPr>
            </w:pP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4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(3,715,703)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(6,190,347)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(16,397,649)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(17,656,872)</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Addback:</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13,138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437,301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1,095,320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931,205</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Other expense (income)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(29,511)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42,148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(30,671)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38,908</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Conversion expense</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7,476,000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Loss on debt extinguishment</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380,741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Severance cost</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22,448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850,813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60,416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213,049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212,450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673,882</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(7,052)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Non-cash recruiting fees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438,000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1,519,952</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2,227,764</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(22,949)</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6,726,871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Adjusted EBITDA continuing operations (Non-GAAP)</w:t>
            </w: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vMerge w:val="continue"/>
          </w:tcPr>
          <w:p>
            <w:pPr>
              <w:spacing w:after="0"/>
              <w:rPr>
                <w:sz w:val="20"/>
                <w:szCs w:val="20"/>
                <w:color w:val="auto"/>
              </w:rPr>
            </w:pPr>
          </w:p>
        </w:tc>
        <w:tc>
          <w:tcPr>
            <w:tcW w:w="144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(2,129,260)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(3,277,137)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(5,994,690)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(9,134,958)</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20" w:type="dxa"/>
            <w:vAlign w:val="bottom"/>
            <w:vMerge w:val="restart"/>
          </w:tcPr>
          <w:p>
            <w:pPr>
              <w:jc w:val="right"/>
              <w:ind w:right="170"/>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7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Three and Nine Months Ended September 30, 2023 and September 30, 2022 – 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three and nine months ended September 30, 2023, the Company’s revenues from Verified software licenses were approximately $42,000 and $114,000 compared to approximately $30,000 and $117,000 in the three and nine months ended September 30, 2022.</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Legacy authentication services revenues were approximately $1,000 and $4,000, respectively during the three months and nine months ended September 30, 2023 compared to approximately $0 and $145,000, respectively for the three months and nine months ended September 30, 2022. Revenue from Legacy authentication services dropped significantly as the Company phased out older product offerings in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and nine months ended September 30, 2023 compared to the three and nine months ended September 30, 2022, general and administrative expense decreased by approximately $0.9 million and $5.9 million principally due to the Company’s Labor Reduction Plan, other cost saving measures resulting in lower headcount costs and lower third party vendors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three-month and nine-month periods ended September 30, 2023 compared to September 30, 2022, research and development expenses decreased by approximately $0.9 million and $3.0 million as the Company implemented the Labor Reduction Plan, decreased staffing and third party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 expense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three and nine months ended September 30, 2023 compared to September 30, 2022, depreciation and amortization expense was approximately $0.15 and $0.5 million less as the Company reduced the value of certain legacy business asset values.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Interest expense, net includes interest expense, debt issuance and discount amortization expense. Interest expense decreased by approximately $0.4 million during the three-month period ended September 30, 2023 compared to September 30, 2022 principally due to the exchange of Convertible Notes for common stock in May 2023. Interest expense increased by approximately $0.2 million during the nine months ended September 30, 2023 due to the issuance of $9.2 million of Convertible Notes in late March 2022, the majority of which was exchanged for common stock in May 2023.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debt extinguishment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nine months ended September 30, 2023, loss on debt extinguishment increased by approximately $0.4 million due to the write-off of unamortized debt issuance costs related to the Initial Promissory Note as the note balance was capitalized and extinguished in the periods. See Note 5 to the unaudited condensed consolidated financial statements “Working Capital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expense</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During the nine months ended September 30, 2023, conversion expense was approximately $7.5 million as a result of the additional shares issued by the Company in exchange for the Convertible Notes, above the number of shares that the Holders would have received upon conversion at the original conversion price under the Convertible Notes. See Note 6 to the unaudited condensed consolidated financial statements “Convertible Notes Payable”.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Three and Nine Months Ended September 30, 2023 and September 30, 2022 – Discontinued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4, 2022, the Board approved a plan to exit from certain non-core activities comprising the MultiPay correspondent bank, payments services in Colombia and the Card Plus cards manufacturing and printing business in South Africa.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Cards Plus business in South Africa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August 29, 2022, the Company completed the sale of Cards Plus business for a price of $300,000, less $3,272 in costs to sell, and recognized a loss of $188,247 from the transaction. Of the $300,000 gross proceeds, $150,000 was paid on closing and the remaining balance of $150,000 was recorded in other current assets as of September 30, 2023. While the Company and Cards Plus continue to actively pursue payment of the remaining balance, which is subject to regulatory approval, management re-evaluated the likelihood of recovery and recorded an allowance for doubtful account in September 30, 2023 related to this receivable.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MultiPay business in Colombia</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30, 2023, the Company completed the sale of MultiPay business software for a price of approximately $96,000 including VAT, less $20,000 in fixed assets write-off, and recognized approximately $216,000 net gain from the transaction. The gross proceeds have been collected as of September 30,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has approximately $3.8 million of cash on hand and approximately $3.3 million of working capital as of September 30, 2023.</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used in operating activities was approximately $6.2 million and $9.6 million in the nine months ended September 30, 2023 and 2022, respectively.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flows from investing activities for the nine months ended September 30, 2023 was approximately $17,000 for purchases of intangible assets and net cash used in investing activities for the nine months ended September 30, 2022 was approximately $183,000 for from cash disposed from sale of a continued operation, net of proceeds received from sale of discontinued operations.</w:t>
      </w:r>
    </w:p>
    <w:p>
      <w:pPr>
        <w:spacing w:after="0" w:line="18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Cash provided by financing activities in the nine months ended September 30, 2023 consisted of approximately $6.3 million in proceeds from the sale of common stock, net of offering costs, and $0.5 million initial drawdown net of debt issuance costs under the Company’s A&amp;R Facility Agreement.</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provided by financing activities in the nine months ended September 30, 2022 consisted of approximately $3.1 million net proceeds from sale of common stock, net of offering costs and approximately $8 million net proceeds from issuance of Convertible Notes.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2023 and 2024, the Company will need to raise additional funds to support its operations and investments as it seeks to create a sustainable organization. There is no guarantee that such financing will be available, or available on acceptable terms. Our growth-oriented business plan to offer products to our customers will require continued capital investment. Research and development activities and technology deployment will require continued investment. We have raised approximately $6.4 million in 2023 (net of offering costs), through equity and debt financing at varying terms, which provides funding for our current operations as the Company continues to invest in its product, people, and technology. In order to further implement its business plan and satisfy its working capital requirements, the Company will need to raise additional capital. There is no guarantee that the Company will be able to raise additional equity or debt financing at acceptable terms, if at all.</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is no guarantee that our current business plan will not change, and as a result of such change, we will need additional capital to implement such business plan. Further, assuming we achieve our expected growth plan, of which there is no guarantee, we will need additional capital to implement growth beyond our current business plan.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Covid 19</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Covid-19 emerged globally in December 2019, and it has been declared a pandemic. Covid-19 is still impacting customers, business, results and financial condition throughout the world. The Company’s day-to-day operations have been impacted differently depending on geographic location and services that are being performed. The Company cannot predict the potential impact of any future pandemics.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Ukraine and the Middle East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ongoing war in Ukraine and the war recently commenced in the Middle East following the terrorist attack by Hamas, may impact the Company and its operations in a number of different ways, which are yet to be fully assessed and are therefore causing uncertainty. The Company works with third party sub-contractors for outsourced services, including software engineering and development, some of whom are based in Eastern Europe, including Ukraine. The Company also works with outsourced engineers and developers and third-party providers in other parts of the world, including the United States, Eastern Europe and Pakistan. While the continuing impact of these conflicts and the response of the United States and other countries to them by means of trade and economic sanctions, or other actions is still unknown, any disruption of our ability to work with such contractors caused by these conflicts could require the Company to seek alternative sub-contractors at short notice, which may give rise to additional costs and delays in delivering software and product upgrades.</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uncertainty impacting and potential interruption in energy and other supply chains resulting from military hostilities in Europe and the Middle East and the response of the United States and other countries to them by means of trade and economic sanctions, or other actions, may give rise to increases in costs of goods and services generally and may impact the market for our products as prospective customers reconsider additional capital expenditure, or other investment plans until the situation becomes clearer. On the other hand, the threat of increased cyber-attacks from Russia or other countries may prompt enterprises to adopt additional security measures such as those offered by the Company.</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so long as the hostilities continue and perhaps even thereafter as the situations in Europe and the Middle East unfold, we may see increased volatility in financial markets which may make it more difficult for the Company to raise additional capital at the time when it needs to do so, or for financing to be available on acceptable terms. All or any of these risks separately, or in combination, could have a material adverse effect on our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no off-balance sheet arrangements that are reasonably likely to have a current or future effect on our financial condition, changes in financial condition, revenues or expenses, results of operations, liquidity, capital expenditures or capital resources that is deemed by our management to be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Policies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recent material accounting policies that may be the most critical to understanding of the financial results and conditions are discussed in Note 1 of the unaudited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smaller reporting company, we are not required to include disclosure under this item.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of the end of the period covered by this Quarterly Report, our Chief Executive Officer and Chief Financial Officer performed an evaluation of the effectiveness of our disclosure controls and procedures as defined in Rules 13a-15(e) and 15d-15(e) of the Exchange Act. Based on the evaluation, the Chief Executive Officer and Chief Financial Officer concluded that, as of September 30, 2023, as a result of a material weakness discussed below, the Company’s disclosure controls and procedures were not effective to ensure that the information required to be disclosed by the Company in the report that it files or submits under the Exchange Act is recorded, processed, summarized, and reported within the time periods specified in SEC rules and forms.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in Internal Control Over Financial Reporting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quarter ended June 30, 2023, the Company identified a material weakness in its internal control over financial reporting related to the review of accounting treatment for the Convertible Notes conversion transaction, which occurred during the period. The Convertible Note conversion transaction which gave rise to this issue (See Note 6 “Convertible Notes Payable”) was a complex and infrequent transaction, which requires particular accounting treatment. The correct accounting treatment was not immediately identified by the Company, due to the Company’s limited resources available for advanced technical analysis and advice, similar to other companies of our size. The correct accounting treatment was identified and reflected prior to filing of the quarterly report on Form 10-Q for the quarter ended June 30, 2023 and no previously published financial statements were impacted by this issue.</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plan to remediate this material weakness is to undertake a review of the Company’s activities during each quarter in order to identify any potential complex accounting matters and then to engage a CPA advisory firm to review the proposed accounting treatment on any complex accounting matters that may arise in the future.</w:t>
      </w:r>
    </w:p>
    <w:p>
      <w:pPr>
        <w:spacing w:after="0" w:line="18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under the Exchange Act) that occurred during the nine months ended September 30, 2023 that have materially affected, or are reasonably likely to materially affect, our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time to time, the Company is a party to various legal or administrative proceedings arising in the ordinary course of business. While any litigation contains an element of uncertainty, we have no reason to believe the outcome of such proceedings will have a material adverse effect on the financial condition or results of operations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Risk factors describing the major risks to our business can be found under Item 1A, “Risk Factors”, in our Annual Report on Form 10-K for the year ended December 31, 2022. Except as set forth below, which discusses a material weakness in our control over financial reporting as of September 30, 2023, and the recent outbreak of war in the Middle East following the terrorist attack by Hamas, there has been no material change in our risk factors from those previously discussed in the Annual Report on Form 10-K. We operate in a business environment that is sensitive to political, economic and regulatory uncertainty, including with respect to cybersecurity and infrastructure investment, all of which may also be compounded by any future global impact from the COVID-19 pandemic, the continuing wars in Ukraine and the Middle East and inflationary pressures, rising energy prices and increases in interest rates (see “</w:t>
      </w:r>
      <w:r>
        <w:rPr>
          <w:rFonts w:ascii="Arial" w:cs="Arial" w:eastAsia="Arial" w:hAnsi="Arial"/>
          <w:sz w:val="17"/>
          <w:szCs w:val="17"/>
          <w:i w:val="1"/>
          <w:iCs w:val="1"/>
          <w:color w:val="auto"/>
        </w:rPr>
        <w:t>Covid 19</w:t>
      </w:r>
      <w:r>
        <w:rPr>
          <w:rFonts w:ascii="Arial" w:cs="Arial" w:eastAsia="Arial" w:hAnsi="Arial"/>
          <w:sz w:val="17"/>
          <w:szCs w:val="17"/>
          <w:color w:val="auto"/>
        </w:rPr>
        <w:t>” and “</w:t>
      </w:r>
      <w:r>
        <w:rPr>
          <w:rFonts w:ascii="Arial" w:cs="Arial" w:eastAsia="Arial" w:hAnsi="Arial"/>
          <w:sz w:val="17"/>
          <w:szCs w:val="17"/>
          <w:i w:val="1"/>
          <w:iCs w:val="1"/>
          <w:color w:val="auto"/>
        </w:rPr>
        <w:t>Ukraine and the Middle East</w:t>
      </w:r>
      <w:r>
        <w:rPr>
          <w:rFonts w:ascii="Arial" w:cs="Arial" w:eastAsia="Arial" w:hAnsi="Arial"/>
          <w:sz w:val="17"/>
          <w:szCs w:val="17"/>
          <w:color w:val="auto"/>
        </w:rPr>
        <w:t>” above).</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business is subject to changing regulations regarding corporate governance, disclosure controls, internal control over financial reporting and other compliance areas that will increase both our costs and the risk of noncompliance. If we fail to comply with these regulations, we could face difficulties in preparing and filing timely and accurate financial reports.</w:t>
      </w:r>
    </w:p>
    <w:p>
      <w:pPr>
        <w:spacing w:after="0" w:line="18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are subject to the reporting requirements of the Securities Exchange Act of 1934, as amended, or the Exchange Act, the Sarbanes-Oxley Act and the Dodd-Frank Act. We are also subject to the corporate governance and other listing rules of the Nasdaq Stock Market. Maintaining compliance with these rules and regulations, particularly after we cease to be an emerging growth company, will increase our legal, accounting and financial compliance costs, will make some activities more difficult, time-consuming and costly and may also place increased strain on our personnel, systems and resources.</w:t>
      </w:r>
    </w:p>
    <w:p>
      <w:pPr>
        <w:spacing w:after="0" w:line="1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at the time we cease to be an emerging growth company and a smaller reporting company, we will be required to provide attestation that we maintain effective disclosure controls and procedures by our registered public accounting firm. Any failure to develop or maintain effective controls, or any difficulties encountered in their implementation or improvement, could harm our operating results or cause us to fail to meet our reporting obligations. Any failure to implement and maintain effective internal control also could adversely affect the results of periodic management evaluations regarding the effectiveness of our internal control over financial reporting that are required to include in our periodic reports filed with the SEC, under Section 404(a) of the Sarbanes-Oxley Act or the annual auditor attestation reports regarding effectiveness of our internal controls over financial reporting that we will be required to include in our periodic reports filed with the SEC upon our ceasing to be an emerging growth company and a smaller reporting company, unless, under the JOBS Act, we meet certain criteria that would require such reports to be included prior to then, under Section 404(b) of the Sarbanes-Oxley Act. Ineffective disclosure controls and procedures and internal control over financial reporting could also cause investors to lose confidence in our reported financial and other information, which would likely have a negative effect on the trading price of shares of our Common Stock.</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jc w:val="both"/>
        <w:ind w:firstLine="648"/>
        <w:spacing w:after="0" w:line="255" w:lineRule="auto"/>
        <w:rPr>
          <w:sz w:val="20"/>
          <w:szCs w:val="20"/>
          <w:color w:val="auto"/>
        </w:rPr>
      </w:pPr>
      <w:r>
        <w:rPr>
          <w:rFonts w:ascii="Arial" w:cs="Arial" w:eastAsia="Arial" w:hAnsi="Arial"/>
          <w:sz w:val="18"/>
          <w:szCs w:val="18"/>
          <w:color w:val="auto"/>
        </w:rPr>
        <w:t>In order to maintain the effectiveness of our disclosure controls and procedures and internal control over financial reporting going forward, we will need to expend significant resources and provide significant management oversight. There is a substantial effort involved in continuing to implement appropriate processes, document our system of internal control over relevant processes, assess their design, remediate any deficiencies identified and test their operation. As a result, management’s attention may be diverted from other business concerns, which could harm our business, operating results and financial condition. These efforts will also involve substantial accounting-related costs. We may experience difficulty in meeting these reporting requirements in a timely manner.</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disclosed in Item 4 of this Quarterly Report, we had a material weakness in our control over financial reporting as of September 30, 2023. Management has taken action to implement a plan to remediate the various elements of this material weakness, with immediate effect in relation to the financial statements for the quarter and nine months ending September 30, 2023. The remediation plan is to undertake a review of the Company’s activities during each quarter in order to identify any potential complex accounting matters and then to engage a CPA advisory firm to review the proposed accounting treatment on any complex accounting matters that may arise in the future. The Company engaged a CPA advisory firm to advise on certain complex accounting matters with respect to the financial statements for the three and nine month periods ending and as of September 30, 2023.</w:t>
      </w:r>
    </w:p>
    <w:p>
      <w:pPr>
        <w:spacing w:after="0" w:line="1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we are unable to appropriately implement and maintain this remediation plan and maintain any other necessary controls currently in place or that we implement in the future and pending such implementation, or if any difficulties are encountered in their implementation or improvement, (1) our management might not be able to certify, and our independent registered public accounting firm might not be able to report on, the adequacy of our internal control over financial reporting, which would cause us to fail to meet our reporting obligations, (2) misstatements in our financial statements may occur that may not be prevented or detected on a timely basis and (3) we may be deemed to have significant deficiencies or material weaknesses, any of which could adversely affect our business, financial condition and results of operations.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our internal controls are perceived as inadequate or that we are unable to produce timely or accurate financial statements, our stock price could decline and we could be subject to sanctions or investigations by the SEC or other regulatory authorities, which would require additional financial and management resources.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&amp; Executive Officer Stock Option Grants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15 , 2023 the Company made a grant of options to Mr. Sellitto to acquire 50,000 shares of common stock at an exercise price of $8.87 per share, exercisable for a period of ten years, vesting subject to achievement of performance and service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Stock Option Grants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nine months ended September 30, 2023 the Company also granted a total of 75,000 options to certain new employees at an exercise price of $7.36 per share.</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All the offers and sales of securities listed above were made to accredited investors. The issuance of the above securities is exempt from the registration requirements under Rule 4(a)(2) of the Securities Act of 1933, as amended, and/or Rule 506 as promulgated under Regulation 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 to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Notices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January 25, 2023 the Company received a notice letter from the Listing Qualifications staff of the NASDAQ Stock Market LLC (“Nasdaq”) that it was not in compliance with the Nasdaq Listing Rule 5550(a)(2) that the Company maintain a bid price for the Company’s common stock above $1.00 per share (the “Bid Price Requirement”). On April 4, 2023, the Company received a notice letter from the Listing Qualifications staff of Nasdaq indicating that the Company was not in compliance with Nasdaq Listing Rule 5550(b)(1) (“Rule 5550(b)(1)”) as the Company’s stockholders’ equity of $283,536, as reported on the Company’s Annual Report on Form 10-K for the period ended December 31, 2022, was below $2.5 million, which is the minimum stockholders’ equity required for compliance with Rule 5550(b)(1). Further, as of April 3, 2023, the Company did not meet the alternative compliance standards relating to the market value of listed securities, or net income from continuing operations..</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the closing of the Offering and the Note Exchange in May 2023, the Company’s total stockholder equity is approximately $9.6 million, as reported on the Company’s form 10-Q for the period ended June 30, 2023. On May 30, 2023, the Company received notice from Nasdaq, that Nasdaq Staff has determined, that the Company complies with Rule 5550(b)(1), subject to its review of the quarterly report on Form 10-Q for the period ended June 30, 2023.</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Reverse Split, the Company received notice on July 24, 2023 from Nasdaq that the Company is now in compliance with the Bid Price Requirement and the matter raised by their letter of January 25, 2023 is now closed.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Resignation of Annie Pham and Engagement of Edward Sellitto</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Annie Pham resigned as Chief Financial Officer effective August 15, 2023. On July 31, 2023, the Company and Edward Sellitto entered an Offer Letter pursuant to which Mr. Sellitto agreed to serve as Chief Financial Officer of the Company commencing August 15, 2023 in consideration of an annual salary of $250,000. On August 15 , 2023 the Company made a grant of options to Mr. Sellitto to acquire 50,000 shares of common stock at an exercise price of $8.87 per share, exercisable for a period of ten years, vesting subject to achievement of performance and service conditions. Annie Pham continued to assist the Company for a short period during the transition on a consulting basis.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41"/>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100" w:type="dxa"/>
            <w:vAlign w:val="bottom"/>
            <w:gridSpan w:val="52"/>
          </w:tcPr>
          <w:p>
            <w:pPr>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020" w:type="dxa"/>
            <w:vAlign w:val="bottom"/>
            <w:tcBorders>
              <w:top w:val="single" w:sz="8" w:color="auto"/>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3.1 (1)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580" w:type="dxa"/>
            <w:vAlign w:val="bottom"/>
            <w:tcBorders>
              <w:top w:val="single" w:sz="8" w:color="auto"/>
              <w:bottom w:val="single" w:sz="8" w:color="0000EE"/>
            </w:tcBorders>
            <w:gridSpan w:val="15"/>
            <w:shd w:val="clear" w:color="auto" w:fill="CCEEFF"/>
          </w:tcPr>
          <w:p>
            <w:pPr>
              <w:spacing w:after="0" w:line="176" w:lineRule="exact"/>
              <w:rPr>
                <w:rFonts w:ascii="Arial" w:cs="Arial" w:eastAsia="Arial" w:hAnsi="Arial"/>
                <w:sz w:val="18"/>
                <w:szCs w:val="18"/>
                <w:color w:val="0000EE"/>
                <w:w w:val="91"/>
              </w:rPr>
            </w:pPr>
            <w:hyperlink r:id="rId42">
              <w:r>
                <w:rPr>
                  <w:rFonts w:ascii="Arial" w:cs="Arial" w:eastAsia="Arial" w:hAnsi="Arial"/>
                  <w:sz w:val="18"/>
                  <w:szCs w:val="18"/>
                  <w:color w:val="0000EE"/>
                  <w:w w:val="91"/>
                </w:rPr>
                <w:t>Amended &amp; Restated Certificate of Incorporation</w:t>
              </w:r>
            </w:hyperlink>
          </w:p>
        </w:tc>
        <w:tc>
          <w:tcPr>
            <w:tcW w:w="6520" w:type="dxa"/>
            <w:vAlign w:val="bottom"/>
            <w:tcBorders>
              <w:top w:val="single" w:sz="8" w:color="auto"/>
              <w:bottom w:val="single" w:sz="8" w:color="CCEEFF"/>
            </w:tcBorders>
            <w:gridSpan w:val="37"/>
            <w:shd w:val="clear" w:color="auto" w:fill="CCEEFF"/>
          </w:tcPr>
          <w:p>
            <w:pPr>
              <w:spacing w:after="0"/>
              <w:rPr>
                <w:sz w:val="17"/>
                <w:szCs w:val="17"/>
                <w:color w:val="auto"/>
              </w:rPr>
            </w:pPr>
          </w:p>
        </w:tc>
      </w:tr>
      <w:tr>
        <w:trPr>
          <w:trHeight w:val="176"/>
        </w:trPr>
        <w:tc>
          <w:tcPr>
            <w:tcW w:w="1020" w:type="dxa"/>
            <w:vAlign w:val="bottom"/>
            <w:gridSpan w:val="2"/>
          </w:tcPr>
          <w:p>
            <w:pPr>
              <w:spacing w:after="0" w:line="176" w:lineRule="exact"/>
              <w:rPr>
                <w:sz w:val="20"/>
                <w:szCs w:val="20"/>
                <w:color w:val="auto"/>
              </w:rPr>
            </w:pPr>
            <w:r>
              <w:rPr>
                <w:rFonts w:ascii="Arial" w:cs="Arial" w:eastAsia="Arial" w:hAnsi="Arial"/>
                <w:sz w:val="18"/>
                <w:szCs w:val="18"/>
                <w:color w:val="auto"/>
              </w:rPr>
              <w:t>3.2 (14)</w:t>
            </w:r>
          </w:p>
        </w:tc>
        <w:tc>
          <w:tcPr>
            <w:tcW w:w="120" w:type="dxa"/>
            <w:vAlign w:val="bottom"/>
          </w:tcPr>
          <w:p>
            <w:pPr>
              <w:spacing w:after="0"/>
              <w:rPr>
                <w:sz w:val="15"/>
                <w:szCs w:val="15"/>
                <w:color w:val="auto"/>
              </w:rPr>
            </w:pPr>
          </w:p>
        </w:tc>
        <w:tc>
          <w:tcPr>
            <w:tcW w:w="10100" w:type="dxa"/>
            <w:vAlign w:val="bottom"/>
            <w:gridSpan w:val="52"/>
          </w:tcPr>
          <w:p>
            <w:pPr>
              <w:spacing w:after="0" w:line="176" w:lineRule="exact"/>
              <w:rPr>
                <w:rFonts w:ascii="Arial" w:cs="Arial" w:eastAsia="Arial" w:hAnsi="Arial"/>
                <w:sz w:val="18"/>
                <w:szCs w:val="18"/>
                <w:color w:val="0000EE"/>
              </w:rPr>
            </w:pPr>
            <w:hyperlink r:id="rId43">
              <w:r>
                <w:rPr>
                  <w:rFonts w:ascii="Arial" w:cs="Arial" w:eastAsia="Arial" w:hAnsi="Arial"/>
                  <w:sz w:val="18"/>
                  <w:szCs w:val="18"/>
                  <w:color w:val="0000EE"/>
                </w:rPr>
                <w:t>Amended &amp; Restated Bylaws as of July 18, 2022</w:t>
              </w:r>
            </w:hyperlink>
          </w:p>
        </w:tc>
      </w:tr>
      <w:tr>
        <w:trPr>
          <w:trHeight w:val="21"/>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3.3(2)</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52"/>
            <w:shd w:val="clear" w:color="auto" w:fill="CCEEFF"/>
          </w:tcPr>
          <w:p>
            <w:pPr>
              <w:spacing w:after="0" w:line="176" w:lineRule="exact"/>
              <w:rPr>
                <w:rFonts w:ascii="Arial" w:cs="Arial" w:eastAsia="Arial" w:hAnsi="Arial"/>
                <w:sz w:val="18"/>
                <w:szCs w:val="18"/>
                <w:color w:val="0000EE"/>
              </w:rPr>
            </w:pPr>
            <w:hyperlink r:id="rId44">
              <w:r>
                <w:rPr>
                  <w:rFonts w:ascii="Arial" w:cs="Arial" w:eastAsia="Arial" w:hAnsi="Arial"/>
                  <w:sz w:val="18"/>
                  <w:szCs w:val="18"/>
                  <w:color w:val="0000EE"/>
                </w:rPr>
                <w:t>Certificate of Amendment dated June 1, 2021</w:t>
              </w:r>
            </w:hyperlink>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gridSpan w:val="2"/>
          </w:tcPr>
          <w:p>
            <w:pPr>
              <w:spacing w:after="0" w:line="176" w:lineRule="exact"/>
              <w:rPr>
                <w:sz w:val="20"/>
                <w:szCs w:val="20"/>
                <w:color w:val="auto"/>
              </w:rPr>
            </w:pPr>
            <w:r>
              <w:rPr>
                <w:rFonts w:ascii="Arial" w:cs="Arial" w:eastAsia="Arial" w:hAnsi="Arial"/>
                <w:sz w:val="18"/>
                <w:szCs w:val="18"/>
                <w:color w:val="auto"/>
              </w:rPr>
              <w:t>3.4 (14)</w:t>
            </w:r>
          </w:p>
        </w:tc>
        <w:tc>
          <w:tcPr>
            <w:tcW w:w="120" w:type="dxa"/>
            <w:vAlign w:val="bottom"/>
          </w:tcPr>
          <w:p>
            <w:pPr>
              <w:spacing w:after="0"/>
              <w:rPr>
                <w:sz w:val="15"/>
                <w:szCs w:val="15"/>
                <w:color w:val="auto"/>
              </w:rPr>
            </w:pPr>
          </w:p>
        </w:tc>
        <w:tc>
          <w:tcPr>
            <w:tcW w:w="10100" w:type="dxa"/>
            <w:vAlign w:val="bottom"/>
            <w:gridSpan w:val="52"/>
          </w:tcPr>
          <w:p>
            <w:pPr>
              <w:spacing w:after="0" w:line="176" w:lineRule="exact"/>
              <w:rPr>
                <w:rFonts w:ascii="Arial" w:cs="Arial" w:eastAsia="Arial" w:hAnsi="Arial"/>
                <w:sz w:val="18"/>
                <w:szCs w:val="18"/>
                <w:color w:val="0000EE"/>
              </w:rPr>
            </w:pPr>
            <w:hyperlink r:id="rId45">
              <w:r>
                <w:rPr>
                  <w:rFonts w:ascii="Arial" w:cs="Arial" w:eastAsia="Arial" w:hAnsi="Arial"/>
                  <w:sz w:val="18"/>
                  <w:szCs w:val="18"/>
                  <w:color w:val="0000EE"/>
                </w:rPr>
                <w:t>Certificate of Amendment to Amended and Restated Certificate of Incorporation as of July 18, 2022</w:t>
              </w:r>
            </w:hyperlink>
          </w:p>
        </w:tc>
      </w:tr>
      <w:tr>
        <w:trPr>
          <w:trHeight w:val="21"/>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3.5 (15)</w:t>
            </w:r>
          </w:p>
        </w:tc>
        <w:tc>
          <w:tcPr>
            <w:tcW w:w="120" w:type="dxa"/>
            <w:vAlign w:val="bottom"/>
            <w:tcBorders>
              <w:bottom w:val="single" w:sz="8" w:color="CCEEFF"/>
            </w:tcBorders>
            <w:shd w:val="clear" w:color="auto" w:fill="CCEEFF"/>
          </w:tcPr>
          <w:p>
            <w:pPr>
              <w:spacing w:after="0"/>
              <w:rPr>
                <w:sz w:val="17"/>
                <w:szCs w:val="17"/>
                <w:color w:val="auto"/>
              </w:rPr>
            </w:pPr>
          </w:p>
        </w:tc>
        <w:tc>
          <w:tcPr>
            <w:tcW w:w="7700" w:type="dxa"/>
            <w:vAlign w:val="bottom"/>
            <w:tcBorders>
              <w:bottom w:val="single" w:sz="8" w:color="0000EE"/>
            </w:tcBorders>
            <w:gridSpan w:val="40"/>
            <w:shd w:val="clear" w:color="auto" w:fill="CCEEFF"/>
          </w:tcPr>
          <w:p>
            <w:pPr>
              <w:spacing w:after="0" w:line="176" w:lineRule="exact"/>
              <w:rPr>
                <w:rFonts w:ascii="Arial" w:cs="Arial" w:eastAsia="Arial" w:hAnsi="Arial"/>
                <w:sz w:val="18"/>
                <w:szCs w:val="18"/>
                <w:color w:val="0000EE"/>
                <w:w w:val="90"/>
              </w:rPr>
            </w:pPr>
            <w:hyperlink r:id="rId46">
              <w:r>
                <w:rPr>
                  <w:rFonts w:ascii="Arial" w:cs="Arial" w:eastAsia="Arial" w:hAnsi="Arial"/>
                  <w:sz w:val="18"/>
                  <w:szCs w:val="18"/>
                  <w:color w:val="0000EE"/>
                  <w:w w:val="90"/>
                </w:rPr>
                <w:t>Certificate of Amendment to Amended and Restated Certificate of Incorporation as of September 21, 2022</w:t>
              </w:r>
            </w:hyperlink>
          </w:p>
        </w:tc>
        <w:tc>
          <w:tcPr>
            <w:tcW w:w="2400" w:type="dxa"/>
            <w:vAlign w:val="bottom"/>
            <w:tcBorders>
              <w:bottom w:val="single" w:sz="8" w:color="CCEEFF"/>
            </w:tcBorders>
            <w:gridSpan w:val="12"/>
            <w:shd w:val="clear" w:color="auto" w:fill="CCEEFF"/>
          </w:tcPr>
          <w:p>
            <w:pPr>
              <w:spacing w:after="0"/>
              <w:rPr>
                <w:sz w:val="17"/>
                <w:szCs w:val="17"/>
                <w:color w:val="auto"/>
              </w:rPr>
            </w:pPr>
          </w:p>
        </w:tc>
      </w:tr>
      <w:tr>
        <w:trPr>
          <w:trHeight w:val="176"/>
        </w:trPr>
        <w:tc>
          <w:tcPr>
            <w:tcW w:w="1020" w:type="dxa"/>
            <w:vAlign w:val="bottom"/>
            <w:gridSpan w:val="2"/>
          </w:tcPr>
          <w:p>
            <w:pPr>
              <w:spacing w:after="0" w:line="176" w:lineRule="exact"/>
              <w:rPr>
                <w:sz w:val="20"/>
                <w:szCs w:val="20"/>
                <w:color w:val="auto"/>
              </w:rPr>
            </w:pPr>
            <w:r>
              <w:rPr>
                <w:rFonts w:ascii="Arial" w:cs="Arial" w:eastAsia="Arial" w:hAnsi="Arial"/>
                <w:sz w:val="18"/>
                <w:szCs w:val="18"/>
                <w:color w:val="auto"/>
              </w:rPr>
              <w:t>3.6 (23)</w:t>
            </w:r>
          </w:p>
        </w:tc>
        <w:tc>
          <w:tcPr>
            <w:tcW w:w="120" w:type="dxa"/>
            <w:vAlign w:val="bottom"/>
          </w:tcPr>
          <w:p>
            <w:pPr>
              <w:spacing w:after="0"/>
              <w:rPr>
                <w:sz w:val="15"/>
                <w:szCs w:val="15"/>
                <w:color w:val="auto"/>
              </w:rPr>
            </w:pPr>
          </w:p>
        </w:tc>
        <w:tc>
          <w:tcPr>
            <w:tcW w:w="10100" w:type="dxa"/>
            <w:vAlign w:val="bottom"/>
            <w:gridSpan w:val="52"/>
          </w:tcPr>
          <w:p>
            <w:pPr>
              <w:spacing w:after="0" w:line="176" w:lineRule="exact"/>
              <w:rPr>
                <w:rFonts w:ascii="Arial" w:cs="Arial" w:eastAsia="Arial" w:hAnsi="Arial"/>
                <w:sz w:val="18"/>
                <w:szCs w:val="18"/>
                <w:color w:val="0000EE"/>
              </w:rPr>
            </w:pPr>
            <w:hyperlink r:id="rId47">
              <w:r>
                <w:rPr>
                  <w:rFonts w:ascii="Arial" w:cs="Arial" w:eastAsia="Arial" w:hAnsi="Arial"/>
                  <w:sz w:val="18"/>
                  <w:szCs w:val="18"/>
                  <w:color w:val="0000EE"/>
                </w:rPr>
                <w:t>Certificate of Amendment to the Amended and Restated Certificate of Incorporation dated June 26, 2023</w:t>
              </w:r>
            </w:hyperlink>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6"/>
        </w:trPr>
        <w:tc>
          <w:tcPr>
            <w:tcW w:w="1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4.1 (2)</w:t>
            </w:r>
          </w:p>
        </w:tc>
        <w:tc>
          <w:tcPr>
            <w:tcW w:w="120" w:type="dxa"/>
            <w:vAlign w:val="bottom"/>
            <w:shd w:val="clear" w:color="auto" w:fill="CCEEFF"/>
          </w:tcPr>
          <w:p>
            <w:pPr>
              <w:spacing w:after="0"/>
              <w:rPr>
                <w:sz w:val="15"/>
                <w:szCs w:val="15"/>
                <w:color w:val="auto"/>
              </w:rPr>
            </w:pPr>
          </w:p>
        </w:tc>
        <w:tc>
          <w:tcPr>
            <w:tcW w:w="10100" w:type="dxa"/>
            <w:vAlign w:val="bottom"/>
            <w:gridSpan w:val="52"/>
            <w:shd w:val="clear" w:color="auto" w:fill="CCEEFF"/>
          </w:tcPr>
          <w:p>
            <w:pPr>
              <w:spacing w:after="0" w:line="176" w:lineRule="exact"/>
              <w:rPr>
                <w:rFonts w:ascii="Arial" w:cs="Arial" w:eastAsia="Arial" w:hAnsi="Arial"/>
                <w:sz w:val="18"/>
                <w:szCs w:val="18"/>
                <w:color w:val="0000EE"/>
              </w:rPr>
            </w:pPr>
            <w:hyperlink r:id="rId48">
              <w:r>
                <w:rPr>
                  <w:rFonts w:ascii="Arial" w:cs="Arial" w:eastAsia="Arial" w:hAnsi="Arial"/>
                  <w:sz w:val="18"/>
                  <w:szCs w:val="18"/>
                  <w:color w:val="0000EE"/>
                </w:rPr>
                <w:t>Form of Stock Option</w:t>
              </w:r>
            </w:hyperlink>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gridSpan w:val="2"/>
          </w:tcPr>
          <w:p>
            <w:pPr>
              <w:spacing w:after="0" w:line="176" w:lineRule="exact"/>
              <w:rPr>
                <w:sz w:val="20"/>
                <w:szCs w:val="20"/>
                <w:color w:val="auto"/>
              </w:rPr>
            </w:pPr>
            <w:r>
              <w:rPr>
                <w:rFonts w:ascii="Arial" w:cs="Arial" w:eastAsia="Arial" w:hAnsi="Arial"/>
                <w:sz w:val="18"/>
                <w:szCs w:val="18"/>
                <w:color w:val="auto"/>
              </w:rPr>
              <w:t>4.2 (3)</w:t>
            </w:r>
          </w:p>
        </w:tc>
        <w:tc>
          <w:tcPr>
            <w:tcW w:w="120" w:type="dxa"/>
            <w:vAlign w:val="bottom"/>
          </w:tcPr>
          <w:p>
            <w:pPr>
              <w:spacing w:after="0"/>
              <w:rPr>
                <w:sz w:val="15"/>
                <w:szCs w:val="15"/>
                <w:color w:val="auto"/>
              </w:rPr>
            </w:pPr>
          </w:p>
        </w:tc>
        <w:tc>
          <w:tcPr>
            <w:tcW w:w="10100" w:type="dxa"/>
            <w:vAlign w:val="bottom"/>
            <w:gridSpan w:val="52"/>
          </w:tcPr>
          <w:p>
            <w:pPr>
              <w:spacing w:after="0" w:line="176" w:lineRule="exact"/>
              <w:rPr>
                <w:rFonts w:ascii="Arial" w:cs="Arial" w:eastAsia="Arial" w:hAnsi="Arial"/>
                <w:sz w:val="18"/>
                <w:szCs w:val="18"/>
                <w:color w:val="0000EE"/>
              </w:rPr>
            </w:pPr>
            <w:hyperlink r:id="rId49">
              <w:r>
                <w:rPr>
                  <w:rFonts w:ascii="Arial" w:cs="Arial" w:eastAsia="Arial" w:hAnsi="Arial"/>
                  <w:sz w:val="18"/>
                  <w:szCs w:val="18"/>
                  <w:color w:val="0000EE"/>
                </w:rPr>
                <w:t>Form of 8.0% Convertible Note</w:t>
              </w:r>
            </w:hyperlink>
          </w:p>
        </w:tc>
      </w:tr>
      <w:tr>
        <w:trPr>
          <w:trHeight w:val="21"/>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1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4.3 (4)</w:t>
            </w:r>
          </w:p>
        </w:tc>
        <w:tc>
          <w:tcPr>
            <w:tcW w:w="120" w:type="dxa"/>
            <w:vAlign w:val="bottom"/>
            <w:shd w:val="clear" w:color="auto" w:fill="CCEEFF"/>
          </w:tcPr>
          <w:p>
            <w:pPr>
              <w:spacing w:after="0"/>
              <w:rPr>
                <w:sz w:val="15"/>
                <w:szCs w:val="15"/>
                <w:color w:val="auto"/>
              </w:rPr>
            </w:pPr>
          </w:p>
        </w:tc>
        <w:tc>
          <w:tcPr>
            <w:tcW w:w="10100" w:type="dxa"/>
            <w:vAlign w:val="bottom"/>
            <w:gridSpan w:val="52"/>
            <w:shd w:val="clear" w:color="auto" w:fill="CCEEFF"/>
          </w:tcPr>
          <w:p>
            <w:pPr>
              <w:spacing w:after="0" w:line="176" w:lineRule="exact"/>
              <w:rPr>
                <w:rFonts w:ascii="Arial" w:cs="Arial" w:eastAsia="Arial" w:hAnsi="Arial"/>
                <w:sz w:val="18"/>
                <w:szCs w:val="18"/>
                <w:color w:val="0000EE"/>
              </w:rPr>
            </w:pPr>
            <w:hyperlink r:id="rId50">
              <w:r>
                <w:rPr>
                  <w:rFonts w:ascii="Arial" w:cs="Arial" w:eastAsia="Arial" w:hAnsi="Arial"/>
                  <w:sz w:val="18"/>
                  <w:szCs w:val="18"/>
                  <w:color w:val="0000EE"/>
                </w:rPr>
                <w:t>Form of 15.0% Convertible Note</w:t>
              </w:r>
            </w:hyperlink>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gridSpan w:val="2"/>
          </w:tcPr>
          <w:p>
            <w:pPr>
              <w:spacing w:after="0" w:line="176" w:lineRule="exact"/>
              <w:rPr>
                <w:sz w:val="20"/>
                <w:szCs w:val="20"/>
                <w:color w:val="auto"/>
              </w:rPr>
            </w:pPr>
            <w:r>
              <w:rPr>
                <w:rFonts w:ascii="Arial" w:cs="Arial" w:eastAsia="Arial" w:hAnsi="Arial"/>
                <w:sz w:val="18"/>
                <w:szCs w:val="18"/>
                <w:color w:val="auto"/>
              </w:rPr>
              <w:t>4.4 (4)</w:t>
            </w:r>
          </w:p>
        </w:tc>
        <w:tc>
          <w:tcPr>
            <w:tcW w:w="120" w:type="dxa"/>
            <w:vAlign w:val="bottom"/>
          </w:tcPr>
          <w:p>
            <w:pPr>
              <w:spacing w:after="0"/>
              <w:rPr>
                <w:sz w:val="15"/>
                <w:szCs w:val="15"/>
                <w:color w:val="auto"/>
              </w:rPr>
            </w:pPr>
          </w:p>
        </w:tc>
        <w:tc>
          <w:tcPr>
            <w:tcW w:w="10100" w:type="dxa"/>
            <w:vAlign w:val="bottom"/>
            <w:gridSpan w:val="52"/>
          </w:tcPr>
          <w:p>
            <w:pPr>
              <w:spacing w:after="0" w:line="176" w:lineRule="exact"/>
              <w:rPr>
                <w:rFonts w:ascii="Arial" w:cs="Arial" w:eastAsia="Arial" w:hAnsi="Arial"/>
                <w:sz w:val="18"/>
                <w:szCs w:val="18"/>
                <w:color w:val="0000EE"/>
              </w:rPr>
            </w:pPr>
            <w:hyperlink r:id="rId51">
              <w:r>
                <w:rPr>
                  <w:rFonts w:ascii="Arial" w:cs="Arial" w:eastAsia="Arial" w:hAnsi="Arial"/>
                  <w:sz w:val="18"/>
                  <w:szCs w:val="18"/>
                  <w:color w:val="0000EE"/>
                </w:rPr>
                <w:t>Amended and Restated Promissory Note issued to The Theodore Stern Revocable Trust</w:t>
              </w:r>
            </w:hyperlink>
          </w:p>
        </w:tc>
      </w:tr>
      <w:tr>
        <w:trPr>
          <w:trHeight w:val="21"/>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4.5 (5)</w:t>
            </w:r>
          </w:p>
        </w:tc>
        <w:tc>
          <w:tcPr>
            <w:tcW w:w="12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9"/>
              </w:rPr>
            </w:pPr>
            <w:hyperlink r:id="rId52">
              <w:r>
                <w:rPr>
                  <w:rFonts w:ascii="Arial" w:cs="Arial" w:eastAsia="Arial" w:hAnsi="Arial"/>
                  <w:sz w:val="18"/>
                  <w:szCs w:val="18"/>
                  <w:color w:val="0000EE"/>
                  <w:w w:val="89"/>
                </w:rPr>
                <w:t>Paycheck Protection Program Term Note dated May 6, 2020</w:t>
              </w:r>
            </w:hyperlink>
          </w:p>
        </w:tc>
        <w:tc>
          <w:tcPr>
            <w:tcW w:w="5740" w:type="dxa"/>
            <w:vAlign w:val="bottom"/>
            <w:tcBorders>
              <w:bottom w:val="single" w:sz="8" w:color="CCEEFF"/>
            </w:tcBorders>
            <w:gridSpan w:val="36"/>
            <w:shd w:val="clear" w:color="auto" w:fill="CCEEFF"/>
          </w:tcPr>
          <w:p>
            <w:pPr>
              <w:spacing w:after="0"/>
              <w:rPr>
                <w:sz w:val="17"/>
                <w:szCs w:val="17"/>
                <w:color w:val="auto"/>
              </w:rPr>
            </w:pPr>
          </w:p>
        </w:tc>
      </w:tr>
      <w:tr>
        <w:trPr>
          <w:trHeight w:val="176"/>
        </w:trPr>
        <w:tc>
          <w:tcPr>
            <w:tcW w:w="1020" w:type="dxa"/>
            <w:vAlign w:val="bottom"/>
            <w:gridSpan w:val="2"/>
          </w:tcPr>
          <w:p>
            <w:pPr>
              <w:spacing w:after="0" w:line="176" w:lineRule="exact"/>
              <w:rPr>
                <w:sz w:val="20"/>
                <w:szCs w:val="20"/>
                <w:color w:val="auto"/>
              </w:rPr>
            </w:pPr>
            <w:r>
              <w:rPr>
                <w:rFonts w:ascii="Arial" w:cs="Arial" w:eastAsia="Arial" w:hAnsi="Arial"/>
                <w:sz w:val="18"/>
                <w:szCs w:val="18"/>
                <w:color w:val="auto"/>
              </w:rPr>
              <w:t>4.6 (6)</w:t>
            </w:r>
          </w:p>
        </w:tc>
        <w:tc>
          <w:tcPr>
            <w:tcW w:w="120" w:type="dxa"/>
            <w:vAlign w:val="bottom"/>
          </w:tcPr>
          <w:p>
            <w:pPr>
              <w:spacing w:after="0"/>
              <w:rPr>
                <w:sz w:val="15"/>
                <w:szCs w:val="15"/>
                <w:color w:val="auto"/>
              </w:rPr>
            </w:pPr>
          </w:p>
        </w:tc>
        <w:tc>
          <w:tcPr>
            <w:tcW w:w="10100" w:type="dxa"/>
            <w:vAlign w:val="bottom"/>
            <w:gridSpan w:val="52"/>
          </w:tcPr>
          <w:p>
            <w:pPr>
              <w:spacing w:after="0" w:line="176" w:lineRule="exact"/>
              <w:rPr>
                <w:rFonts w:ascii="Arial" w:cs="Arial" w:eastAsia="Arial" w:hAnsi="Arial"/>
                <w:sz w:val="18"/>
                <w:szCs w:val="18"/>
                <w:color w:val="0000EE"/>
              </w:rPr>
            </w:pPr>
            <w:hyperlink r:id="rId53">
              <w:r>
                <w:rPr>
                  <w:rFonts w:ascii="Arial" w:cs="Arial" w:eastAsia="Arial" w:hAnsi="Arial"/>
                  <w:sz w:val="18"/>
                  <w:szCs w:val="18"/>
                  <w:color w:val="0000EE"/>
                </w:rPr>
                <w:t>Paycheck Protection Program Term Note dated February 1, 2021</w:t>
              </w:r>
            </w:hyperlink>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4.7 (18)</w:t>
            </w:r>
          </w:p>
        </w:tc>
        <w:tc>
          <w:tcPr>
            <w:tcW w:w="120" w:type="dxa"/>
            <w:vAlign w:val="bottom"/>
            <w:shd w:val="clear" w:color="auto" w:fill="CCEEFF"/>
          </w:tcPr>
          <w:p>
            <w:pPr>
              <w:spacing w:after="0"/>
              <w:rPr>
                <w:sz w:val="17"/>
                <w:szCs w:val="17"/>
                <w:color w:val="auto"/>
              </w:rPr>
            </w:pPr>
          </w:p>
        </w:tc>
        <w:tc>
          <w:tcPr>
            <w:tcW w:w="10100" w:type="dxa"/>
            <w:vAlign w:val="bottom"/>
            <w:gridSpan w:val="52"/>
            <w:shd w:val="clear" w:color="auto" w:fill="CCEEFF"/>
          </w:tcPr>
          <w:p>
            <w:pPr>
              <w:spacing w:after="0" w:line="176" w:lineRule="exact"/>
              <w:rPr>
                <w:rFonts w:ascii="Arial" w:cs="Arial" w:eastAsia="Arial" w:hAnsi="Arial"/>
                <w:sz w:val="18"/>
                <w:szCs w:val="18"/>
                <w:color w:val="0000EE"/>
              </w:rPr>
            </w:pPr>
            <w:hyperlink r:id="rId54">
              <w:r>
                <w:rPr>
                  <w:rFonts w:ascii="Arial" w:cs="Arial" w:eastAsia="Arial" w:hAnsi="Arial"/>
                  <w:sz w:val="18"/>
                  <w:szCs w:val="18"/>
                  <w:color w:val="0000EE"/>
                </w:rPr>
                <w:t>Description of the Registrant’s Securities</w:t>
              </w:r>
            </w:hyperlink>
          </w:p>
        </w:tc>
      </w:tr>
      <w:tr>
        <w:trPr>
          <w:trHeight w:val="175"/>
        </w:trPr>
        <w:tc>
          <w:tcPr>
            <w:tcW w:w="102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10.1 (2)</w:t>
            </w:r>
          </w:p>
        </w:tc>
        <w:tc>
          <w:tcPr>
            <w:tcW w:w="120" w:type="dxa"/>
            <w:vAlign w:val="bottom"/>
            <w:tcBorders>
              <w:top w:val="single" w:sz="8" w:color="CCEEFF"/>
            </w:tcBorders>
          </w:tcPr>
          <w:p>
            <w:pPr>
              <w:spacing w:after="0"/>
              <w:rPr>
                <w:sz w:val="15"/>
                <w:szCs w:val="15"/>
                <w:color w:val="auto"/>
              </w:rPr>
            </w:pPr>
          </w:p>
        </w:tc>
        <w:tc>
          <w:tcPr>
            <w:tcW w:w="296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r:id="rId55">
              <w:r>
                <w:rPr>
                  <w:rFonts w:ascii="Arial" w:cs="Arial" w:eastAsia="Arial" w:hAnsi="Arial"/>
                  <w:sz w:val="18"/>
                  <w:szCs w:val="18"/>
                  <w:color w:val="0000EE"/>
                </w:rPr>
                <w:t>Form of Director Agreement</w:t>
              </w:r>
            </w:hyperlink>
          </w:p>
        </w:tc>
        <w:tc>
          <w:tcPr>
            <w:tcW w:w="7140" w:type="dxa"/>
            <w:vAlign w:val="bottom"/>
            <w:tcBorders>
              <w:top w:val="single" w:sz="8" w:color="CCEEFF"/>
            </w:tcBorders>
            <w:gridSpan w:val="40"/>
          </w:tcPr>
          <w:p>
            <w:pPr>
              <w:spacing w:after="0"/>
              <w:rPr>
                <w:sz w:val="15"/>
                <w:szCs w:val="15"/>
                <w:color w:val="auto"/>
              </w:rPr>
            </w:pPr>
          </w:p>
        </w:tc>
      </w:tr>
      <w:tr>
        <w:trPr>
          <w:trHeight w:val="21"/>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10.2 (2)</w:t>
            </w:r>
          </w:p>
        </w:tc>
        <w:tc>
          <w:tcPr>
            <w:tcW w:w="120" w:type="dxa"/>
            <w:vAlign w:val="bottom"/>
            <w:shd w:val="clear" w:color="auto" w:fill="CCEEFF"/>
          </w:tcPr>
          <w:p>
            <w:pPr>
              <w:spacing w:after="0"/>
              <w:rPr>
                <w:sz w:val="17"/>
                <w:szCs w:val="17"/>
                <w:color w:val="auto"/>
              </w:rPr>
            </w:pPr>
          </w:p>
        </w:tc>
        <w:tc>
          <w:tcPr>
            <w:tcW w:w="10100" w:type="dxa"/>
            <w:vAlign w:val="bottom"/>
            <w:gridSpan w:val="52"/>
            <w:shd w:val="clear" w:color="auto" w:fill="CCEEFF"/>
          </w:tcPr>
          <w:p>
            <w:pPr>
              <w:spacing w:after="0" w:line="176" w:lineRule="exact"/>
              <w:rPr>
                <w:rFonts w:ascii="Arial" w:cs="Arial" w:eastAsia="Arial" w:hAnsi="Arial"/>
                <w:sz w:val="18"/>
                <w:szCs w:val="18"/>
                <w:color w:val="0000EE"/>
              </w:rPr>
            </w:pPr>
            <w:hyperlink r:id="rId56">
              <w:r>
                <w:rPr>
                  <w:rFonts w:ascii="Arial" w:cs="Arial" w:eastAsia="Arial" w:hAnsi="Arial"/>
                  <w:sz w:val="18"/>
                  <w:szCs w:val="18"/>
                  <w:color w:val="0000EE"/>
                </w:rPr>
                <w:t>Form of Indemnification Agreement</w:t>
              </w:r>
            </w:hyperlink>
          </w:p>
        </w:tc>
      </w:tr>
      <w:tr>
        <w:trPr>
          <w:trHeight w:val="175"/>
        </w:trPr>
        <w:tc>
          <w:tcPr>
            <w:tcW w:w="102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10.5 (7)</w:t>
            </w:r>
          </w:p>
        </w:tc>
        <w:tc>
          <w:tcPr>
            <w:tcW w:w="120" w:type="dxa"/>
            <w:vAlign w:val="bottom"/>
            <w:tcBorders>
              <w:top w:val="single" w:sz="8" w:color="CCEEFF"/>
            </w:tcBorders>
          </w:tcPr>
          <w:p>
            <w:pPr>
              <w:spacing w:after="0"/>
              <w:rPr>
                <w:sz w:val="15"/>
                <w:szCs w:val="15"/>
                <w:color w:val="auto"/>
              </w:rPr>
            </w:pPr>
          </w:p>
        </w:tc>
        <w:tc>
          <w:tcPr>
            <w:tcW w:w="262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r:id="rId57">
              <w:r>
                <w:rPr>
                  <w:rFonts w:ascii="Arial" w:cs="Arial" w:eastAsia="Arial" w:hAnsi="Arial"/>
                  <w:sz w:val="18"/>
                  <w:szCs w:val="18"/>
                  <w:color w:val="0000EE"/>
                </w:rPr>
                <w:t>2017 Incentive Stock Plan</w:t>
              </w:r>
            </w:hyperlink>
          </w:p>
        </w:tc>
        <w:tc>
          <w:tcPr>
            <w:tcW w:w="7480" w:type="dxa"/>
            <w:vAlign w:val="bottom"/>
            <w:tcBorders>
              <w:top w:val="single" w:sz="8" w:color="CCEEFF"/>
            </w:tcBorders>
            <w:gridSpan w:val="42"/>
          </w:tcPr>
          <w:p>
            <w:pPr>
              <w:spacing w:after="0"/>
              <w:rPr>
                <w:sz w:val="15"/>
                <w:szCs w:val="15"/>
                <w:color w:val="auto"/>
              </w:rPr>
            </w:pPr>
          </w:p>
        </w:tc>
      </w:tr>
      <w:tr>
        <w:trPr>
          <w:trHeight w:val="21"/>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10.7 (2)</w:t>
            </w:r>
          </w:p>
        </w:tc>
        <w:tc>
          <w:tcPr>
            <w:tcW w:w="120" w:type="dxa"/>
            <w:vAlign w:val="bottom"/>
            <w:shd w:val="clear" w:color="auto" w:fill="CCEEFF"/>
          </w:tcPr>
          <w:p>
            <w:pPr>
              <w:spacing w:after="0"/>
              <w:rPr>
                <w:sz w:val="17"/>
                <w:szCs w:val="17"/>
                <w:color w:val="auto"/>
              </w:rPr>
            </w:pPr>
          </w:p>
        </w:tc>
        <w:tc>
          <w:tcPr>
            <w:tcW w:w="10100" w:type="dxa"/>
            <w:vAlign w:val="bottom"/>
            <w:gridSpan w:val="52"/>
            <w:shd w:val="clear" w:color="auto" w:fill="CCEEFF"/>
          </w:tcPr>
          <w:p>
            <w:pPr>
              <w:spacing w:after="0" w:line="176" w:lineRule="exact"/>
              <w:rPr>
                <w:rFonts w:ascii="Arial" w:cs="Arial" w:eastAsia="Arial" w:hAnsi="Arial"/>
                <w:sz w:val="18"/>
                <w:szCs w:val="18"/>
                <w:color w:val="0000EE"/>
              </w:rPr>
            </w:pPr>
            <w:hyperlink r:id="rId58">
              <w:r>
                <w:rPr>
                  <w:rFonts w:ascii="Arial" w:cs="Arial" w:eastAsia="Arial" w:hAnsi="Arial"/>
                  <w:sz w:val="18"/>
                  <w:szCs w:val="18"/>
                  <w:color w:val="0000EE"/>
                </w:rPr>
                <w:t>Executive Retention Agreement entered between the Company and Thomas L. Thimot dated June 14, 2021</w:t>
              </w:r>
            </w:hyperlink>
          </w:p>
        </w:tc>
      </w:tr>
      <w:tr>
        <w:trPr>
          <w:trHeight w:val="176"/>
        </w:trPr>
        <w:tc>
          <w:tcPr>
            <w:tcW w:w="102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10.8 (2)</w:t>
            </w:r>
          </w:p>
        </w:tc>
        <w:tc>
          <w:tcPr>
            <w:tcW w:w="120" w:type="dxa"/>
            <w:vAlign w:val="bottom"/>
            <w:tcBorders>
              <w:top w:val="single" w:sz="8" w:color="CCEEFF"/>
            </w:tcBorders>
          </w:tcPr>
          <w:p>
            <w:pPr>
              <w:spacing w:after="0"/>
              <w:rPr>
                <w:sz w:val="15"/>
                <w:szCs w:val="15"/>
                <w:color w:val="auto"/>
              </w:rPr>
            </w:pPr>
          </w:p>
        </w:tc>
        <w:tc>
          <w:tcPr>
            <w:tcW w:w="7720" w:type="dxa"/>
            <w:vAlign w:val="bottom"/>
            <w:tcBorders>
              <w:top w:val="single" w:sz="8" w:color="0000EE"/>
            </w:tcBorders>
            <w:gridSpan w:val="41"/>
          </w:tcPr>
          <w:p>
            <w:pPr>
              <w:spacing w:after="0" w:line="176"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Executive Retention Agreement entered between the Company and Cecil N. Smith III dated June 14, 2021</w:t>
              </w:r>
            </w:hyperlink>
          </w:p>
        </w:tc>
        <w:tc>
          <w:tcPr>
            <w:tcW w:w="2380" w:type="dxa"/>
            <w:vAlign w:val="bottom"/>
            <w:tcBorders>
              <w:top w:val="single" w:sz="8" w:color="CCEEFF"/>
            </w:tcBorders>
            <w:gridSpan w:val="11"/>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10.9 (2)</w:t>
            </w:r>
          </w:p>
        </w:tc>
        <w:tc>
          <w:tcPr>
            <w:tcW w:w="120" w:type="dxa"/>
            <w:vAlign w:val="bottom"/>
            <w:tcBorders>
              <w:bottom w:val="single" w:sz="8" w:color="CCEEFF"/>
            </w:tcBorders>
            <w:shd w:val="clear" w:color="auto" w:fill="CCEEFF"/>
          </w:tcPr>
          <w:p>
            <w:pPr>
              <w:spacing w:after="0"/>
              <w:rPr>
                <w:sz w:val="17"/>
                <w:szCs w:val="17"/>
                <w:color w:val="auto"/>
              </w:rPr>
            </w:pPr>
          </w:p>
        </w:tc>
        <w:tc>
          <w:tcPr>
            <w:tcW w:w="612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89"/>
              </w:rPr>
            </w:pPr>
            <w:hyperlink r:id="rId60">
              <w:r>
                <w:rPr>
                  <w:rFonts w:ascii="Arial" w:cs="Arial" w:eastAsia="Arial" w:hAnsi="Arial"/>
                  <w:sz w:val="18"/>
                  <w:szCs w:val="18"/>
                  <w:color w:val="0000EE"/>
                  <w:w w:val="89"/>
                </w:rPr>
                <w:t>Letter Agreement between the Company and Thomas L. Thimot dated June 14, 2021</w:t>
              </w:r>
            </w:hyperlink>
          </w:p>
        </w:tc>
        <w:tc>
          <w:tcPr>
            <w:tcW w:w="3980" w:type="dxa"/>
            <w:vAlign w:val="bottom"/>
            <w:tcBorders>
              <w:bottom w:val="single" w:sz="8" w:color="CCEEFF"/>
            </w:tcBorders>
            <w:gridSpan w:val="28"/>
            <w:shd w:val="clear" w:color="auto" w:fill="CCEEFF"/>
          </w:tcPr>
          <w:p>
            <w:pPr>
              <w:spacing w:after="0"/>
              <w:rPr>
                <w:sz w:val="17"/>
                <w:szCs w:val="17"/>
                <w:color w:val="auto"/>
              </w:rPr>
            </w:pP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w w:val="97"/>
              </w:rPr>
              <w:t>10.10</w:t>
            </w:r>
          </w:p>
        </w:tc>
        <w:tc>
          <w:tcPr>
            <w:tcW w:w="560" w:type="dxa"/>
            <w:vAlign w:val="bottom"/>
          </w:tcPr>
          <w:p>
            <w:pPr>
              <w:spacing w:after="0" w:line="176"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10100" w:type="dxa"/>
            <w:vAlign w:val="bottom"/>
            <w:gridSpan w:val="52"/>
          </w:tcPr>
          <w:p>
            <w:pPr>
              <w:spacing w:after="0" w:line="176" w:lineRule="exact"/>
              <w:rPr>
                <w:rFonts w:ascii="Arial" w:cs="Arial" w:eastAsia="Arial" w:hAnsi="Arial"/>
                <w:sz w:val="18"/>
                <w:szCs w:val="18"/>
                <w:color w:val="0000EE"/>
              </w:rPr>
            </w:pPr>
            <w:hyperlink r:id="rId61">
              <w:r>
                <w:rPr>
                  <w:rFonts w:ascii="Arial" w:cs="Arial" w:eastAsia="Arial" w:hAnsi="Arial"/>
                  <w:sz w:val="18"/>
                  <w:szCs w:val="18"/>
                  <w:color w:val="0000EE"/>
                </w:rPr>
                <w:t>Letter Agreement between the Company and Cecil N. Smith III dated June 14, 2021</w:t>
              </w:r>
            </w:hyperlink>
          </w:p>
        </w:tc>
      </w:tr>
      <w:tr>
        <w:trPr>
          <w:trHeight w:val="21"/>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10.11 (8)</w:t>
            </w:r>
          </w:p>
        </w:tc>
        <w:tc>
          <w:tcPr>
            <w:tcW w:w="120" w:type="dxa"/>
            <w:vAlign w:val="bottom"/>
            <w:tcBorders>
              <w:bottom w:val="single" w:sz="8" w:color="CCEEFF"/>
            </w:tcBorders>
            <w:shd w:val="clear" w:color="auto" w:fill="CCEEFF"/>
          </w:tcPr>
          <w:p>
            <w:pPr>
              <w:spacing w:after="0"/>
              <w:rPr>
                <w:sz w:val="17"/>
                <w:szCs w:val="17"/>
                <w:color w:val="auto"/>
              </w:rPr>
            </w:pPr>
          </w:p>
        </w:tc>
        <w:tc>
          <w:tcPr>
            <w:tcW w:w="6700" w:type="dxa"/>
            <w:vAlign w:val="bottom"/>
            <w:tcBorders>
              <w:bottom w:val="single" w:sz="8" w:color="0000EE"/>
            </w:tcBorders>
            <w:gridSpan w:val="31"/>
            <w:shd w:val="clear" w:color="auto" w:fill="CCEEFF"/>
          </w:tcPr>
          <w:p>
            <w:pPr>
              <w:spacing w:after="0" w:line="17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Letter Agreement between the Company and Phillip L. Kumnick dated as November 5, 2021</w:t>
              </w:r>
            </w:hyperlink>
          </w:p>
        </w:tc>
        <w:tc>
          <w:tcPr>
            <w:tcW w:w="3400" w:type="dxa"/>
            <w:vAlign w:val="bottom"/>
            <w:tcBorders>
              <w:bottom w:val="single" w:sz="8" w:color="CCEEFF"/>
            </w:tcBorders>
            <w:gridSpan w:val="21"/>
            <w:shd w:val="clear" w:color="auto" w:fill="CCEEFF"/>
          </w:tcPr>
          <w:p>
            <w:pPr>
              <w:spacing w:after="0"/>
              <w:rPr>
                <w:sz w:val="17"/>
                <w:szCs w:val="17"/>
                <w:color w:val="auto"/>
              </w:rPr>
            </w:pP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w w:val="97"/>
              </w:rPr>
              <w:t>10.12</w:t>
            </w:r>
          </w:p>
        </w:tc>
        <w:tc>
          <w:tcPr>
            <w:tcW w:w="560" w:type="dxa"/>
            <w:vAlign w:val="bottom"/>
          </w:tcPr>
          <w:p>
            <w:pPr>
              <w:spacing w:after="0" w:line="176"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5"/>
                <w:szCs w:val="15"/>
                <w:color w:val="auto"/>
              </w:rPr>
            </w:pPr>
          </w:p>
        </w:tc>
        <w:tc>
          <w:tcPr>
            <w:tcW w:w="10100" w:type="dxa"/>
            <w:vAlign w:val="bottom"/>
            <w:gridSpan w:val="52"/>
          </w:tcPr>
          <w:p>
            <w:pPr>
              <w:spacing w:after="0" w:line="176" w:lineRule="exact"/>
              <w:rPr>
                <w:rFonts w:ascii="Arial" w:cs="Arial" w:eastAsia="Arial" w:hAnsi="Arial"/>
                <w:sz w:val="18"/>
                <w:szCs w:val="18"/>
                <w:color w:val="0000EE"/>
              </w:rPr>
            </w:pPr>
            <w:hyperlink r:id="rId63">
              <w:r>
                <w:rPr>
                  <w:rFonts w:ascii="Arial" w:cs="Arial" w:eastAsia="Arial" w:hAnsi="Arial"/>
                  <w:sz w:val="18"/>
                  <w:szCs w:val="18"/>
                  <w:color w:val="0000EE"/>
                </w:rPr>
                <w:t>Letter Agreement between the Company and Philip R. Broenniman dated as November 5, 2021</w:t>
              </w:r>
            </w:hyperlink>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6"/>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7"/>
              </w:rPr>
              <w:t>10.13</w:t>
            </w:r>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5"/>
                <w:szCs w:val="15"/>
                <w:color w:val="auto"/>
              </w:rPr>
            </w:pPr>
          </w:p>
        </w:tc>
        <w:tc>
          <w:tcPr>
            <w:tcW w:w="10100" w:type="dxa"/>
            <w:vAlign w:val="bottom"/>
            <w:gridSpan w:val="52"/>
            <w:shd w:val="clear" w:color="auto" w:fill="CCEEFF"/>
          </w:tcPr>
          <w:p>
            <w:pPr>
              <w:spacing w:after="0" w:line="176" w:lineRule="exact"/>
              <w:rPr>
                <w:rFonts w:ascii="Arial" w:cs="Arial" w:eastAsia="Arial" w:hAnsi="Arial"/>
                <w:sz w:val="18"/>
                <w:szCs w:val="18"/>
                <w:color w:val="0000EE"/>
              </w:rPr>
            </w:pPr>
            <w:hyperlink r:id="rId64">
              <w:r>
                <w:rPr>
                  <w:rFonts w:ascii="Arial" w:cs="Arial" w:eastAsia="Arial" w:hAnsi="Arial"/>
                  <w:sz w:val="18"/>
                  <w:szCs w:val="18"/>
                  <w:color w:val="0000EE"/>
                </w:rPr>
                <w:t>AuthID Inc. 2021 Equity Incentive Plan</w:t>
              </w:r>
            </w:hyperlink>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w w:val="97"/>
              </w:rPr>
              <w:t>10.14</w:t>
            </w:r>
          </w:p>
        </w:tc>
        <w:tc>
          <w:tcPr>
            <w:tcW w:w="560" w:type="dxa"/>
            <w:vAlign w:val="bottom"/>
          </w:tcPr>
          <w:p>
            <w:pPr>
              <w:spacing w:after="0" w:line="176"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5"/>
                <w:szCs w:val="15"/>
                <w:color w:val="auto"/>
              </w:rPr>
            </w:pPr>
          </w:p>
        </w:tc>
        <w:tc>
          <w:tcPr>
            <w:tcW w:w="10100" w:type="dxa"/>
            <w:vAlign w:val="bottom"/>
            <w:gridSpan w:val="52"/>
          </w:tcPr>
          <w:p>
            <w:pPr>
              <w:spacing w:after="0" w:line="176" w:lineRule="exact"/>
              <w:rPr>
                <w:rFonts w:ascii="Arial" w:cs="Arial" w:eastAsia="Arial" w:hAnsi="Arial"/>
                <w:sz w:val="18"/>
                <w:szCs w:val="18"/>
                <w:color w:val="0000EE"/>
              </w:rPr>
            </w:pPr>
            <w:hyperlink r:id="rId65">
              <w:r>
                <w:rPr>
                  <w:rFonts w:ascii="Arial" w:cs="Arial" w:eastAsia="Arial" w:hAnsi="Arial"/>
                  <w:sz w:val="18"/>
                  <w:szCs w:val="18"/>
                  <w:color w:val="0000EE"/>
                </w:rPr>
                <w:t>Letter Agreement between AuthID Inc. and Thomas Szoke dated November 19, 2021</w:t>
              </w:r>
            </w:hyperlink>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10.15</w:t>
            </w:r>
          </w:p>
        </w:tc>
        <w:tc>
          <w:tcPr>
            <w:tcW w:w="5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8780" w:type="dxa"/>
            <w:vAlign w:val="bottom"/>
            <w:tcBorders>
              <w:bottom w:val="single" w:sz="8" w:color="0000EE"/>
            </w:tcBorders>
            <w:gridSpan w:val="50"/>
            <w:shd w:val="clear" w:color="auto" w:fill="CCEEFF"/>
          </w:tcPr>
          <w:p>
            <w:pPr>
              <w:spacing w:after="0" w:line="176" w:lineRule="exact"/>
              <w:rPr>
                <w:rFonts w:ascii="Arial" w:cs="Arial" w:eastAsia="Arial" w:hAnsi="Arial"/>
                <w:sz w:val="18"/>
                <w:szCs w:val="18"/>
                <w:color w:val="0000EE"/>
                <w:w w:val="89"/>
              </w:rPr>
            </w:pPr>
            <w:hyperlink r:id="rId66">
              <w:r>
                <w:rPr>
                  <w:rFonts w:ascii="Arial" w:cs="Arial" w:eastAsia="Arial" w:hAnsi="Arial"/>
                  <w:sz w:val="18"/>
                  <w:szCs w:val="18"/>
                  <w:color w:val="0000EE"/>
                  <w:w w:val="89"/>
                </w:rPr>
                <w:t>Form of Securities Purchase Agreement entered into between the Company and the Note Investors dated March 21, 2022.</w:t>
              </w:r>
            </w:hyperlink>
          </w:p>
        </w:tc>
        <w:tc>
          <w:tcPr>
            <w:tcW w:w="1320" w:type="dxa"/>
            <w:vAlign w:val="bottom"/>
            <w:tcBorders>
              <w:bottom w:val="single" w:sz="8" w:color="CCEEFF"/>
            </w:tcBorders>
            <w:gridSpan w:val="2"/>
            <w:shd w:val="clear" w:color="auto" w:fill="CCEEFF"/>
          </w:tcPr>
          <w:p>
            <w:pPr>
              <w:spacing w:after="0"/>
              <w:rPr>
                <w:sz w:val="17"/>
                <w:szCs w:val="17"/>
                <w:color w:val="auto"/>
              </w:rPr>
            </w:pP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w w:val="97"/>
              </w:rPr>
              <w:t>10.16</w:t>
            </w:r>
          </w:p>
        </w:tc>
        <w:tc>
          <w:tcPr>
            <w:tcW w:w="560" w:type="dxa"/>
            <w:vAlign w:val="bottom"/>
          </w:tcPr>
          <w:p>
            <w:pPr>
              <w:spacing w:after="0" w:line="176"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5"/>
                <w:szCs w:val="15"/>
                <w:color w:val="auto"/>
              </w:rPr>
            </w:pPr>
          </w:p>
        </w:tc>
        <w:tc>
          <w:tcPr>
            <w:tcW w:w="10100" w:type="dxa"/>
            <w:vAlign w:val="bottom"/>
            <w:gridSpan w:val="52"/>
          </w:tcPr>
          <w:p>
            <w:pPr>
              <w:spacing w:after="0" w:line="176" w:lineRule="exact"/>
              <w:rPr>
                <w:rFonts w:ascii="Arial" w:cs="Arial" w:eastAsia="Arial" w:hAnsi="Arial"/>
                <w:sz w:val="18"/>
                <w:szCs w:val="18"/>
                <w:color w:val="0000EE"/>
              </w:rPr>
            </w:pPr>
            <w:hyperlink r:id="rId67">
              <w:r>
                <w:rPr>
                  <w:rFonts w:ascii="Arial" w:cs="Arial" w:eastAsia="Arial" w:hAnsi="Arial"/>
                  <w:sz w:val="18"/>
                  <w:szCs w:val="18"/>
                  <w:color w:val="0000EE"/>
                </w:rPr>
                <w:t>Form of Senior Secured Convertible Note issued by the Company to the Note Investors dated March 21, 2022.</w:t>
              </w:r>
            </w:hyperlink>
          </w:p>
        </w:tc>
      </w:tr>
      <w:tr>
        <w:trPr>
          <w:trHeight w:val="21"/>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10.17</w:t>
            </w:r>
          </w:p>
        </w:tc>
        <w:tc>
          <w:tcPr>
            <w:tcW w:w="5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9660" w:type="dxa"/>
            <w:vAlign w:val="bottom"/>
            <w:tcBorders>
              <w:bottom w:val="single" w:sz="8" w:color="0000EE"/>
            </w:tcBorders>
            <w:gridSpan w:val="51"/>
            <w:shd w:val="clear" w:color="auto" w:fill="CCEEFF"/>
          </w:tcPr>
          <w:p>
            <w:pPr>
              <w:spacing w:after="0" w:line="176" w:lineRule="exact"/>
              <w:rPr>
                <w:rFonts w:ascii="Arial" w:cs="Arial" w:eastAsia="Arial" w:hAnsi="Arial"/>
                <w:sz w:val="18"/>
                <w:szCs w:val="18"/>
                <w:color w:val="0000EE"/>
                <w:w w:val="89"/>
              </w:rPr>
            </w:pPr>
            <w:hyperlink r:id="rId68">
              <w:r>
                <w:rPr>
                  <w:rFonts w:ascii="Arial" w:cs="Arial" w:eastAsia="Arial" w:hAnsi="Arial"/>
                  <w:sz w:val="18"/>
                  <w:szCs w:val="18"/>
                  <w:color w:val="0000EE"/>
                  <w:w w:val="89"/>
                </w:rPr>
                <w:t>Security and Pledge Agreement entered into between the Company and Stephen J. Garchik as Collateral Agent dated March 21, 2022.</w:t>
              </w:r>
            </w:hyperlink>
          </w:p>
        </w:tc>
        <w:tc>
          <w:tcPr>
            <w:tcW w:w="440" w:type="dxa"/>
            <w:vAlign w:val="bottom"/>
            <w:tcBorders>
              <w:bottom w:val="single" w:sz="8" w:color="CCEEFF"/>
            </w:tcBorders>
            <w:shd w:val="clear" w:color="auto" w:fill="CCEEFF"/>
          </w:tcPr>
          <w:p>
            <w:pPr>
              <w:spacing w:after="0"/>
              <w:rPr>
                <w:sz w:val="17"/>
                <w:szCs w:val="17"/>
                <w:color w:val="auto"/>
              </w:rPr>
            </w:pP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w w:val="97"/>
              </w:rPr>
              <w:t>10.19</w:t>
            </w:r>
          </w:p>
        </w:tc>
        <w:tc>
          <w:tcPr>
            <w:tcW w:w="560" w:type="dxa"/>
            <w:vAlign w:val="bottom"/>
          </w:tcPr>
          <w:p>
            <w:pPr>
              <w:spacing w:after="0" w:line="176"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5"/>
                <w:szCs w:val="15"/>
                <w:color w:val="auto"/>
              </w:rPr>
            </w:pPr>
          </w:p>
        </w:tc>
        <w:tc>
          <w:tcPr>
            <w:tcW w:w="10100" w:type="dxa"/>
            <w:vAlign w:val="bottom"/>
            <w:gridSpan w:val="52"/>
          </w:tcPr>
          <w:p>
            <w:pPr>
              <w:spacing w:after="0" w:line="176" w:lineRule="exact"/>
              <w:rPr>
                <w:rFonts w:ascii="Arial" w:cs="Arial" w:eastAsia="Arial" w:hAnsi="Arial"/>
                <w:sz w:val="18"/>
                <w:szCs w:val="18"/>
                <w:color w:val="0000EE"/>
              </w:rPr>
            </w:pPr>
            <w:hyperlink r:id="rId69">
              <w:r>
                <w:rPr>
                  <w:rFonts w:ascii="Arial" w:cs="Arial" w:eastAsia="Arial" w:hAnsi="Arial"/>
                  <w:sz w:val="18"/>
                  <w:szCs w:val="18"/>
                  <w:color w:val="0000EE"/>
                </w:rPr>
                <w:t>Form of Registration Rights Agreement entered into between the Company and the Note Investors dated March 21, 2022.</w:t>
              </w:r>
            </w:hyperlink>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10.20</w:t>
            </w:r>
          </w:p>
        </w:tc>
        <w:tc>
          <w:tcPr>
            <w:tcW w:w="5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7340" w:type="dxa"/>
            <w:vAlign w:val="bottom"/>
            <w:tcBorders>
              <w:bottom w:val="single" w:sz="8" w:color="0000EE"/>
            </w:tcBorders>
            <w:gridSpan w:val="37"/>
            <w:shd w:val="clear" w:color="auto" w:fill="CCEEFF"/>
          </w:tcPr>
          <w:p>
            <w:pPr>
              <w:spacing w:after="0" w:line="17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Facility Agreement entered into between the Company and Stephen J. Garchik dated March 21, 2022.</w:t>
              </w:r>
            </w:hyperlink>
          </w:p>
        </w:tc>
        <w:tc>
          <w:tcPr>
            <w:tcW w:w="2760" w:type="dxa"/>
            <w:vAlign w:val="bottom"/>
            <w:tcBorders>
              <w:bottom w:val="single" w:sz="8" w:color="CCEEFF"/>
            </w:tcBorders>
            <w:gridSpan w:val="15"/>
            <w:shd w:val="clear" w:color="auto" w:fill="CCEEFF"/>
          </w:tcPr>
          <w:p>
            <w:pPr>
              <w:spacing w:after="0"/>
              <w:rPr>
                <w:sz w:val="17"/>
                <w:szCs w:val="17"/>
                <w:color w:val="auto"/>
              </w:rPr>
            </w:pP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w w:val="97"/>
              </w:rPr>
              <w:t>10.21</w:t>
            </w:r>
          </w:p>
        </w:tc>
        <w:tc>
          <w:tcPr>
            <w:tcW w:w="560" w:type="dxa"/>
            <w:vAlign w:val="bottom"/>
          </w:tcPr>
          <w:p>
            <w:pPr>
              <w:spacing w:after="0" w:line="176"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5"/>
                <w:szCs w:val="15"/>
                <w:color w:val="auto"/>
              </w:rPr>
            </w:pPr>
          </w:p>
        </w:tc>
        <w:tc>
          <w:tcPr>
            <w:tcW w:w="10100" w:type="dxa"/>
            <w:vAlign w:val="bottom"/>
            <w:gridSpan w:val="52"/>
          </w:tcPr>
          <w:p>
            <w:pPr>
              <w:spacing w:after="0" w:line="176" w:lineRule="exact"/>
              <w:rPr>
                <w:rFonts w:ascii="Arial" w:cs="Arial" w:eastAsia="Arial" w:hAnsi="Arial"/>
                <w:sz w:val="18"/>
                <w:szCs w:val="18"/>
                <w:color w:val="0000EE"/>
              </w:rPr>
            </w:pPr>
            <w:hyperlink r:id="rId71">
              <w:r>
                <w:rPr>
                  <w:rFonts w:ascii="Arial" w:cs="Arial" w:eastAsia="Arial" w:hAnsi="Arial"/>
                  <w:sz w:val="18"/>
                  <w:szCs w:val="18"/>
                  <w:color w:val="0000EE"/>
                </w:rPr>
                <w:t>Form of Subscription Agreement entered into between the Company and the PIPE Investors dated March 21, 2022.</w:t>
              </w:r>
            </w:hyperlink>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7"/>
              </w:rPr>
              <w:t>10.22</w:t>
            </w:r>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7"/>
                <w:szCs w:val="17"/>
                <w:color w:val="auto"/>
              </w:rPr>
            </w:pPr>
          </w:p>
        </w:tc>
        <w:tc>
          <w:tcPr>
            <w:tcW w:w="10100" w:type="dxa"/>
            <w:vAlign w:val="bottom"/>
            <w:gridSpan w:val="52"/>
            <w:shd w:val="clear" w:color="auto" w:fill="CCEEFF"/>
          </w:tcPr>
          <w:p>
            <w:pPr>
              <w:spacing w:after="0" w:line="176" w:lineRule="exact"/>
              <w:rPr>
                <w:rFonts w:ascii="Arial" w:cs="Arial" w:eastAsia="Arial" w:hAnsi="Arial"/>
                <w:sz w:val="18"/>
                <w:szCs w:val="18"/>
                <w:color w:val="0000EE"/>
              </w:rPr>
            </w:pPr>
            <w:hyperlink r:id="rId72">
              <w:r>
                <w:rPr>
                  <w:rFonts w:ascii="Arial" w:cs="Arial" w:eastAsia="Arial" w:hAnsi="Arial"/>
                  <w:sz w:val="18"/>
                  <w:szCs w:val="18"/>
                  <w:color w:val="0000EE"/>
                </w:rPr>
                <w:t>Letter Agreement between Joseph Trelin and AuthID Inc. dated April 18, 2022</w:t>
              </w:r>
            </w:hyperlink>
          </w:p>
        </w:tc>
      </w:tr>
      <w:tr>
        <w:trPr>
          <w:trHeight w:val="176"/>
        </w:trPr>
        <w:tc>
          <w:tcPr>
            <w:tcW w:w="4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7"/>
              </w:rPr>
              <w:t>10.23</w:t>
            </w:r>
          </w:p>
        </w:tc>
        <w:tc>
          <w:tcPr>
            <w:tcW w:w="5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tcPr>
          <w:p>
            <w:pPr>
              <w:spacing w:after="0"/>
              <w:rPr>
                <w:sz w:val="15"/>
                <w:szCs w:val="15"/>
                <w:color w:val="auto"/>
              </w:rPr>
            </w:pPr>
          </w:p>
        </w:tc>
        <w:tc>
          <w:tcPr>
            <w:tcW w:w="5680" w:type="dxa"/>
            <w:vAlign w:val="bottom"/>
            <w:tcBorders>
              <w:top w:val="single" w:sz="8" w:color="0000EE"/>
            </w:tcBorders>
            <w:gridSpan w:val="19"/>
          </w:tcPr>
          <w:p>
            <w:pPr>
              <w:spacing w:after="0" w:line="176" w:lineRule="exact"/>
              <w:rPr>
                <w:rFonts w:ascii="Arial" w:cs="Arial" w:eastAsia="Arial" w:hAnsi="Arial"/>
                <w:sz w:val="18"/>
                <w:szCs w:val="18"/>
                <w:color w:val="0000EE"/>
                <w:w w:val="92"/>
              </w:rPr>
            </w:pPr>
            <w:hyperlink r:id="rId73">
              <w:r>
                <w:rPr>
                  <w:rFonts w:ascii="Arial" w:cs="Arial" w:eastAsia="Arial" w:hAnsi="Arial"/>
                  <w:sz w:val="18"/>
                  <w:szCs w:val="18"/>
                  <w:color w:val="0000EE"/>
                  <w:w w:val="92"/>
                </w:rPr>
                <w:t>Letter Agreement between Annie Pham and AuthID Inc. dated April 25, 2022</w:t>
              </w:r>
            </w:hyperlink>
          </w:p>
        </w:tc>
        <w:tc>
          <w:tcPr>
            <w:tcW w:w="4420" w:type="dxa"/>
            <w:vAlign w:val="bottom"/>
            <w:tcBorders>
              <w:top w:val="single" w:sz="8" w:color="CCEEFF"/>
            </w:tcBorders>
            <w:gridSpan w:val="33"/>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10.24</w:t>
            </w:r>
          </w:p>
        </w:tc>
        <w:tc>
          <w:tcPr>
            <w:tcW w:w="5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17"/>
                <w:szCs w:val="17"/>
                <w:color w:val="auto"/>
              </w:rPr>
            </w:pPr>
          </w:p>
        </w:tc>
        <w:tc>
          <w:tcPr>
            <w:tcW w:w="8060" w:type="dxa"/>
            <w:vAlign w:val="bottom"/>
            <w:tcBorders>
              <w:bottom w:val="single" w:sz="8" w:color="0000EE"/>
            </w:tcBorders>
            <w:gridSpan w:val="46"/>
            <w:shd w:val="clear" w:color="auto" w:fill="CCEEFF"/>
          </w:tcPr>
          <w:p>
            <w:pPr>
              <w:spacing w:after="0" w:line="176" w:lineRule="exact"/>
              <w:rPr>
                <w:rFonts w:ascii="Arial" w:cs="Arial" w:eastAsia="Arial" w:hAnsi="Arial"/>
                <w:sz w:val="18"/>
                <w:szCs w:val="18"/>
                <w:color w:val="0000EE"/>
                <w:w w:val="89"/>
              </w:rPr>
            </w:pPr>
            <w:hyperlink r:id="rId74">
              <w:r>
                <w:rPr>
                  <w:rFonts w:ascii="Arial" w:cs="Arial" w:eastAsia="Arial" w:hAnsi="Arial"/>
                  <w:sz w:val="18"/>
                  <w:szCs w:val="18"/>
                  <w:color w:val="0000EE"/>
                  <w:w w:val="89"/>
                </w:rPr>
                <w:t>Amended and Restated Facility Agreement between the Company and Stephen J. Garchik dated March 8, 2023.</w:t>
              </w:r>
            </w:hyperlink>
          </w:p>
        </w:tc>
        <w:tc>
          <w:tcPr>
            <w:tcW w:w="2040" w:type="dxa"/>
            <w:vAlign w:val="bottom"/>
            <w:tcBorders>
              <w:bottom w:val="single" w:sz="8" w:color="CCEEFF"/>
            </w:tcBorders>
            <w:gridSpan w:val="6"/>
            <w:shd w:val="clear" w:color="auto" w:fill="CCEEFF"/>
          </w:tcPr>
          <w:p>
            <w:pPr>
              <w:spacing w:after="0"/>
              <w:rPr>
                <w:sz w:val="17"/>
                <w:szCs w:val="17"/>
                <w:color w:val="auto"/>
              </w:rPr>
            </w:pP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w w:val="97"/>
              </w:rPr>
              <w:t>10.25</w:t>
            </w:r>
          </w:p>
        </w:tc>
        <w:tc>
          <w:tcPr>
            <w:tcW w:w="560" w:type="dxa"/>
            <w:vAlign w:val="bottom"/>
          </w:tcPr>
          <w:p>
            <w:pPr>
              <w:spacing w:after="0" w:line="176"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5"/>
                <w:szCs w:val="15"/>
                <w:color w:val="auto"/>
              </w:rPr>
            </w:pPr>
          </w:p>
        </w:tc>
        <w:tc>
          <w:tcPr>
            <w:tcW w:w="10100" w:type="dxa"/>
            <w:vAlign w:val="bottom"/>
            <w:gridSpan w:val="52"/>
          </w:tcPr>
          <w:p>
            <w:pPr>
              <w:spacing w:after="0" w:line="176" w:lineRule="exact"/>
              <w:rPr>
                <w:rFonts w:ascii="Arial" w:cs="Arial" w:eastAsia="Arial" w:hAnsi="Arial"/>
                <w:sz w:val="18"/>
                <w:szCs w:val="18"/>
                <w:color w:val="0000EE"/>
              </w:rPr>
            </w:pPr>
            <w:hyperlink r:id="rId75">
              <w:r>
                <w:rPr>
                  <w:rFonts w:ascii="Arial" w:cs="Arial" w:eastAsia="Arial" w:hAnsi="Arial"/>
                  <w:sz w:val="18"/>
                  <w:szCs w:val="18"/>
                  <w:color w:val="0000EE"/>
                </w:rPr>
                <w:t>Promissory Note between the Company and Stephen J. Garchik dated March 9, 2023.</w:t>
              </w:r>
            </w:hyperlink>
          </w:p>
        </w:tc>
      </w:tr>
      <w:tr>
        <w:trPr>
          <w:trHeight w:val="21"/>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10.26</w:t>
            </w:r>
          </w:p>
        </w:tc>
        <w:tc>
          <w:tcPr>
            <w:tcW w:w="5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52"/>
            <w:shd w:val="clear" w:color="auto" w:fill="CCEEFF"/>
          </w:tcPr>
          <w:p>
            <w:pPr>
              <w:spacing w:after="0" w:line="17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Guaranty Agreement by FIN Holdings Inc., Innovation in Motion, Inc. and ID Solutions, Inc. in favor of Stephen J. Garchik dated March 9,</w:t>
              </w:r>
            </w:hyperlink>
          </w:p>
        </w:tc>
      </w:tr>
      <w:tr>
        <w:trPr>
          <w:trHeight w:val="196"/>
        </w:trPr>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2023.</w:t>
              </w:r>
            </w:hyperlink>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w w:val="97"/>
              </w:rPr>
              <w:t>10.27</w:t>
            </w:r>
          </w:p>
        </w:tc>
        <w:tc>
          <w:tcPr>
            <w:tcW w:w="560" w:type="dxa"/>
            <w:vAlign w:val="bottom"/>
          </w:tcPr>
          <w:p>
            <w:pPr>
              <w:spacing w:after="0" w:line="176"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5"/>
                <w:szCs w:val="15"/>
                <w:color w:val="auto"/>
              </w:rPr>
            </w:pPr>
          </w:p>
        </w:tc>
        <w:tc>
          <w:tcPr>
            <w:tcW w:w="10100" w:type="dxa"/>
            <w:vAlign w:val="bottom"/>
            <w:gridSpan w:val="52"/>
          </w:tcPr>
          <w:p>
            <w:pPr>
              <w:spacing w:after="0" w:line="176" w:lineRule="exact"/>
              <w:rPr>
                <w:rFonts w:ascii="Arial" w:cs="Arial" w:eastAsia="Arial" w:hAnsi="Arial"/>
                <w:sz w:val="18"/>
                <w:szCs w:val="18"/>
                <w:color w:val="0000EE"/>
              </w:rPr>
            </w:pPr>
            <w:hyperlink r:id="rId77">
              <w:r>
                <w:rPr>
                  <w:rFonts w:ascii="Arial" w:cs="Arial" w:eastAsia="Arial" w:hAnsi="Arial"/>
                  <w:sz w:val="18"/>
                  <w:szCs w:val="18"/>
                  <w:color w:val="0000EE"/>
                </w:rPr>
                <w:t>Release Agreement between the Company and Stephen J. Garchik dated March 9, 2023.</w:t>
              </w:r>
            </w:hyperlink>
          </w:p>
        </w:tc>
      </w:tr>
      <w:tr>
        <w:trPr>
          <w:trHeight w:val="21"/>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7"/>
              </w:rPr>
              <w:t>10.28</w:t>
            </w:r>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5"/>
                <w:szCs w:val="15"/>
                <w:color w:val="auto"/>
              </w:rPr>
            </w:pPr>
          </w:p>
        </w:tc>
        <w:tc>
          <w:tcPr>
            <w:tcW w:w="10100" w:type="dxa"/>
            <w:vAlign w:val="bottom"/>
            <w:gridSpan w:val="52"/>
            <w:shd w:val="clear" w:color="auto" w:fill="CCEEFF"/>
          </w:tcPr>
          <w:p>
            <w:pPr>
              <w:spacing w:after="0" w:line="176" w:lineRule="exact"/>
              <w:rPr>
                <w:rFonts w:ascii="Arial" w:cs="Arial" w:eastAsia="Arial" w:hAnsi="Arial"/>
                <w:sz w:val="18"/>
                <w:szCs w:val="18"/>
                <w:color w:val="0000EE"/>
              </w:rPr>
            </w:pPr>
            <w:hyperlink r:id="rId78">
              <w:r>
                <w:rPr>
                  <w:rFonts w:ascii="Arial" w:cs="Arial" w:eastAsia="Arial" w:hAnsi="Arial"/>
                  <w:sz w:val="18"/>
                  <w:szCs w:val="18"/>
                  <w:color w:val="0000EE"/>
                </w:rPr>
                <w:t>Letter Agreement between Rhoniel Daguro and AuthID Inc. dated March 23, 2023</w:t>
              </w:r>
            </w:hyperlink>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w w:val="97"/>
              </w:rPr>
              <w:t>10.29</w:t>
            </w:r>
          </w:p>
        </w:tc>
        <w:tc>
          <w:tcPr>
            <w:tcW w:w="560" w:type="dxa"/>
            <w:vAlign w:val="bottom"/>
          </w:tcPr>
          <w:p>
            <w:pPr>
              <w:spacing w:after="0" w:line="176" w:lineRule="exact"/>
              <w:rPr>
                <w:sz w:val="20"/>
                <w:szCs w:val="20"/>
                <w:color w:val="auto"/>
              </w:rPr>
            </w:pPr>
            <w:r>
              <w:rPr>
                <w:rFonts w:ascii="Arial" w:cs="Arial" w:eastAsia="Arial" w:hAnsi="Arial"/>
                <w:sz w:val="18"/>
                <w:szCs w:val="18"/>
                <w:color w:val="auto"/>
              </w:rPr>
              <w:t>(17)</w:t>
            </w:r>
          </w:p>
        </w:tc>
        <w:tc>
          <w:tcPr>
            <w:tcW w:w="120" w:type="dxa"/>
            <w:vAlign w:val="bottom"/>
          </w:tcPr>
          <w:p>
            <w:pPr>
              <w:spacing w:after="0"/>
              <w:rPr>
                <w:sz w:val="15"/>
                <w:szCs w:val="15"/>
                <w:color w:val="auto"/>
              </w:rPr>
            </w:pPr>
          </w:p>
        </w:tc>
        <w:tc>
          <w:tcPr>
            <w:tcW w:w="10100" w:type="dxa"/>
            <w:vAlign w:val="bottom"/>
            <w:gridSpan w:val="52"/>
          </w:tcPr>
          <w:p>
            <w:pPr>
              <w:spacing w:after="0" w:line="176" w:lineRule="exact"/>
              <w:rPr>
                <w:rFonts w:ascii="Arial" w:cs="Arial" w:eastAsia="Arial" w:hAnsi="Arial"/>
                <w:sz w:val="18"/>
                <w:szCs w:val="18"/>
                <w:color w:val="0000EE"/>
              </w:rPr>
            </w:pPr>
            <w:hyperlink r:id="rId79">
              <w:r>
                <w:rPr>
                  <w:rFonts w:ascii="Arial" w:cs="Arial" w:eastAsia="Arial" w:hAnsi="Arial"/>
                  <w:sz w:val="18"/>
                  <w:szCs w:val="18"/>
                  <w:color w:val="0000EE"/>
                </w:rPr>
                <w:t>Executive Retention Agreement between Rhoniel Daguro and AuthID Inc. dated March 23, 2023</w:t>
              </w:r>
            </w:hyperlink>
          </w:p>
        </w:tc>
      </w:tr>
      <w:tr>
        <w:trPr>
          <w:trHeight w:val="21"/>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7"/>
              </w:rPr>
              <w:t>10.30</w:t>
            </w:r>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7"/>
                <w:szCs w:val="17"/>
                <w:color w:val="auto"/>
              </w:rPr>
            </w:pPr>
          </w:p>
        </w:tc>
        <w:tc>
          <w:tcPr>
            <w:tcW w:w="10100" w:type="dxa"/>
            <w:vAlign w:val="bottom"/>
            <w:gridSpan w:val="52"/>
            <w:shd w:val="clear" w:color="auto" w:fill="CCEEFF"/>
          </w:tcPr>
          <w:p>
            <w:pPr>
              <w:spacing w:after="0" w:line="176" w:lineRule="exact"/>
              <w:rPr>
                <w:rFonts w:ascii="Arial" w:cs="Arial" w:eastAsia="Arial" w:hAnsi="Arial"/>
                <w:sz w:val="18"/>
                <w:szCs w:val="18"/>
                <w:color w:val="0000EE"/>
              </w:rPr>
            </w:pPr>
            <w:hyperlink r:id="rId80">
              <w:r>
                <w:rPr>
                  <w:rFonts w:ascii="Arial" w:cs="Arial" w:eastAsia="Arial" w:hAnsi="Arial"/>
                  <w:sz w:val="18"/>
                  <w:szCs w:val="18"/>
                  <w:color w:val="0000EE"/>
                </w:rPr>
                <w:t>Confidential Separation Agreement and General Release between Thomas Thimot and authID Inc. Dated March 23, 2023</w:t>
              </w:r>
            </w:hyperlink>
          </w:p>
        </w:tc>
      </w:tr>
      <w:tr>
        <w:trPr>
          <w:trHeight w:val="175"/>
        </w:trPr>
        <w:tc>
          <w:tcPr>
            <w:tcW w:w="4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7"/>
              </w:rPr>
              <w:t>10.31</w:t>
            </w:r>
          </w:p>
        </w:tc>
        <w:tc>
          <w:tcPr>
            <w:tcW w:w="5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tcPr>
          <w:p>
            <w:pPr>
              <w:spacing w:after="0"/>
              <w:rPr>
                <w:sz w:val="15"/>
                <w:szCs w:val="15"/>
                <w:color w:val="auto"/>
              </w:rPr>
            </w:pPr>
          </w:p>
        </w:tc>
        <w:tc>
          <w:tcPr>
            <w:tcW w:w="8760" w:type="dxa"/>
            <w:vAlign w:val="bottom"/>
            <w:tcBorders>
              <w:top w:val="single" w:sz="8" w:color="0000EE"/>
            </w:tcBorders>
            <w:gridSpan w:val="49"/>
          </w:tcPr>
          <w:p>
            <w:pPr>
              <w:spacing w:after="0" w:line="176" w:lineRule="exact"/>
              <w:rPr>
                <w:rFonts w:ascii="Arial" w:cs="Arial" w:eastAsia="Arial" w:hAnsi="Arial"/>
                <w:sz w:val="18"/>
                <w:szCs w:val="18"/>
                <w:color w:val="0000EE"/>
              </w:rPr>
            </w:pPr>
            <w:hyperlink r:id="rId81">
              <w:r>
                <w:rPr>
                  <w:rFonts w:ascii="Arial" w:cs="Arial" w:eastAsia="Arial" w:hAnsi="Arial"/>
                  <w:sz w:val="18"/>
                  <w:szCs w:val="18"/>
                  <w:color w:val="0000EE"/>
                </w:rPr>
                <w:t>Letter Agreement between Thomas Szoke and AuthID Inc. dated April 12, 2023</w:t>
              </w:r>
            </w:hyperlink>
          </w:p>
        </w:tc>
        <w:tc>
          <w:tcPr>
            <w:tcW w:w="1340" w:type="dxa"/>
            <w:vAlign w:val="bottom"/>
            <w:tcBorders>
              <w:top w:val="single" w:sz="8" w:color="CCEEFF"/>
            </w:tcBorders>
            <w:gridSpan w:val="3"/>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10.32</w:t>
            </w:r>
          </w:p>
        </w:tc>
        <w:tc>
          <w:tcPr>
            <w:tcW w:w="5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17"/>
                <w:szCs w:val="17"/>
                <w:color w:val="auto"/>
              </w:rPr>
            </w:pPr>
          </w:p>
        </w:tc>
        <w:tc>
          <w:tcPr>
            <w:tcW w:w="6820" w:type="dxa"/>
            <w:vAlign w:val="bottom"/>
            <w:tcBorders>
              <w:bottom w:val="single" w:sz="8" w:color="0000EE"/>
            </w:tcBorders>
            <w:gridSpan w:val="32"/>
            <w:shd w:val="clear" w:color="auto" w:fill="CCEEFF"/>
          </w:tcPr>
          <w:p>
            <w:pPr>
              <w:spacing w:after="0" w:line="17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Executive Retention Agreement between Thomas Szoke and AuthID Inc. dated April 12, 2023</w:t>
              </w:r>
            </w:hyperlink>
          </w:p>
        </w:tc>
        <w:tc>
          <w:tcPr>
            <w:tcW w:w="3280" w:type="dxa"/>
            <w:vAlign w:val="bottom"/>
            <w:tcBorders>
              <w:bottom w:val="single" w:sz="8" w:color="CCEEFF"/>
            </w:tcBorders>
            <w:gridSpan w:val="20"/>
            <w:shd w:val="clear" w:color="auto" w:fill="CCEEFF"/>
          </w:tcPr>
          <w:p>
            <w:pPr>
              <w:spacing w:after="0"/>
              <w:rPr>
                <w:sz w:val="17"/>
                <w:szCs w:val="17"/>
                <w:color w:val="auto"/>
              </w:rPr>
            </w:pP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w w:val="97"/>
              </w:rPr>
              <w:t>10.33</w:t>
            </w:r>
          </w:p>
        </w:tc>
        <w:tc>
          <w:tcPr>
            <w:tcW w:w="560" w:type="dxa"/>
            <w:vAlign w:val="bottom"/>
          </w:tcPr>
          <w:p>
            <w:pPr>
              <w:spacing w:after="0" w:line="176"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10100" w:type="dxa"/>
            <w:vAlign w:val="bottom"/>
            <w:gridSpan w:val="52"/>
          </w:tcPr>
          <w:p>
            <w:pPr>
              <w:spacing w:after="0" w:line="176" w:lineRule="exact"/>
              <w:rPr>
                <w:rFonts w:ascii="Arial" w:cs="Arial" w:eastAsia="Arial" w:hAnsi="Arial"/>
                <w:sz w:val="18"/>
                <w:szCs w:val="18"/>
                <w:color w:val="0000EE"/>
              </w:rPr>
            </w:pPr>
            <w:hyperlink r:id="rId83">
              <w:r>
                <w:rPr>
                  <w:rFonts w:ascii="Arial" w:cs="Arial" w:eastAsia="Arial" w:hAnsi="Arial"/>
                  <w:sz w:val="18"/>
                  <w:szCs w:val="18"/>
                  <w:color w:val="0000EE"/>
                </w:rPr>
                <w:t>Executive Retention Agreement between Annie Pham and AuthID Inc. dated May 11, 2023</w:t>
              </w:r>
            </w:hyperlink>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10.34</w:t>
            </w:r>
          </w:p>
        </w:tc>
        <w:tc>
          <w:tcPr>
            <w:tcW w:w="5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17"/>
                <w:szCs w:val="17"/>
                <w:color w:val="auto"/>
              </w:rPr>
            </w:pPr>
          </w:p>
        </w:tc>
        <w:tc>
          <w:tcPr>
            <w:tcW w:w="8200" w:type="dxa"/>
            <w:vAlign w:val="bottom"/>
            <w:tcBorders>
              <w:bottom w:val="single" w:sz="8" w:color="0000EE"/>
            </w:tcBorders>
            <w:gridSpan w:val="47"/>
            <w:shd w:val="clear" w:color="auto" w:fill="CCEEFF"/>
          </w:tcPr>
          <w:p>
            <w:pPr>
              <w:spacing w:after="0" w:line="176" w:lineRule="exact"/>
              <w:rPr>
                <w:rFonts w:ascii="Arial" w:cs="Arial" w:eastAsia="Arial" w:hAnsi="Arial"/>
                <w:sz w:val="18"/>
                <w:szCs w:val="18"/>
                <w:color w:val="0000EE"/>
                <w:w w:val="89"/>
              </w:rPr>
            </w:pPr>
            <w:hyperlink r:id="rId84">
              <w:r>
                <w:rPr>
                  <w:rFonts w:ascii="Arial" w:cs="Arial" w:eastAsia="Arial" w:hAnsi="Arial"/>
                  <w:sz w:val="18"/>
                  <w:szCs w:val="18"/>
                  <w:color w:val="0000EE"/>
                  <w:w w:val="89"/>
                </w:rPr>
                <w:t>Form of Securities Purchase Agreement dated as of May 23, 2023 between the Company and accredited investors</w:t>
              </w:r>
            </w:hyperlink>
          </w:p>
        </w:tc>
        <w:tc>
          <w:tcPr>
            <w:tcW w:w="1900" w:type="dxa"/>
            <w:vAlign w:val="bottom"/>
            <w:tcBorders>
              <w:bottom w:val="single" w:sz="8" w:color="CCEEFF"/>
            </w:tcBorders>
            <w:gridSpan w:val="5"/>
            <w:shd w:val="clear" w:color="auto" w:fill="CCEEFF"/>
          </w:tcPr>
          <w:p>
            <w:pPr>
              <w:spacing w:after="0"/>
              <w:rPr>
                <w:sz w:val="17"/>
                <w:szCs w:val="17"/>
                <w:color w:val="auto"/>
              </w:rPr>
            </w:pP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w w:val="97"/>
              </w:rPr>
              <w:t>10.35</w:t>
            </w:r>
          </w:p>
        </w:tc>
        <w:tc>
          <w:tcPr>
            <w:tcW w:w="560" w:type="dxa"/>
            <w:vAlign w:val="bottom"/>
          </w:tcPr>
          <w:p>
            <w:pPr>
              <w:spacing w:after="0" w:line="176"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5"/>
                <w:szCs w:val="15"/>
                <w:color w:val="auto"/>
              </w:rPr>
            </w:pPr>
          </w:p>
        </w:tc>
        <w:tc>
          <w:tcPr>
            <w:tcW w:w="10100" w:type="dxa"/>
            <w:vAlign w:val="bottom"/>
            <w:gridSpan w:val="52"/>
          </w:tcPr>
          <w:p>
            <w:pPr>
              <w:spacing w:after="0" w:line="176" w:lineRule="exact"/>
              <w:rPr>
                <w:rFonts w:ascii="Arial" w:cs="Arial" w:eastAsia="Arial" w:hAnsi="Arial"/>
                <w:sz w:val="18"/>
                <w:szCs w:val="18"/>
                <w:color w:val="0000EE"/>
              </w:rPr>
            </w:pPr>
            <w:hyperlink r:id="rId85">
              <w:r>
                <w:rPr>
                  <w:rFonts w:ascii="Arial" w:cs="Arial" w:eastAsia="Arial" w:hAnsi="Arial"/>
                  <w:sz w:val="18"/>
                  <w:szCs w:val="18"/>
                  <w:color w:val="0000EE"/>
                </w:rPr>
                <w:t>Engagement Agreement dated as of April 20, 2023 between the Company and Madison Global Partners LLC</w:t>
              </w:r>
            </w:hyperlink>
          </w:p>
        </w:tc>
      </w:tr>
      <w:tr>
        <w:trPr>
          <w:trHeight w:val="21"/>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10.36</w:t>
            </w:r>
          </w:p>
        </w:tc>
        <w:tc>
          <w:tcPr>
            <w:tcW w:w="5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17"/>
                <w:szCs w:val="17"/>
                <w:color w:val="auto"/>
              </w:rPr>
            </w:pPr>
          </w:p>
        </w:tc>
        <w:tc>
          <w:tcPr>
            <w:tcW w:w="612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Stock Purchase Warrant dated May 26, 2023 issued to Madison Global Partners LLC</w:t>
              </w:r>
            </w:hyperlink>
          </w:p>
        </w:tc>
        <w:tc>
          <w:tcPr>
            <w:tcW w:w="3980" w:type="dxa"/>
            <w:vAlign w:val="bottom"/>
            <w:tcBorders>
              <w:bottom w:val="single" w:sz="8" w:color="CCEEFF"/>
            </w:tcBorders>
            <w:gridSpan w:val="28"/>
            <w:shd w:val="clear" w:color="auto" w:fill="CCEEFF"/>
          </w:tcPr>
          <w:p>
            <w:pPr>
              <w:spacing w:after="0"/>
              <w:rPr>
                <w:sz w:val="17"/>
                <w:szCs w:val="17"/>
                <w:color w:val="auto"/>
              </w:rPr>
            </w:pPr>
          </w:p>
        </w:tc>
      </w:tr>
      <w:tr>
        <w:trPr>
          <w:trHeight w:val="175"/>
        </w:trPr>
        <w:tc>
          <w:tcPr>
            <w:tcW w:w="460" w:type="dxa"/>
            <w:vAlign w:val="bottom"/>
          </w:tcPr>
          <w:p>
            <w:pPr>
              <w:spacing w:after="0" w:line="176" w:lineRule="exact"/>
              <w:rPr>
                <w:sz w:val="20"/>
                <w:szCs w:val="20"/>
                <w:color w:val="auto"/>
              </w:rPr>
            </w:pPr>
            <w:r>
              <w:rPr>
                <w:rFonts w:ascii="Arial" w:cs="Arial" w:eastAsia="Arial" w:hAnsi="Arial"/>
                <w:sz w:val="18"/>
                <w:szCs w:val="18"/>
                <w:color w:val="auto"/>
                <w:w w:val="97"/>
              </w:rPr>
              <w:t>10.37</w:t>
            </w:r>
          </w:p>
        </w:tc>
        <w:tc>
          <w:tcPr>
            <w:tcW w:w="560" w:type="dxa"/>
            <w:vAlign w:val="bottom"/>
          </w:tcPr>
          <w:p>
            <w:pPr>
              <w:spacing w:after="0" w:line="176"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5"/>
                <w:szCs w:val="15"/>
                <w:color w:val="auto"/>
              </w:rPr>
            </w:pPr>
          </w:p>
        </w:tc>
        <w:tc>
          <w:tcPr>
            <w:tcW w:w="10100" w:type="dxa"/>
            <w:vAlign w:val="bottom"/>
            <w:gridSpan w:val="52"/>
          </w:tcPr>
          <w:p>
            <w:pPr>
              <w:spacing w:after="0" w:line="176" w:lineRule="exact"/>
              <w:rPr>
                <w:rFonts w:ascii="Arial" w:cs="Arial" w:eastAsia="Arial" w:hAnsi="Arial"/>
                <w:sz w:val="18"/>
                <w:szCs w:val="18"/>
                <w:color w:val="0000EE"/>
              </w:rPr>
            </w:pPr>
            <w:hyperlink r:id="rId87">
              <w:r>
                <w:rPr>
                  <w:rFonts w:ascii="Arial" w:cs="Arial" w:eastAsia="Arial" w:hAnsi="Arial"/>
                  <w:sz w:val="18"/>
                  <w:szCs w:val="18"/>
                  <w:color w:val="0000EE"/>
                </w:rPr>
                <w:t>Form of Exchange Agreement dated as of May 23, 2023 between the Company and certain Holders</w:t>
              </w:r>
            </w:hyperlink>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10.38</w:t>
            </w:r>
          </w:p>
        </w:tc>
        <w:tc>
          <w:tcPr>
            <w:tcW w:w="5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17"/>
                <w:szCs w:val="17"/>
                <w:color w:val="auto"/>
              </w:rPr>
            </w:pPr>
          </w:p>
        </w:tc>
        <w:tc>
          <w:tcPr>
            <w:tcW w:w="572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Letter Agreement between Edward Sellitto and authID Inc. dated July 31, 2023</w:t>
              </w:r>
            </w:hyperlink>
          </w:p>
        </w:tc>
        <w:tc>
          <w:tcPr>
            <w:tcW w:w="4380" w:type="dxa"/>
            <w:vAlign w:val="bottom"/>
            <w:tcBorders>
              <w:bottom w:val="single" w:sz="8" w:color="CCEEFF"/>
            </w:tcBorders>
            <w:gridSpan w:val="32"/>
            <w:shd w:val="clear" w:color="auto" w:fill="CCEEFF"/>
          </w:tcPr>
          <w:p>
            <w:pPr>
              <w:spacing w:after="0"/>
              <w:rPr>
                <w:sz w:val="17"/>
                <w:szCs w:val="17"/>
                <w:color w:val="auto"/>
              </w:rPr>
            </w:pP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w w:val="97"/>
              </w:rPr>
              <w:t>10.39</w:t>
            </w:r>
          </w:p>
        </w:tc>
        <w:tc>
          <w:tcPr>
            <w:tcW w:w="560" w:type="dxa"/>
            <w:vAlign w:val="bottom"/>
          </w:tcPr>
          <w:p>
            <w:pPr>
              <w:spacing w:after="0" w:line="176" w:lineRule="exact"/>
              <w:rPr>
                <w:sz w:val="20"/>
                <w:szCs w:val="20"/>
                <w:color w:val="auto"/>
              </w:rPr>
            </w:pPr>
            <w:r>
              <w:rPr>
                <w:rFonts w:ascii="Arial" w:cs="Arial" w:eastAsia="Arial" w:hAnsi="Arial"/>
                <w:sz w:val="18"/>
                <w:szCs w:val="18"/>
                <w:color w:val="auto"/>
              </w:rPr>
              <w:t>(25)</w:t>
            </w:r>
          </w:p>
        </w:tc>
        <w:tc>
          <w:tcPr>
            <w:tcW w:w="120" w:type="dxa"/>
            <w:vAlign w:val="bottom"/>
          </w:tcPr>
          <w:p>
            <w:pPr>
              <w:spacing w:after="0"/>
              <w:rPr>
                <w:sz w:val="15"/>
                <w:szCs w:val="15"/>
                <w:color w:val="auto"/>
              </w:rPr>
            </w:pPr>
          </w:p>
        </w:tc>
        <w:tc>
          <w:tcPr>
            <w:tcW w:w="10100" w:type="dxa"/>
            <w:vAlign w:val="bottom"/>
            <w:gridSpan w:val="52"/>
          </w:tcPr>
          <w:p>
            <w:pPr>
              <w:spacing w:after="0" w:line="176" w:lineRule="exact"/>
              <w:rPr>
                <w:rFonts w:ascii="Arial" w:cs="Arial" w:eastAsia="Arial" w:hAnsi="Arial"/>
                <w:sz w:val="18"/>
                <w:szCs w:val="18"/>
                <w:color w:val="0000EE"/>
              </w:rPr>
            </w:pPr>
            <w:hyperlink r:id="rId89">
              <w:r>
                <w:rPr>
                  <w:rFonts w:ascii="Arial" w:cs="Arial" w:eastAsia="Arial" w:hAnsi="Arial"/>
                  <w:sz w:val="18"/>
                  <w:szCs w:val="18"/>
                  <w:color w:val="0000EE"/>
                </w:rPr>
                <w:t>Agreement dated October 25, 2023 between The Pipeline Group, Inc. and authID Inc.</w:t>
              </w:r>
            </w:hyperlink>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14.1*</w:t>
            </w: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90"/>
              </w:rPr>
              <w:t>Code of Ethics</w:t>
            </w:r>
          </w:p>
        </w:tc>
        <w:tc>
          <w:tcPr>
            <w:tcW w:w="9020" w:type="dxa"/>
            <w:vAlign w:val="bottom"/>
            <w:tcBorders>
              <w:bottom w:val="single" w:sz="8" w:color="CCEEFF"/>
            </w:tcBorders>
            <w:gridSpan w:val="50"/>
            <w:shd w:val="clear" w:color="auto" w:fill="CCEEFF"/>
          </w:tcPr>
          <w:p>
            <w:pPr>
              <w:spacing w:after="0"/>
              <w:rPr>
                <w:sz w:val="17"/>
                <w:szCs w:val="17"/>
                <w:color w:val="auto"/>
              </w:rPr>
            </w:pPr>
          </w:p>
        </w:tc>
      </w:tr>
      <w:tr>
        <w:trPr>
          <w:trHeight w:val="175"/>
        </w:trPr>
        <w:tc>
          <w:tcPr>
            <w:tcW w:w="1020" w:type="dxa"/>
            <w:vAlign w:val="bottom"/>
            <w:gridSpan w:val="2"/>
          </w:tcPr>
          <w:p>
            <w:pPr>
              <w:spacing w:after="0" w:line="176" w:lineRule="exact"/>
              <w:rPr>
                <w:sz w:val="20"/>
                <w:szCs w:val="20"/>
                <w:color w:val="auto"/>
              </w:rPr>
            </w:pPr>
            <w:r>
              <w:rPr>
                <w:rFonts w:ascii="Arial" w:cs="Arial" w:eastAsia="Arial" w:hAnsi="Arial"/>
                <w:sz w:val="18"/>
                <w:szCs w:val="18"/>
                <w:color w:val="auto"/>
              </w:rPr>
              <w:t>21.1 (20)</w:t>
            </w:r>
          </w:p>
        </w:tc>
        <w:tc>
          <w:tcPr>
            <w:tcW w:w="120" w:type="dxa"/>
            <w:vAlign w:val="bottom"/>
          </w:tcPr>
          <w:p>
            <w:pPr>
              <w:spacing w:after="0"/>
              <w:rPr>
                <w:sz w:val="15"/>
                <w:szCs w:val="15"/>
                <w:color w:val="auto"/>
              </w:rPr>
            </w:pPr>
          </w:p>
        </w:tc>
        <w:tc>
          <w:tcPr>
            <w:tcW w:w="10100" w:type="dxa"/>
            <w:vAlign w:val="bottom"/>
            <w:gridSpan w:val="52"/>
          </w:tcPr>
          <w:p>
            <w:pPr>
              <w:spacing w:after="0" w:line="176" w:lineRule="exact"/>
              <w:rPr>
                <w:rFonts w:ascii="Arial" w:cs="Arial" w:eastAsia="Arial" w:hAnsi="Arial"/>
                <w:sz w:val="18"/>
                <w:szCs w:val="18"/>
                <w:color w:val="0000EE"/>
              </w:rPr>
            </w:pPr>
            <w:hyperlink r:id="rId90">
              <w:r>
                <w:rPr>
                  <w:rFonts w:ascii="Arial" w:cs="Arial" w:eastAsia="Arial" w:hAnsi="Arial"/>
                  <w:sz w:val="18"/>
                  <w:szCs w:val="18"/>
                  <w:color w:val="0000EE"/>
                </w:rPr>
                <w:t>List of Subsidiaries</w:t>
              </w:r>
            </w:hyperlink>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52"/>
            <w:shd w:val="clear" w:color="auto" w:fill="CCEEFF"/>
          </w:tcPr>
          <w:p>
            <w:pPr>
              <w:spacing w:after="0" w:line="176" w:lineRule="exact"/>
              <w:rPr>
                <w:sz w:val="20"/>
                <w:szCs w:val="20"/>
                <w:color w:val="auto"/>
              </w:rPr>
            </w:pPr>
            <w:r>
              <w:rPr>
                <w:rFonts w:ascii="Arial" w:cs="Arial" w:eastAsia="Arial" w:hAnsi="Arial"/>
                <w:sz w:val="18"/>
                <w:szCs w:val="18"/>
                <w:color w:val="0000EE"/>
              </w:rPr>
              <w:t>Certification of Chief Executive Officer pursuant to Rule 13a-14(a)/15d-14(a) of the Securities Exchange Act</w:t>
            </w:r>
          </w:p>
        </w:tc>
      </w:tr>
      <w:tr>
        <w:trPr>
          <w:trHeight w:val="175"/>
        </w:trPr>
        <w:tc>
          <w:tcPr>
            <w:tcW w:w="4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31.2*</w:t>
            </w:r>
          </w:p>
        </w:tc>
        <w:tc>
          <w:tcPr>
            <w:tcW w:w="5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7880" w:type="dxa"/>
            <w:vAlign w:val="bottom"/>
            <w:tcBorders>
              <w:top w:val="single" w:sz="8" w:color="0000EE"/>
            </w:tcBorders>
            <w:gridSpan w:val="44"/>
          </w:tcPr>
          <w:p>
            <w:pPr>
              <w:spacing w:after="0" w:line="176" w:lineRule="exact"/>
              <w:rPr>
                <w:sz w:val="20"/>
                <w:szCs w:val="20"/>
                <w:color w:val="auto"/>
              </w:rPr>
            </w:pPr>
            <w:r>
              <w:rPr>
                <w:rFonts w:ascii="Arial" w:cs="Arial" w:eastAsia="Arial" w:hAnsi="Arial"/>
                <w:sz w:val="18"/>
                <w:szCs w:val="18"/>
                <w:color w:val="0000EE"/>
                <w:w w:val="92"/>
              </w:rPr>
              <w:t>Certification of Chief Financial Officer pursuant to Rule 13a-14(a)/15d-14(a) of the Securities Exchange Act</w:t>
            </w:r>
          </w:p>
        </w:tc>
        <w:tc>
          <w:tcPr>
            <w:tcW w:w="2220" w:type="dxa"/>
            <w:vAlign w:val="bottom"/>
            <w:tcBorders>
              <w:top w:val="single" w:sz="8" w:color="CCEEFF"/>
            </w:tcBorders>
            <w:gridSpan w:val="8"/>
          </w:tcPr>
          <w:p>
            <w:pPr>
              <w:spacing w:after="0"/>
              <w:rPr>
                <w:sz w:val="15"/>
                <w:szCs w:val="15"/>
                <w:color w:val="auto"/>
              </w:rPr>
            </w:pPr>
          </w:p>
        </w:tc>
      </w:tr>
      <w:tr>
        <w:trPr>
          <w:trHeight w:val="21"/>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52"/>
            <w:shd w:val="clear" w:color="auto" w:fill="CCEEFF"/>
          </w:tcPr>
          <w:p>
            <w:pPr>
              <w:spacing w:after="0" w:line="176" w:lineRule="exact"/>
              <w:rPr>
                <w:sz w:val="20"/>
                <w:szCs w:val="20"/>
                <w:color w:val="auto"/>
              </w:rPr>
            </w:pPr>
            <w:r>
              <w:rPr>
                <w:rFonts w:ascii="Arial" w:cs="Arial" w:eastAsia="Arial" w:hAnsi="Arial"/>
                <w:sz w:val="18"/>
                <w:szCs w:val="18"/>
                <w:color w:val="0000EE"/>
                <w:w w:val="91"/>
              </w:rPr>
              <w:t>Certification of Chief Executive Officer and Chief Financial Officer pursuant to 18 U.S.C. §1350, as adopted pursuant to Section 906 of the</w:t>
            </w:r>
          </w:p>
        </w:tc>
      </w:tr>
      <w:tr>
        <w:trPr>
          <w:trHeight w:val="216"/>
        </w:trPr>
        <w:tc>
          <w:tcPr>
            <w:tcW w:w="4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0000EE"/>
            </w:tcBorders>
            <w:gridSpan w:val="6"/>
            <w:shd w:val="clear" w:color="auto" w:fill="CCEEFF"/>
          </w:tcPr>
          <w:p>
            <w:pPr>
              <w:spacing w:after="0" w:line="196" w:lineRule="exact"/>
              <w:rPr>
                <w:sz w:val="20"/>
                <w:szCs w:val="20"/>
                <w:color w:val="auto"/>
              </w:rPr>
            </w:pPr>
            <w:r>
              <w:rPr>
                <w:rFonts w:ascii="Arial" w:cs="Arial" w:eastAsia="Arial" w:hAnsi="Arial"/>
                <w:sz w:val="18"/>
                <w:szCs w:val="18"/>
                <w:color w:val="0000EE"/>
                <w:w w:val="90"/>
              </w:rPr>
              <w:t>Sarbanes-Oxley Act of 2002</w:t>
            </w:r>
          </w:p>
        </w:tc>
        <w:tc>
          <w:tcPr>
            <w:tcW w:w="8040" w:type="dxa"/>
            <w:vAlign w:val="bottom"/>
            <w:tcBorders>
              <w:bottom w:val="single" w:sz="8" w:color="CCEEFF"/>
            </w:tcBorders>
            <w:gridSpan w:val="46"/>
            <w:shd w:val="clear" w:color="auto" w:fill="CCEEFF"/>
          </w:tcPr>
          <w:p>
            <w:pPr>
              <w:spacing w:after="0"/>
              <w:rPr>
                <w:sz w:val="18"/>
                <w:szCs w:val="18"/>
                <w:color w:val="auto"/>
              </w:rPr>
            </w:pPr>
          </w:p>
        </w:tc>
      </w:tr>
      <w:tr>
        <w:trPr>
          <w:trHeight w:val="176"/>
        </w:trPr>
        <w:tc>
          <w:tcPr>
            <w:tcW w:w="460" w:type="dxa"/>
            <w:vAlign w:val="bottom"/>
          </w:tcPr>
          <w:p>
            <w:pPr>
              <w:spacing w:after="0" w:line="176" w:lineRule="exact"/>
              <w:rPr>
                <w:sz w:val="20"/>
                <w:szCs w:val="20"/>
                <w:color w:val="auto"/>
              </w:rPr>
            </w:pPr>
            <w:r>
              <w:rPr>
                <w:rFonts w:ascii="Arial" w:cs="Arial" w:eastAsia="Arial" w:hAnsi="Arial"/>
                <w:sz w:val="18"/>
                <w:szCs w:val="18"/>
                <w:color w:val="auto"/>
              </w:rPr>
              <w:t>99.1*</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52"/>
          </w:tcPr>
          <w:p>
            <w:pPr>
              <w:spacing w:after="0" w:line="176" w:lineRule="exact"/>
              <w:rPr>
                <w:sz w:val="20"/>
                <w:szCs w:val="20"/>
                <w:color w:val="auto"/>
              </w:rPr>
            </w:pPr>
            <w:r>
              <w:rPr>
                <w:rFonts w:ascii="Arial" w:cs="Arial" w:eastAsia="Arial" w:hAnsi="Arial"/>
                <w:sz w:val="18"/>
                <w:szCs w:val="18"/>
                <w:color w:val="0000EE"/>
              </w:rPr>
              <w:t>Policy for the Recovery of Erroneously Awarded Compensation adopted October 6, 2023</w:t>
            </w: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6"/>
        </w:trPr>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52"/>
            <w:shd w:val="clear" w:color="auto" w:fill="CCEEFF"/>
          </w:tcPr>
          <w:p>
            <w:pPr>
              <w:spacing w:after="0"/>
              <w:rPr>
                <w:sz w:val="20"/>
                <w:szCs w:val="20"/>
                <w:color w:val="auto"/>
              </w:rPr>
            </w:pPr>
            <w:r>
              <w:rPr>
                <w:rFonts w:ascii="Arial" w:cs="Arial" w:eastAsia="Arial" w:hAnsi="Arial"/>
                <w:sz w:val="18"/>
                <w:szCs w:val="18"/>
                <w:color w:val="auto"/>
              </w:rPr>
              <w:t>Inline XBRL Instance Document *</w:t>
            </w:r>
          </w:p>
        </w:tc>
      </w:tr>
      <w:tr>
        <w:trPr>
          <w:trHeight w:val="216"/>
        </w:trPr>
        <w:tc>
          <w:tcPr>
            <w:tcW w:w="11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52"/>
          </w:tcPr>
          <w:p>
            <w:pPr>
              <w:spacing w:after="0"/>
              <w:rPr>
                <w:sz w:val="20"/>
                <w:szCs w:val="20"/>
                <w:color w:val="auto"/>
              </w:rPr>
            </w:pPr>
            <w:r>
              <w:rPr>
                <w:rFonts w:ascii="Arial" w:cs="Arial" w:eastAsia="Arial" w:hAnsi="Arial"/>
                <w:sz w:val="18"/>
                <w:szCs w:val="18"/>
                <w:color w:val="auto"/>
              </w:rPr>
              <w:t>Inline XBRL Taxonomy Extension Schema Document *</w:t>
            </w:r>
          </w:p>
        </w:tc>
      </w:tr>
      <w:tr>
        <w:trPr>
          <w:trHeight w:val="216"/>
        </w:trPr>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52"/>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 *</w:t>
            </w:r>
          </w:p>
        </w:tc>
      </w:tr>
      <w:tr>
        <w:trPr>
          <w:trHeight w:val="216"/>
        </w:trPr>
        <w:tc>
          <w:tcPr>
            <w:tcW w:w="11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52"/>
          </w:tcPr>
          <w:p>
            <w:pPr>
              <w:spacing w:after="0"/>
              <w:rPr>
                <w:sz w:val="20"/>
                <w:szCs w:val="20"/>
                <w:color w:val="auto"/>
              </w:rPr>
            </w:pPr>
            <w:r>
              <w:rPr>
                <w:rFonts w:ascii="Arial" w:cs="Arial" w:eastAsia="Arial" w:hAnsi="Arial"/>
                <w:sz w:val="18"/>
                <w:szCs w:val="18"/>
                <w:color w:val="auto"/>
              </w:rPr>
              <w:t>Inline XBRL Taxonomy Extension Definition Linkbase Document *</w:t>
            </w:r>
          </w:p>
        </w:tc>
      </w:tr>
      <w:tr>
        <w:trPr>
          <w:trHeight w:val="216"/>
        </w:trPr>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52"/>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 *</w:t>
            </w:r>
          </w:p>
        </w:tc>
      </w:tr>
      <w:tr>
        <w:trPr>
          <w:trHeight w:val="218"/>
        </w:trPr>
        <w:tc>
          <w:tcPr>
            <w:tcW w:w="11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52"/>
          </w:tcPr>
          <w:p>
            <w:pPr>
              <w:spacing w:after="0"/>
              <w:rPr>
                <w:sz w:val="20"/>
                <w:szCs w:val="20"/>
                <w:color w:val="auto"/>
              </w:rPr>
            </w:pPr>
            <w:r>
              <w:rPr>
                <w:rFonts w:ascii="Arial" w:cs="Arial" w:eastAsia="Arial" w:hAnsi="Arial"/>
                <w:sz w:val="18"/>
                <w:szCs w:val="18"/>
                <w:color w:val="auto"/>
              </w:rPr>
              <w:t>Inline XBRL Taxonomy Extension Presentation Linkbase Document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3520" w:firstLine="8"/>
        <w:spacing w:after="0" w:line="415" w:lineRule="auto"/>
        <w:tabs>
          <w:tab w:leader="none" w:pos="11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6" w:gutter="0" w:footer="0" w:header="0"/>
        </w:sectPr>
      </w:pPr>
    </w:p>
    <w:bookmarkStart w:id="39" w:name="page40"/>
    <w:bookmarkEnd w:id="39"/>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schedules and exhibits to this agreement have been omitted pursuant to Instruction 4 to Item 1.01 of Form 8-K. A copy of any omitted schedule or exhibit will be furnished to the SEC upon request.</w:t>
      </w:r>
    </w:p>
    <w:p>
      <w:pPr>
        <w:spacing w:after="0" w:line="170"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March 23, 2021.</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June 15, 2021.</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December 16, 2019.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18, 2020.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May 13, 2020.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10-Q Quarterly Report filed with the Securities Exchange Commission on May 6, 2021.</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10-Q Quarterly Report filed with the Securities Exchange Commission on May 4, 2018.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10-Q Quarterly Report filed with the Securities Exchange Commission on November 8, 2021.</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Incorporated by reference to the Form S-8 Registration Statement filed with the Securities Exchange Commission on February 1, 2022.</w:t>
      </w:r>
    </w:p>
    <w:p>
      <w:pPr>
        <w:spacing w:after="0" w:line="20" w:lineRule="exact"/>
        <w:rPr>
          <w:rFonts w:ascii="Arial" w:cs="Arial" w:eastAsia="Arial" w:hAnsi="Arial"/>
          <w:sz w:val="17"/>
          <w:szCs w:val="17"/>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March 21, 2022.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10-K Annual Report filed with the Securities Exchange Commission on March 22, 2022.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April 18, 2022.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April 27, 2022.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July 19, 2022.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September 21, 2022.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March 10, 2023.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March 28, 2023.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10-K Annual Report filed with the Securities Exchange Commission on March 30, 2023.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April 18, 2023.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10-Q Quarterly Report filed with the Securities Exchange Commission on May 11, 2023.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May 16, 2023.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May 26, 2023.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June 27, 2023.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August 3, 2023.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26, 2023.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authID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Rhoniel Daguro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Rhoniel A. Daguro</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Ed Sellitto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Ed Sellitto</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2023</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AUTHID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ETHICS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October 6, 2023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 STATEMENT OF POLICY:</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Honesty and candor in our activities, including observance of the spirit, as well as the letter of the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Avoidance of conflicts between personal interests and the interests of the Company, or even the appearance of such conflicts;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Avoidance of Company payments to candidates running for government posts or other government officials;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generally accepted accounting principles and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Maintenance of our reputation and avoidance of activities which might reflect adversely on the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Integrity in dealing with the Company's assets.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References to “authID Inc.”, “authID” or the “Company” are intended to refer only to authID Inc. and its subsidiaries. The term "associate" shall include all directors, officers and employees and any spouse, children, any dependents, or any person or entity acting as the agent or fiduciary for any of the foregoing, through which an associate may receive direct or indirect personal benefit.</w:t>
      </w:r>
    </w:p>
    <w:p>
      <w:pPr>
        <w:spacing w:after="0" w:line="18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HONESTY, CANDOR AND OBSERVANCE OF LAWS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VIOLATIONS OF THE CODE OF ETHICS</w:t>
      </w:r>
    </w:p>
    <w:p>
      <w:pPr>
        <w:spacing w:after="0" w:line="225" w:lineRule="exact"/>
        <w:rPr>
          <w:rFonts w:ascii="Arial" w:cs="Arial" w:eastAsia="Arial" w:hAnsi="Arial"/>
          <w:sz w:val="18"/>
          <w:szCs w:val="18"/>
          <w:color w:val="auto"/>
        </w:rPr>
      </w:pPr>
    </w:p>
    <w:p>
      <w:pPr>
        <w:jc w:val="both"/>
        <w:ind w:left="1300"/>
        <w:spacing w:after="0" w:line="263" w:lineRule="auto"/>
        <w:rPr>
          <w:rFonts w:ascii="Arial" w:cs="Arial" w:eastAsia="Arial" w:hAnsi="Arial"/>
          <w:sz w:val="18"/>
          <w:szCs w:val="18"/>
          <w:color w:val="auto"/>
        </w:rPr>
      </w:pPr>
      <w:r>
        <w:rPr>
          <w:rFonts w:ascii="Arial" w:cs="Arial" w:eastAsia="Arial" w:hAnsi="Arial"/>
          <w:sz w:val="18"/>
          <w:szCs w:val="18"/>
          <w:color w:val="auto"/>
        </w:rPr>
        <w:t>Violations of the Code of Ethics or any of the Company's rules of conduct in effect will constitute grounds for disciplinary action, up to and including termination. Associates are expected to act fairly and honestly in all transactions with the Company and with others and to maintain the high ethical standards of the Company in accordance with this Code of Ethics.</w:t>
      </w:r>
    </w:p>
    <w:p>
      <w:pPr>
        <w:spacing w:after="0" w:line="183" w:lineRule="exact"/>
        <w:rPr>
          <w:rFonts w:ascii="Arial" w:cs="Arial" w:eastAsia="Arial" w:hAnsi="Arial"/>
          <w:sz w:val="18"/>
          <w:szCs w:val="18"/>
          <w:color w:val="auto"/>
        </w:rPr>
      </w:pPr>
    </w:p>
    <w:p>
      <w:pPr>
        <w:ind w:left="1300" w:right="508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DISCOVERY OF VIOLATIONS OF THE CODE OF ETHICS OR ILLEGAL ACTIVITIES</w:t>
      </w:r>
    </w:p>
    <w:p>
      <w:pPr>
        <w:spacing w:after="0" w:line="170"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Discovery of events of a questionable, fraudulent or illegal nature or which appear to be in violation of the Code of Ethics must be promptly reported. Failure to report such events also constitutes a violation of the Code of Ethics.</w:t>
      </w:r>
    </w:p>
    <w:p>
      <w:pPr>
        <w:spacing w:after="0" w:line="170" w:lineRule="exact"/>
        <w:rPr>
          <w:rFonts w:ascii="Arial" w:cs="Arial" w:eastAsia="Arial" w:hAnsi="Arial"/>
          <w:sz w:val="18"/>
          <w:szCs w:val="18"/>
          <w:color w:val="auto"/>
        </w:rPr>
      </w:pPr>
    </w:p>
    <w:p>
      <w:pPr>
        <w:ind w:left="1300"/>
        <w:spacing w:after="0" w:line="308" w:lineRule="auto"/>
        <w:rPr>
          <w:rFonts w:ascii="Arial" w:cs="Arial" w:eastAsia="Arial" w:hAnsi="Arial"/>
          <w:sz w:val="18"/>
          <w:szCs w:val="18"/>
          <w:color w:val="auto"/>
        </w:rPr>
      </w:pPr>
      <w:r>
        <w:rPr>
          <w:rFonts w:ascii="Arial" w:cs="Arial" w:eastAsia="Arial" w:hAnsi="Arial"/>
          <w:sz w:val="17"/>
          <w:szCs w:val="17"/>
          <w:color w:val="auto"/>
        </w:rPr>
        <w:t>Associates are encouraged to report concerns of internal fraud — whether it is a suspicion of theft, accounting irregularities or violations of the law — through a choice of confidential reporting processes outlined in the Company’s Whistleblower Policy.</w:t>
      </w:r>
    </w:p>
    <w:p>
      <w:pPr>
        <w:spacing w:after="0" w:line="146"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Retaliation against any associate who files a claim of internal fraud will not be tolerated. Any act of retaliation will be subject to corrective action up to and including immediate termination.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left="968" w:hanging="320"/>
        <w:spacing w:after="0"/>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COMPLIANCE WITH LAWS AND REGULATIONS</w:t>
      </w:r>
    </w:p>
    <w:p>
      <w:pPr>
        <w:spacing w:after="0" w:line="225" w:lineRule="exact"/>
        <w:rPr>
          <w:rFonts w:ascii="Arial" w:cs="Arial" w:eastAsia="Arial" w:hAnsi="Arial"/>
          <w:sz w:val="18"/>
          <w:szCs w:val="18"/>
          <w:color w:val="auto"/>
        </w:rPr>
      </w:pPr>
    </w:p>
    <w:p>
      <w:pPr>
        <w:ind w:left="968"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strives to comply with all the laws and regulations that are applicable to its business. As a good citizen, the Company emphasizes good faith efforts to follow the spirit and intent of the law.</w:t>
      </w:r>
    </w:p>
    <w:p>
      <w:pPr>
        <w:spacing w:after="0" w:line="170" w:lineRule="exact"/>
        <w:rPr>
          <w:rFonts w:ascii="Arial" w:cs="Arial" w:eastAsia="Arial" w:hAnsi="Arial"/>
          <w:sz w:val="18"/>
          <w:szCs w:val="18"/>
          <w:color w:val="auto"/>
        </w:rPr>
      </w:pPr>
    </w:p>
    <w:p>
      <w:pPr>
        <w:ind w:left="968" w:right="4360" w:hanging="320"/>
        <w:spacing w:after="0" w:line="277"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CANDOR AMONG ASSOCIATES AND IN DEALING WITH AUDITORS AND COUNSEL</w:t>
      </w:r>
    </w:p>
    <w:p>
      <w:pPr>
        <w:spacing w:after="0" w:line="170" w:lineRule="exact"/>
        <w:rPr>
          <w:rFonts w:ascii="Arial" w:cs="Arial" w:eastAsia="Arial" w:hAnsi="Arial"/>
          <w:sz w:val="18"/>
          <w:szCs w:val="18"/>
          <w:color w:val="auto"/>
        </w:rPr>
      </w:pPr>
    </w:p>
    <w:p>
      <w:pPr>
        <w:jc w:val="both"/>
        <w:ind w:left="968"/>
        <w:spacing w:after="0" w:line="259" w:lineRule="auto"/>
        <w:rPr>
          <w:rFonts w:ascii="Arial" w:cs="Arial" w:eastAsia="Arial" w:hAnsi="Arial"/>
          <w:sz w:val="18"/>
          <w:szCs w:val="18"/>
          <w:color w:val="auto"/>
        </w:rPr>
      </w:pPr>
      <w:r>
        <w:rPr>
          <w:rFonts w:ascii="Arial" w:cs="Arial" w:eastAsia="Arial" w:hAnsi="Arial"/>
          <w:sz w:val="18"/>
          <w:szCs w:val="18"/>
          <w:color w:val="auto"/>
        </w:rPr>
        <w:t>Senior management of the Company must be informed at all times of matters that might adversely affect the reputation of the Company, regardless of the source of such information. Concealment may be considered a signal that the Company's policies and rules can be ignored, and such conduct cannot be tolerated. Moreover, complete candor is essential in dealing with the Company's independent auditors and attorneys.</w:t>
      </w:r>
    </w:p>
    <w:p>
      <w:pPr>
        <w:spacing w:after="0" w:line="186" w:lineRule="exact"/>
        <w:rPr>
          <w:rFonts w:ascii="Arial" w:cs="Arial" w:eastAsia="Arial" w:hAnsi="Arial"/>
          <w:sz w:val="18"/>
          <w:szCs w:val="18"/>
          <w:color w:val="auto"/>
        </w:rPr>
      </w:pPr>
    </w:p>
    <w:p>
      <w:pPr>
        <w:ind w:left="328" w:hanging="328"/>
        <w:spacing w:after="0"/>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CONFLICTS OF INTEREST</w:t>
      </w:r>
    </w:p>
    <w:p>
      <w:pPr>
        <w:spacing w:after="0" w:line="225" w:lineRule="exact"/>
        <w:rPr>
          <w:rFonts w:ascii="Arial" w:cs="Arial" w:eastAsia="Arial" w:hAnsi="Arial"/>
          <w:sz w:val="18"/>
          <w:szCs w:val="18"/>
          <w:color w:val="auto"/>
        </w:rPr>
      </w:pPr>
    </w:p>
    <w:p>
      <w:pPr>
        <w:ind w:left="968" w:hanging="320"/>
        <w:spacing w:after="0"/>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CONFLICTS OF INTEREST, GENERALLY</w:t>
      </w:r>
    </w:p>
    <w:p>
      <w:pPr>
        <w:spacing w:after="0" w:line="225" w:lineRule="exact"/>
        <w:rPr>
          <w:rFonts w:ascii="Arial" w:cs="Arial" w:eastAsia="Arial" w:hAnsi="Arial"/>
          <w:sz w:val="18"/>
          <w:szCs w:val="18"/>
          <w:color w:val="auto"/>
        </w:rPr>
      </w:pPr>
    </w:p>
    <w:p>
      <w:pPr>
        <w:ind w:left="1628" w:hanging="332"/>
        <w:spacing w:after="0" w:line="342" w:lineRule="auto"/>
        <w:tabs>
          <w:tab w:leader="none" w:pos="1628" w:val="left"/>
        </w:tabs>
        <w:numPr>
          <w:ilvl w:val="2"/>
          <w:numId w:val="16"/>
        </w:numPr>
        <w:rPr>
          <w:rFonts w:ascii="Arial" w:cs="Arial" w:eastAsia="Arial" w:hAnsi="Arial"/>
          <w:sz w:val="16"/>
          <w:szCs w:val="16"/>
          <w:color w:val="auto"/>
        </w:rPr>
      </w:pPr>
      <w:r>
        <w:rPr>
          <w:rFonts w:ascii="Arial" w:cs="Arial" w:eastAsia="Arial" w:hAnsi="Arial"/>
          <w:sz w:val="16"/>
          <w:szCs w:val="16"/>
          <w:color w:val="auto"/>
        </w:rPr>
        <w:t>The primary principle underlying the Company's conflicts of interest policies is that associates, and officers in particular, must never permit their personal interests to conflict or appear to conflict with the interests of the Company or its customers.</w:t>
      </w:r>
    </w:p>
    <w:p>
      <w:pPr>
        <w:spacing w:after="0" w:line="123" w:lineRule="exact"/>
        <w:rPr>
          <w:rFonts w:ascii="Arial" w:cs="Arial" w:eastAsia="Arial" w:hAnsi="Arial"/>
          <w:sz w:val="16"/>
          <w:szCs w:val="16"/>
          <w:color w:val="auto"/>
        </w:rPr>
      </w:pPr>
    </w:p>
    <w:p>
      <w:pPr>
        <w:jc w:val="both"/>
        <w:ind w:left="1628" w:hanging="332"/>
        <w:spacing w:after="0" w:line="273" w:lineRule="auto"/>
        <w:tabs>
          <w:tab w:leader="none" w:pos="1628" w:val="left"/>
        </w:tabs>
        <w:numPr>
          <w:ilvl w:val="2"/>
          <w:numId w:val="16"/>
        </w:numPr>
        <w:rPr>
          <w:rFonts w:ascii="Arial" w:cs="Arial" w:eastAsia="Arial" w:hAnsi="Arial"/>
          <w:sz w:val="17"/>
          <w:szCs w:val="17"/>
          <w:color w:val="auto"/>
        </w:rPr>
      </w:pPr>
      <w:r>
        <w:rPr>
          <w:rFonts w:ascii="Arial" w:cs="Arial" w:eastAsia="Arial" w:hAnsi="Arial"/>
          <w:sz w:val="17"/>
          <w:szCs w:val="17"/>
          <w:color w:val="auto"/>
        </w:rPr>
        <w:t>No associate of authID, nor any member of their family, should accept any form of compensation from, be employed by or act as a consultant to, or have any ownership in, a vendor of authID, or any competitor of authID, without the express approval of authID's Chief Executive Officer. Generally speaking, associates and family members (including spouses, children, parents and siblings) should avoid any financial interest in a non-publicly owned vendor or competitor. If such interest does exist, subject to CEO approval, it should be limited to one-tenth of one percent of the entity's (vendor or competitor) outstanding securities and a maximum of ten percent of the associate or family member's total assets.</w:t>
      </w:r>
    </w:p>
    <w:p>
      <w:pPr>
        <w:spacing w:after="0" w:line="177" w:lineRule="exact"/>
        <w:rPr>
          <w:rFonts w:ascii="Arial" w:cs="Arial" w:eastAsia="Arial" w:hAnsi="Arial"/>
          <w:sz w:val="17"/>
          <w:szCs w:val="17"/>
          <w:color w:val="auto"/>
        </w:rPr>
      </w:pPr>
    </w:p>
    <w:p>
      <w:pPr>
        <w:ind w:left="1628" w:hanging="332"/>
        <w:spacing w:after="0" w:line="277" w:lineRule="auto"/>
        <w:tabs>
          <w:tab w:leader="none" w:pos="1628" w:val="left"/>
        </w:tabs>
        <w:numPr>
          <w:ilvl w:val="2"/>
          <w:numId w:val="16"/>
        </w:numPr>
        <w:rPr>
          <w:rFonts w:ascii="Arial" w:cs="Arial" w:eastAsia="Arial" w:hAnsi="Arial"/>
          <w:sz w:val="18"/>
          <w:szCs w:val="18"/>
          <w:color w:val="auto"/>
        </w:rPr>
      </w:pPr>
      <w:r>
        <w:rPr>
          <w:rFonts w:ascii="Arial" w:cs="Arial" w:eastAsia="Arial" w:hAnsi="Arial"/>
          <w:sz w:val="18"/>
          <w:szCs w:val="18"/>
          <w:color w:val="auto"/>
        </w:rPr>
        <w:t>No associate may act on behalf of the Company in any transaction involving persons or organizations with whom he/she or his/her family has any significant connection or financial interest.</w:t>
      </w:r>
    </w:p>
    <w:p>
      <w:pPr>
        <w:spacing w:after="0" w:line="170" w:lineRule="exact"/>
        <w:rPr>
          <w:rFonts w:ascii="Arial" w:cs="Arial" w:eastAsia="Arial" w:hAnsi="Arial"/>
          <w:sz w:val="18"/>
          <w:szCs w:val="18"/>
          <w:color w:val="auto"/>
        </w:rPr>
      </w:pPr>
    </w:p>
    <w:p>
      <w:pPr>
        <w:ind w:left="1628" w:hanging="332"/>
        <w:spacing w:after="0" w:line="308" w:lineRule="auto"/>
        <w:tabs>
          <w:tab w:leader="none" w:pos="1628" w:val="left"/>
        </w:tabs>
        <w:numPr>
          <w:ilvl w:val="2"/>
          <w:numId w:val="16"/>
        </w:numPr>
        <w:rPr>
          <w:rFonts w:ascii="Arial" w:cs="Arial" w:eastAsia="Arial" w:hAnsi="Arial"/>
          <w:sz w:val="17"/>
          <w:szCs w:val="17"/>
          <w:color w:val="auto"/>
        </w:rPr>
      </w:pPr>
      <w:r>
        <w:rPr>
          <w:rFonts w:ascii="Arial" w:cs="Arial" w:eastAsia="Arial" w:hAnsi="Arial"/>
          <w:sz w:val="17"/>
          <w:szCs w:val="17"/>
          <w:color w:val="auto"/>
        </w:rPr>
        <w:t>Officers and Directors are subject to higher standards of review for interested-party transactions. All such transactions must be openly disclosed to a disinterested majority of the Board of Directors and subject to a rigorous independent review.</w:t>
      </w:r>
    </w:p>
    <w:p>
      <w:pPr>
        <w:spacing w:after="0" w:line="146" w:lineRule="exact"/>
        <w:rPr>
          <w:rFonts w:ascii="Arial" w:cs="Arial" w:eastAsia="Arial" w:hAnsi="Arial"/>
          <w:sz w:val="17"/>
          <w:szCs w:val="17"/>
          <w:color w:val="auto"/>
        </w:rPr>
      </w:pPr>
    </w:p>
    <w:p>
      <w:pPr>
        <w:ind w:left="1628" w:hanging="332"/>
        <w:spacing w:after="0" w:line="308" w:lineRule="auto"/>
        <w:tabs>
          <w:tab w:leader="none" w:pos="1628" w:val="left"/>
        </w:tabs>
        <w:numPr>
          <w:ilvl w:val="2"/>
          <w:numId w:val="16"/>
        </w:numPr>
        <w:rPr>
          <w:rFonts w:ascii="Arial" w:cs="Arial" w:eastAsia="Arial" w:hAnsi="Arial"/>
          <w:sz w:val="17"/>
          <w:szCs w:val="17"/>
          <w:color w:val="auto"/>
        </w:rPr>
      </w:pPr>
      <w:r>
        <w:rPr>
          <w:rFonts w:ascii="Arial" w:cs="Arial" w:eastAsia="Arial" w:hAnsi="Arial"/>
          <w:sz w:val="17"/>
          <w:szCs w:val="17"/>
          <w:color w:val="auto"/>
        </w:rPr>
        <w:t>Any associate in a conflict situation should discuss the matter with his or her immediate supervisor or should contact their Executive Staff representative. Usually, associates will be required to remove themselves from a conflict situation.</w:t>
      </w:r>
    </w:p>
    <w:p>
      <w:pPr>
        <w:spacing w:after="0" w:line="146" w:lineRule="exact"/>
        <w:rPr>
          <w:rFonts w:ascii="Arial" w:cs="Arial" w:eastAsia="Arial" w:hAnsi="Arial"/>
          <w:sz w:val="17"/>
          <w:szCs w:val="17"/>
          <w:color w:val="auto"/>
        </w:rPr>
      </w:pPr>
    </w:p>
    <w:p>
      <w:pPr>
        <w:ind w:left="968" w:hanging="320"/>
        <w:spacing w:after="0" w:line="277"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RECEIPT OR PAYMENT OF BRIBES, COMMISSIONS, HONORARIUMS, LOANS, GIFTS, GRATUITIES AND ENTERTAINMENT</w:t>
      </w:r>
    </w:p>
    <w:p>
      <w:pPr>
        <w:spacing w:after="0" w:line="170" w:lineRule="exact"/>
        <w:rPr>
          <w:rFonts w:ascii="Arial" w:cs="Arial" w:eastAsia="Arial" w:hAnsi="Arial"/>
          <w:sz w:val="18"/>
          <w:szCs w:val="18"/>
          <w:color w:val="auto"/>
        </w:rPr>
      </w:pPr>
    </w:p>
    <w:p>
      <w:pPr>
        <w:ind w:left="1628" w:hanging="332"/>
        <w:spacing w:after="0" w:line="277" w:lineRule="auto"/>
        <w:tabs>
          <w:tab w:leader="none" w:pos="1628"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The Company does not permit or condone bribes, kickbacks, improper commissions, honorariums, loans, gifts, gratuities or any other illegal, secret, or improper payments, transfers or receipts.</w:t>
      </w:r>
    </w:p>
    <w:p>
      <w:pPr>
        <w:spacing w:after="0" w:line="38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43" w:name="page44"/>
    <w:bookmarkEnd w:id="43"/>
    <w:p>
      <w:pPr>
        <w:ind w:left="980" w:right="20" w:hanging="332"/>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 associate may accept a gift other than of nominal value directly or indirectly, in any form, from a supplier or prospective supplier.</w:t>
      </w:r>
    </w:p>
    <w:p>
      <w:pPr>
        <w:spacing w:after="0" w:line="170" w:lineRule="exact"/>
        <w:rPr>
          <w:rFonts w:ascii="Arial" w:cs="Arial" w:eastAsia="Arial" w:hAnsi="Arial"/>
          <w:sz w:val="18"/>
          <w:szCs w:val="18"/>
          <w:color w:val="auto"/>
        </w:rPr>
      </w:pPr>
    </w:p>
    <w:p>
      <w:pPr>
        <w:jc w:val="both"/>
        <w:ind w:left="980" w:hanging="332"/>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As a general rule, no associate may accept a gift from any customer or prospective customer of the Company. Under no circumstances should an associate request or otherwise solicit from any customer, supplier or prospective customer or supplier, any gifts or similar gratuities, regardless of monetary worth.</w:t>
      </w:r>
    </w:p>
    <w:p>
      <w:pPr>
        <w:spacing w:after="0" w:line="183" w:lineRule="exact"/>
        <w:rPr>
          <w:rFonts w:ascii="Arial" w:cs="Arial" w:eastAsia="Arial" w:hAnsi="Arial"/>
          <w:sz w:val="18"/>
          <w:szCs w:val="18"/>
          <w:color w:val="auto"/>
        </w:rPr>
      </w:pPr>
    </w:p>
    <w:p>
      <w:pPr>
        <w:ind w:left="320" w:hanging="320"/>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CORPORATE HOSPITALITY TO THE PUBLIC OFFICIALS</w:t>
      </w:r>
    </w:p>
    <w:p>
      <w:pPr>
        <w:spacing w:after="0" w:line="225" w:lineRule="exact"/>
        <w:rPr>
          <w:rFonts w:ascii="Arial" w:cs="Arial" w:eastAsia="Arial" w:hAnsi="Arial"/>
          <w:sz w:val="18"/>
          <w:szCs w:val="18"/>
          <w:color w:val="auto"/>
        </w:rPr>
      </w:pPr>
    </w:p>
    <w:p>
      <w:pPr>
        <w:ind w:left="980" w:hanging="332"/>
        <w:spacing w:after="0" w:line="308"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Acts of hospitality toward public officials should never be on such a scale or of such a nature as might tend to compromise or give the impression of compromising the integrity or the reputation of either the public official or the Company.</w:t>
      </w:r>
    </w:p>
    <w:p>
      <w:pPr>
        <w:spacing w:after="0" w:line="146" w:lineRule="exact"/>
        <w:rPr>
          <w:rFonts w:ascii="Arial" w:cs="Arial" w:eastAsia="Arial" w:hAnsi="Arial"/>
          <w:sz w:val="17"/>
          <w:szCs w:val="17"/>
          <w:color w:val="auto"/>
        </w:rPr>
      </w:pPr>
    </w:p>
    <w:p>
      <w:pPr>
        <w:ind w:left="980" w:hanging="332"/>
        <w:spacing w:after="0"/>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no event shall authID's name be used to enhance an associate's own political opportunities.</w:t>
      </w:r>
    </w:p>
    <w:p>
      <w:pPr>
        <w:spacing w:after="0" w:line="225" w:lineRule="exact"/>
        <w:rPr>
          <w:rFonts w:ascii="Arial" w:cs="Arial" w:eastAsia="Arial" w:hAnsi="Arial"/>
          <w:sz w:val="18"/>
          <w:szCs w:val="18"/>
          <w:color w:val="auto"/>
        </w:rPr>
      </w:pPr>
    </w:p>
    <w:p>
      <w:pPr>
        <w:ind w:left="320" w:hanging="320"/>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DEALING WITH PROSPECTIVE SUPPLIERS</w:t>
      </w:r>
    </w:p>
    <w:p>
      <w:pPr>
        <w:spacing w:after="0" w:line="225" w:lineRule="exact"/>
        <w:rPr>
          <w:rFonts w:ascii="Arial" w:cs="Arial" w:eastAsia="Arial" w:hAnsi="Arial"/>
          <w:sz w:val="18"/>
          <w:szCs w:val="18"/>
          <w:color w:val="auto"/>
        </w:rPr>
      </w:pPr>
    </w:p>
    <w:p>
      <w:pPr>
        <w:ind w:left="980" w:hanging="332"/>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Associates must award orders, contracts and commitment to suppliers of goods or services without favoritism. Company business of this nature must be conducted strictly on the basis of merit.</w:t>
      </w:r>
    </w:p>
    <w:p>
      <w:pPr>
        <w:spacing w:after="0" w:line="170" w:lineRule="exact"/>
        <w:rPr>
          <w:rFonts w:ascii="Arial" w:cs="Arial" w:eastAsia="Arial" w:hAnsi="Arial"/>
          <w:sz w:val="18"/>
          <w:szCs w:val="18"/>
          <w:color w:val="auto"/>
        </w:rPr>
      </w:pPr>
    </w:p>
    <w:p>
      <w:pPr>
        <w:ind w:left="320" w:hanging="320"/>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FAIR COMPETITION</w:t>
      </w:r>
    </w:p>
    <w:p>
      <w:pPr>
        <w:spacing w:after="0" w:line="225" w:lineRule="exact"/>
        <w:rPr>
          <w:rFonts w:ascii="Arial" w:cs="Arial" w:eastAsia="Arial" w:hAnsi="Arial"/>
          <w:sz w:val="18"/>
          <w:szCs w:val="18"/>
          <w:color w:val="auto"/>
        </w:rPr>
      </w:pPr>
    </w:p>
    <w:p>
      <w:pPr>
        <w:ind w:left="980" w:right="20" w:hanging="332"/>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Under no circumstances should associates enter into arrangements with the Company's competitors affecting pricing or marketing arrangements. Such arrangements are illegal under federal and state antitrust laws.</w:t>
      </w:r>
    </w:p>
    <w:p>
      <w:pPr>
        <w:spacing w:after="0" w:line="170" w:lineRule="exact"/>
        <w:rPr>
          <w:rFonts w:ascii="Arial" w:cs="Arial" w:eastAsia="Arial" w:hAnsi="Arial"/>
          <w:sz w:val="18"/>
          <w:szCs w:val="18"/>
          <w:color w:val="auto"/>
        </w:rPr>
      </w:pPr>
    </w:p>
    <w:p>
      <w:pPr>
        <w:ind w:left="320" w:hanging="320"/>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 WITH COMPETITORS</w:t>
      </w:r>
    </w:p>
    <w:p>
      <w:pPr>
        <w:spacing w:after="0" w:line="225" w:lineRule="exact"/>
        <w:rPr>
          <w:rFonts w:ascii="Arial" w:cs="Arial" w:eastAsia="Arial" w:hAnsi="Arial"/>
          <w:sz w:val="18"/>
          <w:szCs w:val="18"/>
          <w:color w:val="auto"/>
        </w:rPr>
      </w:pPr>
    </w:p>
    <w:p>
      <w:pPr>
        <w:jc w:val="both"/>
        <w:ind w:left="980" w:hanging="332"/>
        <w:spacing w:after="0" w:line="263"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all contacts with competitors, whether at trade/business association meetings or in other venues, do not discuss pricing policy, contract terms, costs, inventories, marketing and product plans, market surveys and studies, production plans and capabilities; and, of course, any other proprietary or confidential information.</w:t>
      </w:r>
    </w:p>
    <w:p>
      <w:pPr>
        <w:spacing w:after="0" w:line="40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8" w:right="339" w:bottom="1440" w:gutter="0" w:footer="0" w:header="0"/>
        </w:sectPr>
      </w:pPr>
    </w:p>
    <w:bookmarkStart w:id="44" w:name="page45"/>
    <w:bookmarkEnd w:id="44"/>
    <w:p>
      <w:pPr>
        <w:jc w:val="both"/>
        <w:ind w:left="1628"/>
        <w:spacing w:after="0" w:line="263" w:lineRule="auto"/>
        <w:rPr>
          <w:sz w:val="20"/>
          <w:szCs w:val="20"/>
          <w:color w:val="auto"/>
        </w:rPr>
      </w:pPr>
      <w:r>
        <w:rPr>
          <w:rFonts w:ascii="Arial" w:cs="Arial" w:eastAsia="Arial" w:hAnsi="Arial"/>
          <w:sz w:val="18"/>
          <w:szCs w:val="18"/>
          <w:color w:val="auto"/>
        </w:rPr>
        <w:t>Discussion of these subjects or collaboration on them with competitors can be illegal. If a competitor raises any of them, even lightly or with apparent innocence, you should object, stop the conversation immediately, and tell the competitor that under no circumstances will you discuss these matters.</w:t>
      </w:r>
    </w:p>
    <w:p>
      <w:pPr>
        <w:spacing w:after="0" w:line="184" w:lineRule="exact"/>
        <w:rPr>
          <w:sz w:val="20"/>
          <w:szCs w:val="20"/>
          <w:color w:val="auto"/>
        </w:rPr>
      </w:pPr>
    </w:p>
    <w:p>
      <w:pPr>
        <w:jc w:val="both"/>
        <w:ind w:left="1628"/>
        <w:spacing w:after="0" w:line="263" w:lineRule="auto"/>
        <w:rPr>
          <w:sz w:val="20"/>
          <w:szCs w:val="20"/>
          <w:color w:val="auto"/>
        </w:rPr>
      </w:pPr>
      <w:r>
        <w:rPr>
          <w:rFonts w:ascii="Arial" w:cs="Arial" w:eastAsia="Arial" w:hAnsi="Arial"/>
          <w:sz w:val="18"/>
          <w:szCs w:val="18"/>
          <w:color w:val="auto"/>
        </w:rPr>
        <w:t>In summary, disassociate yourself and authID from participation in any possibly illegal activity with competitors; confine your communication to what is clearly legal and proper. If necessary, you should leave the meeting. Finally, report immediately to the Chief Financial Officer or General Counsel any incident involving a prohibited subject.</w:t>
      </w:r>
    </w:p>
    <w:p>
      <w:pPr>
        <w:spacing w:after="0" w:line="184" w:lineRule="exact"/>
        <w:rPr>
          <w:sz w:val="20"/>
          <w:szCs w:val="20"/>
          <w:color w:val="auto"/>
        </w:rPr>
      </w:pPr>
    </w:p>
    <w:p>
      <w:pPr>
        <w:ind w:left="1628"/>
        <w:spacing w:after="0"/>
        <w:rPr>
          <w:sz w:val="20"/>
          <w:szCs w:val="20"/>
          <w:color w:val="auto"/>
        </w:rPr>
      </w:pPr>
      <w:r>
        <w:rPr>
          <w:rFonts w:ascii="Arial" w:cs="Arial" w:eastAsia="Arial" w:hAnsi="Arial"/>
          <w:sz w:val="16"/>
          <w:szCs w:val="16"/>
          <w:color w:val="auto"/>
        </w:rPr>
        <w:t>Accidental, casual or social contact with competitors can be suspect and considered circumstantial evidence of a conspiracy.</w:t>
      </w:r>
    </w:p>
    <w:p>
      <w:pPr>
        <w:spacing w:after="0" w:line="248" w:lineRule="exact"/>
        <w:rPr>
          <w:sz w:val="20"/>
          <w:szCs w:val="20"/>
          <w:color w:val="auto"/>
        </w:rPr>
      </w:pPr>
    </w:p>
    <w:p>
      <w:pPr>
        <w:ind w:left="968" w:hanging="320"/>
        <w:spacing w:after="0"/>
        <w:tabs>
          <w:tab w:leader="none" w:pos="968"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PERSONAL FEES AND COMMISSIONS</w:t>
      </w:r>
    </w:p>
    <w:p>
      <w:pPr>
        <w:spacing w:after="0" w:line="225" w:lineRule="exact"/>
        <w:rPr>
          <w:rFonts w:ascii="Arial" w:cs="Arial" w:eastAsia="Arial" w:hAnsi="Arial"/>
          <w:sz w:val="18"/>
          <w:szCs w:val="18"/>
          <w:color w:val="auto"/>
        </w:rPr>
      </w:pPr>
    </w:p>
    <w:p>
      <w:pPr>
        <w:ind w:left="1628" w:right="20" w:hanging="332"/>
        <w:spacing w:after="0" w:line="308" w:lineRule="auto"/>
        <w:tabs>
          <w:tab w:leader="none" w:pos="1628" w:val="left"/>
        </w:tabs>
        <w:numPr>
          <w:ilvl w:val="2"/>
          <w:numId w:val="19"/>
        </w:numPr>
        <w:rPr>
          <w:rFonts w:ascii="Arial" w:cs="Arial" w:eastAsia="Arial" w:hAnsi="Arial"/>
          <w:sz w:val="17"/>
          <w:szCs w:val="17"/>
          <w:color w:val="auto"/>
        </w:rPr>
      </w:pPr>
      <w:r>
        <w:rPr>
          <w:rFonts w:ascii="Arial" w:cs="Arial" w:eastAsia="Arial" w:hAnsi="Arial"/>
          <w:sz w:val="17"/>
          <w:szCs w:val="17"/>
          <w:color w:val="auto"/>
        </w:rPr>
        <w:t>No associate may accept personal fees or commissions from third parties in connection with any transactions on behalf of the Company. The acceptance of payments from suppliers requires the prior written approval of the Chief Financial Officer.</w:t>
      </w:r>
    </w:p>
    <w:p>
      <w:pPr>
        <w:spacing w:after="0" w:line="146" w:lineRule="exact"/>
        <w:rPr>
          <w:rFonts w:ascii="Arial" w:cs="Arial" w:eastAsia="Arial" w:hAnsi="Arial"/>
          <w:sz w:val="17"/>
          <w:szCs w:val="17"/>
          <w:color w:val="auto"/>
        </w:rPr>
      </w:pPr>
    </w:p>
    <w:p>
      <w:pPr>
        <w:ind w:left="968" w:hanging="320"/>
        <w:spacing w:after="0"/>
        <w:tabs>
          <w:tab w:leader="none" w:pos="968" w:val="left"/>
        </w:tabs>
        <w:numPr>
          <w:ilvl w:val="1"/>
          <w:numId w:val="19"/>
        </w:numPr>
        <w:rPr>
          <w:rFonts w:ascii="Arial" w:cs="Arial" w:eastAsia="Arial" w:hAnsi="Arial"/>
          <w:sz w:val="18"/>
          <w:szCs w:val="18"/>
          <w:color w:val="auto"/>
        </w:rPr>
      </w:pPr>
      <w:r>
        <w:rPr>
          <w:rFonts w:ascii="Arial" w:cs="Arial" w:eastAsia="Arial" w:hAnsi="Arial"/>
          <w:sz w:val="18"/>
          <w:szCs w:val="18"/>
          <w:color w:val="auto"/>
        </w:rPr>
        <w:t>WORK RELATIONSHIPS</w:t>
      </w:r>
    </w:p>
    <w:p>
      <w:pPr>
        <w:spacing w:after="0" w:line="225" w:lineRule="exact"/>
        <w:rPr>
          <w:rFonts w:ascii="Arial" w:cs="Arial" w:eastAsia="Arial" w:hAnsi="Arial"/>
          <w:sz w:val="18"/>
          <w:szCs w:val="18"/>
          <w:color w:val="auto"/>
        </w:rPr>
      </w:pPr>
    </w:p>
    <w:p>
      <w:pPr>
        <w:ind w:left="1628" w:hanging="332"/>
        <w:spacing w:after="0" w:line="277" w:lineRule="auto"/>
        <w:tabs>
          <w:tab w:leader="none" w:pos="1628" w:val="left"/>
        </w:tabs>
        <w:numPr>
          <w:ilvl w:val="2"/>
          <w:numId w:val="19"/>
        </w:numPr>
        <w:rPr>
          <w:rFonts w:ascii="Arial" w:cs="Arial" w:eastAsia="Arial" w:hAnsi="Arial"/>
          <w:sz w:val="18"/>
          <w:szCs w:val="18"/>
          <w:color w:val="auto"/>
        </w:rPr>
      </w:pPr>
      <w:r>
        <w:rPr>
          <w:rFonts w:ascii="Arial" w:cs="Arial" w:eastAsia="Arial" w:hAnsi="Arial"/>
          <w:sz w:val="18"/>
          <w:szCs w:val="18"/>
          <w:color w:val="auto"/>
        </w:rPr>
        <w:t>No associate shall give or receive any special consideration to the conditions of employment of another associate due to family or personal relationships.</w:t>
      </w:r>
    </w:p>
    <w:p>
      <w:pPr>
        <w:spacing w:after="0" w:line="170" w:lineRule="exact"/>
        <w:rPr>
          <w:rFonts w:ascii="Arial" w:cs="Arial" w:eastAsia="Arial" w:hAnsi="Arial"/>
          <w:sz w:val="18"/>
          <w:szCs w:val="18"/>
          <w:color w:val="auto"/>
        </w:rPr>
      </w:pPr>
    </w:p>
    <w:p>
      <w:pPr>
        <w:jc w:val="both"/>
        <w:ind w:left="1628" w:hanging="332"/>
        <w:spacing w:after="0" w:line="301" w:lineRule="auto"/>
        <w:tabs>
          <w:tab w:leader="none" w:pos="1628" w:val="left"/>
        </w:tabs>
        <w:numPr>
          <w:ilvl w:val="2"/>
          <w:numId w:val="19"/>
        </w:numPr>
        <w:rPr>
          <w:rFonts w:ascii="Arial" w:cs="Arial" w:eastAsia="Arial" w:hAnsi="Arial"/>
          <w:sz w:val="16"/>
          <w:szCs w:val="16"/>
          <w:color w:val="auto"/>
        </w:rPr>
      </w:pPr>
      <w:r>
        <w:rPr>
          <w:rFonts w:ascii="Arial" w:cs="Arial" w:eastAsia="Arial" w:hAnsi="Arial"/>
          <w:sz w:val="16"/>
          <w:szCs w:val="16"/>
          <w:color w:val="auto"/>
        </w:rPr>
        <w:t>No employment decisions, whether they be decisions to hire, employ, promote, transfer, change compensation, or bar or discharge from employment, shall be based in whole or in part upon considerations of age, race, creed, color, national origin, sex, pregnancy, disability, sexual orientation, veteran or marital status or any other category protected under federal, state or local law, regulation or ordinance of any individual, unless based upon a bona fide occupational qualification or other exception.</w:t>
      </w:r>
    </w:p>
    <w:p>
      <w:pPr>
        <w:spacing w:after="0" w:line="157" w:lineRule="exact"/>
        <w:rPr>
          <w:rFonts w:ascii="Arial" w:cs="Arial" w:eastAsia="Arial" w:hAnsi="Arial"/>
          <w:sz w:val="16"/>
          <w:szCs w:val="16"/>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225" w:lineRule="exact"/>
        <w:rPr>
          <w:rFonts w:ascii="Arial" w:cs="Arial" w:eastAsia="Arial" w:hAnsi="Arial"/>
          <w:sz w:val="18"/>
          <w:szCs w:val="18"/>
          <w:color w:val="auto"/>
        </w:rPr>
      </w:pPr>
    </w:p>
    <w:p>
      <w:pPr>
        <w:ind w:left="968" w:hanging="320"/>
        <w:spacing w:after="0"/>
        <w:tabs>
          <w:tab w:leader="none" w:pos="968"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CONFIDENTIAL INFORMATION CONCERNING THE COMPANY</w:t>
      </w:r>
    </w:p>
    <w:p>
      <w:pPr>
        <w:spacing w:after="0" w:line="225" w:lineRule="exact"/>
        <w:rPr>
          <w:rFonts w:ascii="Arial" w:cs="Arial" w:eastAsia="Arial" w:hAnsi="Arial"/>
          <w:sz w:val="18"/>
          <w:szCs w:val="18"/>
          <w:color w:val="auto"/>
        </w:rPr>
      </w:pPr>
    </w:p>
    <w:p>
      <w:pPr>
        <w:jc w:val="both"/>
        <w:ind w:left="968"/>
        <w:spacing w:after="0" w:line="254" w:lineRule="auto"/>
        <w:rPr>
          <w:rFonts w:ascii="Arial" w:cs="Arial" w:eastAsia="Arial" w:hAnsi="Arial"/>
          <w:sz w:val="18"/>
          <w:szCs w:val="18"/>
          <w:color w:val="auto"/>
        </w:rPr>
      </w:pPr>
      <w:r>
        <w:rPr>
          <w:rFonts w:ascii="Arial" w:cs="Arial" w:eastAsia="Arial" w:hAnsi="Arial"/>
          <w:sz w:val="18"/>
          <w:szCs w:val="18"/>
          <w:color w:val="auto"/>
        </w:rPr>
        <w:t>Except as set forth under the heading “Reservation of Right”, officers and associates must not divulge any non-public information regarding the Company to any outsider except for a legitimate business purpose and with the express understanding that the information is confidential and is to be used solely for the limited business purpose for which it was given and received. This information may include, but is not limited to: salary and personnel information, customer lists and data; including names, addresses, phone numbers, banking, credit card and other personal data, budgets and forecasts, and marketing and sales plans. Disclosure of such proprietary information to non-authID personnel (vendors, customers, competitors, etc.) should only occur with the express approval of the CEO, CFO or General Counsel.</w:t>
      </w:r>
    </w:p>
    <w:p>
      <w:pPr>
        <w:spacing w:after="0" w:line="200" w:lineRule="exact"/>
        <w:rPr>
          <w:sz w:val="20"/>
          <w:szCs w:val="20"/>
          <w:color w:val="auto"/>
        </w:rPr>
      </w:pPr>
    </w:p>
    <w:p>
      <w:pPr>
        <w:spacing w:after="0" w:line="21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45" w:name="page46"/>
    <w:bookmarkEnd w:id="45"/>
    <w:p>
      <w:pPr>
        <w:ind w:left="968" w:hanging="320"/>
        <w:spacing w:after="0"/>
        <w:tabs>
          <w:tab w:leader="none" w:pos="9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CONFIDENTIAL INFORMATION CONCERNING SUPPLIERS</w:t>
      </w:r>
    </w:p>
    <w:p>
      <w:pPr>
        <w:spacing w:after="0" w:line="225" w:lineRule="exact"/>
        <w:rPr>
          <w:rFonts w:ascii="Arial" w:cs="Arial" w:eastAsia="Arial" w:hAnsi="Arial"/>
          <w:sz w:val="18"/>
          <w:szCs w:val="18"/>
          <w:color w:val="auto"/>
        </w:rPr>
      </w:pPr>
    </w:p>
    <w:p>
      <w:pPr>
        <w:jc w:val="both"/>
        <w:ind w:left="968"/>
        <w:spacing w:after="0" w:line="259" w:lineRule="auto"/>
        <w:rPr>
          <w:rFonts w:ascii="Arial" w:cs="Arial" w:eastAsia="Arial" w:hAnsi="Arial"/>
          <w:sz w:val="18"/>
          <w:szCs w:val="18"/>
          <w:color w:val="auto"/>
        </w:rPr>
      </w:pPr>
      <w:r>
        <w:rPr>
          <w:rFonts w:ascii="Arial" w:cs="Arial" w:eastAsia="Arial" w:hAnsi="Arial"/>
          <w:sz w:val="18"/>
          <w:szCs w:val="18"/>
          <w:color w:val="auto"/>
        </w:rPr>
        <w:t>Confidential or sensitive information, such as pricing, submitted to and maintained by the Company in connection with the purchase of equipment, supplies and services, must be maintained in strictest confidence, in order to avoid giving or removing any competitive advantage with respect to any of several suppliers. Such information should remain confidential, except as set forth under the heading “Reservation of Rights”.</w:t>
      </w:r>
    </w:p>
    <w:p>
      <w:pPr>
        <w:spacing w:after="0" w:line="186" w:lineRule="exact"/>
        <w:rPr>
          <w:rFonts w:ascii="Arial" w:cs="Arial" w:eastAsia="Arial" w:hAnsi="Arial"/>
          <w:sz w:val="18"/>
          <w:szCs w:val="18"/>
          <w:color w:val="auto"/>
        </w:rPr>
      </w:pPr>
    </w:p>
    <w:p>
      <w:pPr>
        <w:ind w:left="328" w:hanging="328"/>
        <w:spacing w:after="0"/>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SECURITIES, INVESTMENT AND TRADING</w:t>
      </w:r>
    </w:p>
    <w:p>
      <w:pPr>
        <w:spacing w:after="0" w:line="225" w:lineRule="exact"/>
        <w:rPr>
          <w:rFonts w:ascii="Arial" w:cs="Arial" w:eastAsia="Arial" w:hAnsi="Arial"/>
          <w:sz w:val="18"/>
          <w:szCs w:val="18"/>
          <w:color w:val="auto"/>
        </w:rPr>
      </w:pPr>
    </w:p>
    <w:p>
      <w:pPr>
        <w:ind w:left="968" w:hanging="320"/>
        <w:spacing w:after="0"/>
        <w:tabs>
          <w:tab w:leader="none" w:pos="9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PERSONAL INVESTMENTS</w:t>
      </w:r>
    </w:p>
    <w:p>
      <w:pPr>
        <w:spacing w:after="0" w:line="225" w:lineRule="exact"/>
        <w:rPr>
          <w:rFonts w:ascii="Arial" w:cs="Arial" w:eastAsia="Arial" w:hAnsi="Arial"/>
          <w:sz w:val="18"/>
          <w:szCs w:val="18"/>
          <w:color w:val="auto"/>
        </w:rPr>
      </w:pPr>
    </w:p>
    <w:p>
      <w:pPr>
        <w:ind w:left="968"/>
        <w:spacing w:after="0" w:line="277" w:lineRule="auto"/>
        <w:rPr>
          <w:rFonts w:ascii="Arial" w:cs="Arial" w:eastAsia="Arial" w:hAnsi="Arial"/>
          <w:sz w:val="18"/>
          <w:szCs w:val="18"/>
          <w:color w:val="auto"/>
        </w:rPr>
      </w:pPr>
      <w:r>
        <w:rPr>
          <w:rFonts w:ascii="Arial" w:cs="Arial" w:eastAsia="Arial" w:hAnsi="Arial"/>
          <w:sz w:val="18"/>
          <w:szCs w:val="18"/>
          <w:color w:val="auto"/>
        </w:rPr>
        <w:t>Associates are free to invest in stock, bonds and other securities at their discretion, but must always comply with applicable laws and regulations.</w:t>
      </w:r>
    </w:p>
    <w:p>
      <w:pPr>
        <w:spacing w:after="0" w:line="170" w:lineRule="exact"/>
        <w:rPr>
          <w:rFonts w:ascii="Arial" w:cs="Arial" w:eastAsia="Arial" w:hAnsi="Arial"/>
          <w:sz w:val="18"/>
          <w:szCs w:val="18"/>
          <w:color w:val="auto"/>
        </w:rPr>
      </w:pPr>
    </w:p>
    <w:p>
      <w:pPr>
        <w:ind w:left="968" w:hanging="320"/>
        <w:spacing w:after="0"/>
        <w:tabs>
          <w:tab w:leader="none" w:pos="9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INSIDER TRADING</w:t>
      </w:r>
    </w:p>
    <w:p>
      <w:pPr>
        <w:spacing w:after="0" w:line="225" w:lineRule="exact"/>
        <w:rPr>
          <w:rFonts w:ascii="Arial" w:cs="Arial" w:eastAsia="Arial" w:hAnsi="Arial"/>
          <w:sz w:val="18"/>
          <w:szCs w:val="18"/>
          <w:color w:val="auto"/>
        </w:rPr>
      </w:pPr>
    </w:p>
    <w:p>
      <w:pPr>
        <w:jc w:val="both"/>
        <w:ind w:left="968"/>
        <w:spacing w:after="0" w:line="263" w:lineRule="auto"/>
        <w:rPr>
          <w:rFonts w:ascii="Arial" w:cs="Arial" w:eastAsia="Arial" w:hAnsi="Arial"/>
          <w:sz w:val="18"/>
          <w:szCs w:val="18"/>
          <w:color w:val="auto"/>
        </w:rPr>
      </w:pPr>
      <w:r>
        <w:rPr>
          <w:rFonts w:ascii="Arial" w:cs="Arial" w:eastAsia="Arial" w:hAnsi="Arial"/>
          <w:sz w:val="18"/>
          <w:szCs w:val="18"/>
          <w:color w:val="auto"/>
        </w:rPr>
        <w:t>Associates must never make changes in their personal investment portfolios on the basis of confidential information relating to the Company or obtained through the Company's business. In addition, associates are expected to follow the Company's Insider Stock Trading Policy and any other internal policies and procedures in effect from time to time.</w:t>
      </w:r>
    </w:p>
    <w:p>
      <w:pPr>
        <w:spacing w:after="0" w:line="183" w:lineRule="exact"/>
        <w:rPr>
          <w:rFonts w:ascii="Arial" w:cs="Arial" w:eastAsia="Arial" w:hAnsi="Arial"/>
          <w:sz w:val="18"/>
          <w:szCs w:val="18"/>
          <w:color w:val="auto"/>
        </w:rPr>
      </w:pPr>
    </w:p>
    <w:p>
      <w:pPr>
        <w:ind w:left="968" w:hanging="320"/>
        <w:spacing w:after="0"/>
        <w:tabs>
          <w:tab w:leader="none" w:pos="9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VIOLATIONS OF LAW</w:t>
      </w:r>
    </w:p>
    <w:p>
      <w:pPr>
        <w:spacing w:after="0" w:line="225" w:lineRule="exact"/>
        <w:rPr>
          <w:rFonts w:ascii="Arial" w:cs="Arial" w:eastAsia="Arial" w:hAnsi="Arial"/>
          <w:sz w:val="18"/>
          <w:szCs w:val="18"/>
          <w:color w:val="auto"/>
        </w:rPr>
      </w:pPr>
    </w:p>
    <w:p>
      <w:pPr>
        <w:jc w:val="both"/>
        <w:ind w:left="968"/>
        <w:spacing w:after="0" w:line="286" w:lineRule="auto"/>
        <w:rPr>
          <w:rFonts w:ascii="Arial" w:cs="Arial" w:eastAsia="Arial" w:hAnsi="Arial"/>
          <w:sz w:val="18"/>
          <w:szCs w:val="18"/>
          <w:color w:val="auto"/>
        </w:rPr>
      </w:pPr>
      <w:r>
        <w:rPr>
          <w:rFonts w:ascii="Arial" w:cs="Arial" w:eastAsia="Arial" w:hAnsi="Arial"/>
          <w:sz w:val="17"/>
          <w:szCs w:val="17"/>
          <w:color w:val="auto"/>
        </w:rPr>
        <w:t>Significant federal laws govern the disclosure of material, non-public information or trading in the Company's Common Stock on the basis of any such information. Those who disclose confidential information to an outsider who either trades on the information or passes the information along will be subject to the same sanctions as if they had traded the Company's Common Stock themselves.</w:t>
      </w:r>
    </w:p>
    <w:p>
      <w:pPr>
        <w:spacing w:after="0" w:line="165" w:lineRule="exact"/>
        <w:rPr>
          <w:rFonts w:ascii="Arial" w:cs="Arial" w:eastAsia="Arial" w:hAnsi="Arial"/>
          <w:sz w:val="18"/>
          <w:szCs w:val="18"/>
          <w:color w:val="auto"/>
        </w:rPr>
      </w:pPr>
    </w:p>
    <w:p>
      <w:pPr>
        <w:ind w:left="968" w:hanging="320"/>
        <w:spacing w:after="0"/>
        <w:tabs>
          <w:tab w:leader="none" w:pos="9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RESPONSE TO INQUIRIES FROM OUTSIDERS</w:t>
      </w:r>
    </w:p>
    <w:p>
      <w:pPr>
        <w:spacing w:after="0" w:line="225" w:lineRule="exact"/>
        <w:rPr>
          <w:rFonts w:ascii="Arial" w:cs="Arial" w:eastAsia="Arial" w:hAnsi="Arial"/>
          <w:sz w:val="18"/>
          <w:szCs w:val="18"/>
          <w:color w:val="auto"/>
        </w:rPr>
      </w:pPr>
    </w:p>
    <w:p>
      <w:pPr>
        <w:jc w:val="both"/>
        <w:ind w:left="968"/>
        <w:spacing w:after="0" w:line="263" w:lineRule="auto"/>
        <w:rPr>
          <w:rFonts w:ascii="Arial" w:cs="Arial" w:eastAsia="Arial" w:hAnsi="Arial"/>
          <w:sz w:val="18"/>
          <w:szCs w:val="18"/>
          <w:color w:val="auto"/>
        </w:rPr>
      </w:pPr>
      <w:r>
        <w:rPr>
          <w:rFonts w:ascii="Arial" w:cs="Arial" w:eastAsia="Arial" w:hAnsi="Arial"/>
          <w:sz w:val="18"/>
          <w:szCs w:val="18"/>
          <w:color w:val="auto"/>
        </w:rPr>
        <w:t>Requests for information on authID's financial performance or other topics from the media or any other source should be directed to the Chief Financial Officer or General Counsel. authID associates should not answer such inquiries themselves. This does not preclude communications as set forth under the heading “Reservation of Rights”.</w:t>
      </w:r>
    </w:p>
    <w:p>
      <w:pPr>
        <w:spacing w:after="0" w:line="40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46" w:name="page47"/>
    <w:bookmarkEnd w:id="46"/>
    <w:p>
      <w:pPr>
        <w:ind w:left="328" w:hanging="328"/>
        <w:spacing w:after="0"/>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DEALING WITH THE ASSETS OF THE CORPORATION</w:t>
      </w:r>
    </w:p>
    <w:p>
      <w:pPr>
        <w:spacing w:after="0" w:line="225" w:lineRule="exact"/>
        <w:rPr>
          <w:rFonts w:ascii="Arial" w:cs="Arial" w:eastAsia="Arial" w:hAnsi="Arial"/>
          <w:sz w:val="18"/>
          <w:szCs w:val="18"/>
          <w:color w:val="auto"/>
        </w:rPr>
      </w:pPr>
    </w:p>
    <w:p>
      <w:pPr>
        <w:ind w:left="968" w:hanging="320"/>
        <w:spacing w:after="0"/>
        <w:tabs>
          <w:tab w:leader="none" w:pos="9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PROPRIETARY INFORMATION, PRODUCTS, SERVICES AND OTHER PROPERTY</w:t>
      </w:r>
    </w:p>
    <w:p>
      <w:pPr>
        <w:spacing w:after="0" w:line="225" w:lineRule="exact"/>
        <w:rPr>
          <w:rFonts w:ascii="Arial" w:cs="Arial" w:eastAsia="Arial" w:hAnsi="Arial"/>
          <w:sz w:val="18"/>
          <w:szCs w:val="18"/>
          <w:color w:val="auto"/>
        </w:rPr>
      </w:pPr>
    </w:p>
    <w:p>
      <w:pPr>
        <w:ind w:left="1628" w:hanging="332"/>
        <w:spacing w:after="0"/>
        <w:tabs>
          <w:tab w:leader="none" w:pos="1628" w:val="left"/>
        </w:tabs>
        <w:numPr>
          <w:ilvl w:val="2"/>
          <w:numId w:val="23"/>
        </w:numPr>
        <w:rPr>
          <w:rFonts w:ascii="Arial" w:cs="Arial" w:eastAsia="Arial" w:hAnsi="Arial"/>
          <w:sz w:val="18"/>
          <w:szCs w:val="18"/>
          <w:color w:val="auto"/>
        </w:rPr>
      </w:pPr>
      <w:r>
        <w:rPr>
          <w:rFonts w:ascii="Arial" w:cs="Arial" w:eastAsia="Arial" w:hAnsi="Arial"/>
          <w:sz w:val="18"/>
          <w:szCs w:val="18"/>
          <w:color w:val="auto"/>
        </w:rPr>
        <w:t>All associates shall protect the Company's ownership of property, including information, products and services.</w:t>
      </w:r>
    </w:p>
    <w:p>
      <w:pPr>
        <w:spacing w:after="0" w:line="225" w:lineRule="exact"/>
        <w:rPr>
          <w:rFonts w:ascii="Arial" w:cs="Arial" w:eastAsia="Arial" w:hAnsi="Arial"/>
          <w:sz w:val="18"/>
          <w:szCs w:val="18"/>
          <w:color w:val="auto"/>
        </w:rPr>
      </w:pPr>
    </w:p>
    <w:p>
      <w:pPr>
        <w:jc w:val="both"/>
        <w:ind w:left="1628" w:hanging="332"/>
        <w:spacing w:after="0" w:line="263" w:lineRule="auto"/>
        <w:tabs>
          <w:tab w:leader="none" w:pos="1628"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misuse or removal from Company office, warehouse or store facilities of the Company's merchandise, promotional product, furnishings, equipment, reports, computer software, data processing systems and supplies is prohibited, unless specifically authorized.</w:t>
      </w:r>
    </w:p>
    <w:p>
      <w:pPr>
        <w:spacing w:after="0" w:line="183" w:lineRule="exact"/>
        <w:rPr>
          <w:rFonts w:ascii="Arial" w:cs="Arial" w:eastAsia="Arial" w:hAnsi="Arial"/>
          <w:sz w:val="18"/>
          <w:szCs w:val="18"/>
          <w:color w:val="auto"/>
        </w:rPr>
      </w:pPr>
    </w:p>
    <w:p>
      <w:pPr>
        <w:ind w:left="1628" w:hanging="332"/>
        <w:spacing w:after="0" w:line="308" w:lineRule="auto"/>
        <w:tabs>
          <w:tab w:leader="none" w:pos="1628" w:val="left"/>
        </w:tabs>
        <w:numPr>
          <w:ilvl w:val="2"/>
          <w:numId w:val="23"/>
        </w:numPr>
        <w:rPr>
          <w:rFonts w:ascii="Arial" w:cs="Arial" w:eastAsia="Arial" w:hAnsi="Arial"/>
          <w:sz w:val="17"/>
          <w:szCs w:val="17"/>
          <w:color w:val="auto"/>
        </w:rPr>
      </w:pPr>
      <w:r>
        <w:rPr>
          <w:rFonts w:ascii="Arial" w:cs="Arial" w:eastAsia="Arial" w:hAnsi="Arial"/>
          <w:sz w:val="17"/>
          <w:szCs w:val="17"/>
          <w:color w:val="auto"/>
        </w:rPr>
        <w:t>Any contribution an associate makes to development and implementation of ideas or products while employed by the Company are the Company's property and remain its property even if the associate leaves the Company's employ.</w:t>
      </w:r>
    </w:p>
    <w:p>
      <w:pPr>
        <w:spacing w:after="0" w:line="146" w:lineRule="exact"/>
        <w:rPr>
          <w:rFonts w:ascii="Arial" w:cs="Arial" w:eastAsia="Arial" w:hAnsi="Arial"/>
          <w:sz w:val="17"/>
          <w:szCs w:val="17"/>
          <w:color w:val="auto"/>
        </w:rPr>
      </w:pPr>
    </w:p>
    <w:p>
      <w:pPr>
        <w:ind w:left="968" w:hanging="320"/>
        <w:spacing w:after="0"/>
        <w:tabs>
          <w:tab w:leader="none" w:pos="9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BRIBES AND PREFERENTIAL TREATMENT</w:t>
      </w:r>
    </w:p>
    <w:p>
      <w:pPr>
        <w:spacing w:after="0" w:line="225" w:lineRule="exact"/>
        <w:rPr>
          <w:rFonts w:ascii="Arial" w:cs="Arial" w:eastAsia="Arial" w:hAnsi="Arial"/>
          <w:sz w:val="18"/>
          <w:szCs w:val="18"/>
          <w:color w:val="auto"/>
        </w:rPr>
      </w:pPr>
    </w:p>
    <w:p>
      <w:pPr>
        <w:jc w:val="both"/>
        <w:ind w:left="968"/>
        <w:spacing w:after="0" w:line="263" w:lineRule="auto"/>
        <w:rPr>
          <w:rFonts w:ascii="Arial" w:cs="Arial" w:eastAsia="Arial" w:hAnsi="Arial"/>
          <w:sz w:val="18"/>
          <w:szCs w:val="18"/>
          <w:color w:val="auto"/>
        </w:rPr>
      </w:pPr>
      <w:r>
        <w:rPr>
          <w:rFonts w:ascii="Arial" w:cs="Arial" w:eastAsia="Arial" w:hAnsi="Arial"/>
          <w:sz w:val="18"/>
          <w:szCs w:val="18"/>
          <w:color w:val="auto"/>
        </w:rPr>
        <w:t>Bribes and kickbacks are illegal. No bribes, kickbacks, or other similar remuneration or consideration shall be given to any person or organization in order to attract business, obtain real estate or otherwise act in a manner even though it may appear to enhance the Company's best interests.</w:t>
      </w:r>
    </w:p>
    <w:p>
      <w:pPr>
        <w:spacing w:after="0" w:line="183" w:lineRule="exact"/>
        <w:rPr>
          <w:rFonts w:ascii="Arial" w:cs="Arial" w:eastAsia="Arial" w:hAnsi="Arial"/>
          <w:sz w:val="18"/>
          <w:szCs w:val="18"/>
          <w:color w:val="auto"/>
        </w:rPr>
      </w:pPr>
    </w:p>
    <w:p>
      <w:pPr>
        <w:jc w:val="both"/>
        <w:ind w:left="968" w:right="4140" w:hanging="320"/>
        <w:spacing w:after="0" w:line="563" w:lineRule="auto"/>
        <w:tabs>
          <w:tab w:leader="none" w:pos="968" w:val="left"/>
        </w:tabs>
        <w:numPr>
          <w:ilvl w:val="1"/>
          <w:numId w:val="23"/>
        </w:numPr>
        <w:rPr>
          <w:rFonts w:ascii="Arial" w:cs="Arial" w:eastAsia="Arial" w:hAnsi="Arial"/>
          <w:sz w:val="16"/>
          <w:szCs w:val="16"/>
          <w:color w:val="auto"/>
        </w:rPr>
      </w:pPr>
      <w:r>
        <w:rPr>
          <w:rFonts w:ascii="Arial" w:cs="Arial" w:eastAsia="Arial" w:hAnsi="Arial"/>
          <w:sz w:val="16"/>
          <w:szCs w:val="16"/>
          <w:color w:val="auto"/>
        </w:rPr>
        <w:t>PAYMENTS OR GIFTS TO U.S. OR FOREIGN GOVERNMENT OFFICIALS Payments or gifts to U.S. or foreign government officials are strictly prohibited.</w:t>
      </w:r>
    </w:p>
    <w:p>
      <w:pPr>
        <w:ind w:left="968" w:hanging="320"/>
        <w:spacing w:after="0"/>
        <w:tabs>
          <w:tab w:leader="none" w:pos="9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POLITICAL CONTRIBUTIONS</w:t>
      </w:r>
    </w:p>
    <w:p>
      <w:pPr>
        <w:spacing w:after="0" w:line="225" w:lineRule="exact"/>
        <w:rPr>
          <w:rFonts w:ascii="Arial" w:cs="Arial" w:eastAsia="Arial" w:hAnsi="Arial"/>
          <w:sz w:val="18"/>
          <w:szCs w:val="18"/>
          <w:color w:val="auto"/>
        </w:rPr>
      </w:pPr>
    </w:p>
    <w:p>
      <w:pPr>
        <w:ind w:left="968"/>
        <w:spacing w:after="0" w:line="277" w:lineRule="auto"/>
        <w:rPr>
          <w:rFonts w:ascii="Arial" w:cs="Arial" w:eastAsia="Arial" w:hAnsi="Arial"/>
          <w:sz w:val="18"/>
          <w:szCs w:val="18"/>
          <w:color w:val="auto"/>
        </w:rPr>
      </w:pPr>
      <w:r>
        <w:rPr>
          <w:rFonts w:ascii="Arial" w:cs="Arial" w:eastAsia="Arial" w:hAnsi="Arial"/>
          <w:sz w:val="18"/>
          <w:szCs w:val="18"/>
          <w:color w:val="auto"/>
        </w:rPr>
        <w:t>Federal law (and many states) prohibits corporations from making contributions directly or in kind to candidates for elected office or to political parties.</w:t>
      </w:r>
    </w:p>
    <w:p>
      <w:pPr>
        <w:spacing w:after="0" w:line="170" w:lineRule="exact"/>
        <w:rPr>
          <w:rFonts w:ascii="Arial" w:cs="Arial" w:eastAsia="Arial" w:hAnsi="Arial"/>
          <w:sz w:val="18"/>
          <w:szCs w:val="18"/>
          <w:color w:val="auto"/>
        </w:rPr>
      </w:pPr>
    </w:p>
    <w:p>
      <w:pPr>
        <w:ind w:left="968" w:hanging="320"/>
        <w:spacing w:after="0"/>
        <w:tabs>
          <w:tab w:leader="none" w:pos="9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FOREIGN BUSINESS</w:t>
      </w:r>
    </w:p>
    <w:p>
      <w:pPr>
        <w:spacing w:after="0" w:line="225" w:lineRule="exact"/>
        <w:rPr>
          <w:rFonts w:ascii="Arial" w:cs="Arial" w:eastAsia="Arial" w:hAnsi="Arial"/>
          <w:sz w:val="18"/>
          <w:szCs w:val="18"/>
          <w:color w:val="auto"/>
        </w:rPr>
      </w:pPr>
    </w:p>
    <w:p>
      <w:pPr>
        <w:ind w:left="968"/>
        <w:spacing w:after="0" w:line="277" w:lineRule="auto"/>
        <w:rPr>
          <w:rFonts w:ascii="Arial" w:cs="Arial" w:eastAsia="Arial" w:hAnsi="Arial"/>
          <w:sz w:val="18"/>
          <w:szCs w:val="18"/>
          <w:color w:val="auto"/>
        </w:rPr>
      </w:pPr>
      <w:r>
        <w:rPr>
          <w:rFonts w:ascii="Arial" w:cs="Arial" w:eastAsia="Arial" w:hAnsi="Arial"/>
          <w:sz w:val="18"/>
          <w:szCs w:val="18"/>
          <w:color w:val="auto"/>
        </w:rPr>
        <w:t>authID and its associates are required to honor all applicable foreign and United States law, including international agreements to which the U.S. has assented.</w:t>
      </w:r>
    </w:p>
    <w:p>
      <w:pPr>
        <w:spacing w:after="0" w:line="170" w:lineRule="exact"/>
        <w:rPr>
          <w:rFonts w:ascii="Arial" w:cs="Arial" w:eastAsia="Arial" w:hAnsi="Arial"/>
          <w:sz w:val="18"/>
          <w:szCs w:val="18"/>
          <w:color w:val="auto"/>
        </w:rPr>
      </w:pPr>
    </w:p>
    <w:p>
      <w:pPr>
        <w:ind w:left="968" w:hanging="320"/>
        <w:spacing w:after="0"/>
        <w:tabs>
          <w:tab w:leader="none" w:pos="9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ENVIRONMENTAL, HEALTH AND SAFETY STANDARDS</w:t>
      </w:r>
    </w:p>
    <w:p>
      <w:pPr>
        <w:spacing w:after="0" w:line="225" w:lineRule="exact"/>
        <w:rPr>
          <w:rFonts w:ascii="Arial" w:cs="Arial" w:eastAsia="Arial" w:hAnsi="Arial"/>
          <w:sz w:val="18"/>
          <w:szCs w:val="18"/>
          <w:color w:val="auto"/>
        </w:rPr>
      </w:pPr>
    </w:p>
    <w:p>
      <w:pPr>
        <w:ind w:left="968"/>
        <w:spacing w:after="0"/>
        <w:rPr>
          <w:rFonts w:ascii="Arial" w:cs="Arial" w:eastAsia="Arial" w:hAnsi="Arial"/>
          <w:sz w:val="18"/>
          <w:szCs w:val="18"/>
          <w:color w:val="auto"/>
        </w:rPr>
      </w:pPr>
      <w:r>
        <w:rPr>
          <w:rFonts w:ascii="Arial" w:cs="Arial" w:eastAsia="Arial" w:hAnsi="Arial"/>
          <w:sz w:val="18"/>
          <w:szCs w:val="18"/>
          <w:color w:val="auto"/>
        </w:rPr>
        <w:t>authID and its associates are required to comply with all applicable environmental, health and safety laws and regulations.</w:t>
      </w:r>
    </w:p>
    <w:p>
      <w:pPr>
        <w:spacing w:after="0" w:line="225" w:lineRule="exact"/>
        <w:rPr>
          <w:rFonts w:ascii="Arial" w:cs="Arial" w:eastAsia="Arial" w:hAnsi="Arial"/>
          <w:sz w:val="18"/>
          <w:szCs w:val="18"/>
          <w:color w:val="auto"/>
        </w:rPr>
      </w:pPr>
    </w:p>
    <w:p>
      <w:pPr>
        <w:ind w:left="968" w:hanging="320"/>
        <w:spacing w:after="0"/>
        <w:tabs>
          <w:tab w:leader="none" w:pos="9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COMMUNITY RELATIONS</w:t>
      </w:r>
    </w:p>
    <w:p>
      <w:pPr>
        <w:spacing w:after="0" w:line="225" w:lineRule="exact"/>
        <w:rPr>
          <w:rFonts w:ascii="Arial" w:cs="Arial" w:eastAsia="Arial" w:hAnsi="Arial"/>
          <w:sz w:val="18"/>
          <w:szCs w:val="18"/>
          <w:color w:val="auto"/>
        </w:rPr>
      </w:pPr>
    </w:p>
    <w:p>
      <w:pPr>
        <w:ind w:left="968" w:right="20"/>
        <w:spacing w:after="0" w:line="277" w:lineRule="auto"/>
        <w:rPr>
          <w:rFonts w:ascii="Arial" w:cs="Arial" w:eastAsia="Arial" w:hAnsi="Arial"/>
          <w:sz w:val="18"/>
          <w:szCs w:val="18"/>
          <w:color w:val="auto"/>
        </w:rPr>
      </w:pPr>
      <w:r>
        <w:rPr>
          <w:rFonts w:ascii="Arial" w:cs="Arial" w:eastAsia="Arial" w:hAnsi="Arial"/>
          <w:sz w:val="18"/>
          <w:szCs w:val="18"/>
          <w:color w:val="auto"/>
        </w:rPr>
        <w:t>authID and its associates are required to conduct themselves as responsible and useful corporate citizens in all of the communities in which we operate.</w:t>
      </w:r>
    </w:p>
    <w:p>
      <w:pPr>
        <w:spacing w:after="0" w:line="38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47" w:name="page48"/>
    <w:bookmarkEnd w:id="47"/>
    <w:p>
      <w:pPr>
        <w:ind w:left="968" w:hanging="320"/>
        <w:spacing w:after="0"/>
        <w:tabs>
          <w:tab w:leader="none" w:pos="9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PROPER ACCOUNTING</w:t>
      </w:r>
    </w:p>
    <w:p>
      <w:pPr>
        <w:spacing w:after="0" w:line="225" w:lineRule="exact"/>
        <w:rPr>
          <w:rFonts w:ascii="Arial" w:cs="Arial" w:eastAsia="Arial" w:hAnsi="Arial"/>
          <w:sz w:val="18"/>
          <w:szCs w:val="18"/>
          <w:color w:val="auto"/>
        </w:rPr>
      </w:pPr>
    </w:p>
    <w:p>
      <w:pPr>
        <w:jc w:val="both"/>
        <w:ind w:left="1628" w:hanging="332"/>
        <w:spacing w:after="0" w:line="259" w:lineRule="auto"/>
        <w:tabs>
          <w:tab w:leader="none" w:pos="1628"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Company has established internal accounting controls and record-keeping policies in order to meet both the legal and the business requirements of the Company. The Company has designed the accounting policies to comply with the Foreign Corrupt Practices Act, as well as all other current and future relevant legislation and regulations. Associates are expected to maintain and adhere to these controls and policies.</w:t>
      </w:r>
    </w:p>
    <w:p>
      <w:pPr>
        <w:spacing w:after="0" w:line="186" w:lineRule="exact"/>
        <w:rPr>
          <w:rFonts w:ascii="Arial" w:cs="Arial" w:eastAsia="Arial" w:hAnsi="Arial"/>
          <w:sz w:val="18"/>
          <w:szCs w:val="18"/>
          <w:color w:val="auto"/>
        </w:rPr>
      </w:pPr>
    </w:p>
    <w:p>
      <w:pPr>
        <w:jc w:val="both"/>
        <w:ind w:left="1628" w:hanging="332"/>
        <w:spacing w:after="0" w:line="275" w:lineRule="auto"/>
        <w:tabs>
          <w:tab w:leader="none" w:pos="1628" w:val="left"/>
        </w:tabs>
        <w:numPr>
          <w:ilvl w:val="2"/>
          <w:numId w:val="24"/>
        </w:numPr>
        <w:rPr>
          <w:rFonts w:ascii="Arial" w:cs="Arial" w:eastAsia="Arial" w:hAnsi="Arial"/>
          <w:sz w:val="17"/>
          <w:szCs w:val="17"/>
          <w:color w:val="auto"/>
        </w:rPr>
      </w:pPr>
      <w:r>
        <w:rPr>
          <w:rFonts w:ascii="Arial" w:cs="Arial" w:eastAsia="Arial" w:hAnsi="Arial"/>
          <w:sz w:val="17"/>
          <w:szCs w:val="17"/>
          <w:color w:val="auto"/>
        </w:rPr>
        <w:t>The accounting records of the Company must be complete, accurate and in reasonable detail. Such records include books of original entry and other financial information used for internal management decision-making and external reporting. The underlying transactions must be properly authorized and recorded on a timely basis in order to permit preparation of financial statements in accordance with generally accepted accounting principles and maintain accountability of assets. No fund or asset which is not fully and properly recorded on the Company's books is permitted.</w:t>
      </w:r>
    </w:p>
    <w:p>
      <w:pPr>
        <w:spacing w:after="0" w:line="176" w:lineRule="exact"/>
        <w:rPr>
          <w:rFonts w:ascii="Arial" w:cs="Arial" w:eastAsia="Arial" w:hAnsi="Arial"/>
          <w:sz w:val="17"/>
          <w:szCs w:val="17"/>
          <w:color w:val="auto"/>
        </w:rPr>
      </w:pPr>
    </w:p>
    <w:p>
      <w:pPr>
        <w:ind w:left="1628" w:hanging="332"/>
        <w:spacing w:after="0" w:line="277" w:lineRule="auto"/>
        <w:tabs>
          <w:tab w:leader="none" w:pos="1628" w:val="left"/>
        </w:tabs>
        <w:numPr>
          <w:ilvl w:val="2"/>
          <w:numId w:val="24"/>
        </w:numPr>
        <w:rPr>
          <w:rFonts w:ascii="Arial" w:cs="Arial" w:eastAsia="Arial" w:hAnsi="Arial"/>
          <w:sz w:val="18"/>
          <w:szCs w:val="18"/>
          <w:color w:val="auto"/>
        </w:rPr>
      </w:pPr>
      <w:r>
        <w:rPr>
          <w:rFonts w:ascii="Arial" w:cs="Arial" w:eastAsia="Arial" w:hAnsi="Arial"/>
          <w:sz w:val="18"/>
          <w:szCs w:val="18"/>
          <w:color w:val="auto"/>
        </w:rPr>
        <w:t>All officers and associates of the Company who are authorized to incur business expenses are responsible for the accurate and timely reporting of such expenses. All expenditures must be in accordance with existing policies.</w:t>
      </w:r>
    </w:p>
    <w:p>
      <w:pPr>
        <w:spacing w:after="0" w:line="170" w:lineRule="exact"/>
        <w:rPr>
          <w:rFonts w:ascii="Arial" w:cs="Arial" w:eastAsia="Arial" w:hAnsi="Arial"/>
          <w:sz w:val="18"/>
          <w:szCs w:val="18"/>
          <w:color w:val="auto"/>
        </w:rPr>
      </w:pPr>
    </w:p>
    <w:p>
      <w:pPr>
        <w:ind w:left="1628" w:hanging="332"/>
        <w:spacing w:after="0"/>
        <w:tabs>
          <w:tab w:leader="none" w:pos="1628" w:val="left"/>
        </w:tabs>
        <w:numPr>
          <w:ilvl w:val="2"/>
          <w:numId w:val="24"/>
        </w:numPr>
        <w:rPr>
          <w:rFonts w:ascii="Arial" w:cs="Arial" w:eastAsia="Arial" w:hAnsi="Arial"/>
          <w:sz w:val="18"/>
          <w:szCs w:val="18"/>
          <w:color w:val="auto"/>
        </w:rPr>
      </w:pPr>
      <w:r>
        <w:rPr>
          <w:rFonts w:ascii="Arial" w:cs="Arial" w:eastAsia="Arial" w:hAnsi="Arial"/>
          <w:sz w:val="18"/>
          <w:szCs w:val="18"/>
          <w:color w:val="auto"/>
        </w:rPr>
        <w:t>It is unlawful to falsify any book, record or account which reflects transactions of the Company's assets.</w:t>
      </w:r>
    </w:p>
    <w:p>
      <w:pPr>
        <w:spacing w:after="0" w:line="225" w:lineRule="exact"/>
        <w:rPr>
          <w:rFonts w:ascii="Arial" w:cs="Arial" w:eastAsia="Arial" w:hAnsi="Arial"/>
          <w:sz w:val="18"/>
          <w:szCs w:val="18"/>
          <w:color w:val="auto"/>
        </w:rPr>
      </w:pPr>
    </w:p>
    <w:p>
      <w:pPr>
        <w:ind w:left="1628" w:hanging="332"/>
        <w:spacing w:after="0"/>
        <w:tabs>
          <w:tab w:leader="none" w:pos="1628" w:val="left"/>
        </w:tabs>
        <w:numPr>
          <w:ilvl w:val="2"/>
          <w:numId w:val="24"/>
        </w:numPr>
        <w:rPr>
          <w:rFonts w:ascii="Arial" w:cs="Arial" w:eastAsia="Arial" w:hAnsi="Arial"/>
          <w:sz w:val="18"/>
          <w:szCs w:val="18"/>
          <w:color w:val="auto"/>
        </w:rPr>
      </w:pPr>
      <w:r>
        <w:rPr>
          <w:rFonts w:ascii="Arial" w:cs="Arial" w:eastAsia="Arial" w:hAnsi="Arial"/>
          <w:sz w:val="18"/>
          <w:szCs w:val="18"/>
          <w:color w:val="auto"/>
        </w:rPr>
        <w:t>No secret or unrecorded funds or assets shall be established or continued.</w:t>
      </w:r>
    </w:p>
    <w:p>
      <w:pPr>
        <w:spacing w:after="0" w:line="225" w:lineRule="exact"/>
        <w:rPr>
          <w:rFonts w:ascii="Arial" w:cs="Arial" w:eastAsia="Arial" w:hAnsi="Arial"/>
          <w:sz w:val="18"/>
          <w:szCs w:val="18"/>
          <w:color w:val="auto"/>
        </w:rPr>
      </w:pPr>
    </w:p>
    <w:p>
      <w:pPr>
        <w:ind w:left="8"/>
        <w:spacing w:after="0"/>
        <w:rPr>
          <w:rFonts w:ascii="Arial" w:cs="Arial" w:eastAsia="Arial" w:hAnsi="Arial"/>
          <w:sz w:val="18"/>
          <w:szCs w:val="18"/>
          <w:color w:val="auto"/>
        </w:rPr>
      </w:pPr>
      <w:r>
        <w:rPr>
          <w:rFonts w:ascii="Arial" w:cs="Arial" w:eastAsia="Arial" w:hAnsi="Arial"/>
          <w:sz w:val="18"/>
          <w:szCs w:val="18"/>
          <w:color w:val="auto"/>
        </w:rPr>
        <w:t>F.  RESERVATION OF RIGHTS</w:t>
      </w:r>
    </w:p>
    <w:p>
      <w:pPr>
        <w:spacing w:after="0" w:line="225" w:lineRule="exact"/>
        <w:rPr>
          <w:sz w:val="20"/>
          <w:szCs w:val="20"/>
          <w:color w:val="auto"/>
        </w:rPr>
      </w:pPr>
    </w:p>
    <w:p>
      <w:pPr>
        <w:jc w:val="both"/>
        <w:ind w:left="8"/>
        <w:spacing w:after="0" w:line="279" w:lineRule="auto"/>
        <w:rPr>
          <w:sz w:val="20"/>
          <w:szCs w:val="20"/>
          <w:color w:val="auto"/>
        </w:rPr>
      </w:pPr>
      <w:r>
        <w:rPr>
          <w:rFonts w:ascii="Arial" w:cs="Arial" w:eastAsia="Arial" w:hAnsi="Arial"/>
          <w:sz w:val="17"/>
          <w:szCs w:val="17"/>
          <w:color w:val="auto"/>
        </w:rPr>
        <w:t>Nothing in this Code of Ethics or any policies of the Company prohibits any Associate from reporting possible violations of law or regulation to any governmental agency or entity or making other disclosures that are protected under the whistleblower provisions of federal law or regulation or from participating in any investigation or proceeding that may be conducted by any government agency. You do not need the prior consent of the Company to make any such reports and you are not required to disclose to or notify the Company if any such reports are made.</w:t>
      </w:r>
    </w:p>
    <w:p>
      <w:pPr>
        <w:spacing w:after="0" w:line="171" w:lineRule="exact"/>
        <w:rPr>
          <w:sz w:val="20"/>
          <w:szCs w:val="20"/>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EQUAL EMPLOYMENT OPPORTUNITY</w:t>
      </w:r>
    </w:p>
    <w:p>
      <w:pPr>
        <w:spacing w:after="0" w:line="225" w:lineRule="exact"/>
        <w:rPr>
          <w:rFonts w:ascii="Arial" w:cs="Arial" w:eastAsia="Arial" w:hAnsi="Arial"/>
          <w:sz w:val="18"/>
          <w:szCs w:val="18"/>
          <w:color w:val="auto"/>
        </w:rPr>
      </w:pPr>
    </w:p>
    <w:p>
      <w:pPr>
        <w:jc w:val="both"/>
        <w:ind w:left="328"/>
        <w:spacing w:after="0" w:line="254" w:lineRule="auto"/>
        <w:rPr>
          <w:rFonts w:ascii="Arial" w:cs="Arial" w:eastAsia="Arial" w:hAnsi="Arial"/>
          <w:sz w:val="18"/>
          <w:szCs w:val="18"/>
          <w:color w:val="auto"/>
        </w:rPr>
      </w:pPr>
      <w:r>
        <w:rPr>
          <w:rFonts w:ascii="Arial" w:cs="Arial" w:eastAsia="Arial" w:hAnsi="Arial"/>
          <w:sz w:val="18"/>
          <w:szCs w:val="18"/>
          <w:color w:val="auto"/>
        </w:rPr>
        <w:t>authID is an equal opportunity employer. This policy prohibits discrimination on any basis considered unlawful under federal, state and/or local laws including but not limited to age, race, religion, color, national origin, citizenship, physical or mental disability, sex, marital status, veteran's status, sexual orientation, pregnancy or any other category protected under federal, state or local law, regulation or ordinance. authID is dedicated to ensuring the fulfillment of this policy with respect to hiring, placement, promotion, transfer, demotion, lay-off, termination, recruitment, advertising, rates of pay or other forms of compensation, selection for training and general treatment during employment. This includes making reasonable accommodations for applicants and employees with disabilities unless the accommodation would impose an undue hardship on the operation of our business.</w:t>
      </w:r>
    </w:p>
    <w:p>
      <w:pPr>
        <w:spacing w:after="0" w:line="194" w:lineRule="exact"/>
        <w:rPr>
          <w:rFonts w:ascii="Arial" w:cs="Arial" w:eastAsia="Arial" w:hAnsi="Arial"/>
          <w:sz w:val="18"/>
          <w:szCs w:val="18"/>
          <w:color w:val="auto"/>
        </w:rPr>
      </w:pPr>
    </w:p>
    <w:p>
      <w:pPr>
        <w:jc w:val="both"/>
        <w:ind w:left="328"/>
        <w:spacing w:after="0" w:line="263" w:lineRule="auto"/>
        <w:rPr>
          <w:rFonts w:ascii="Arial" w:cs="Arial" w:eastAsia="Arial" w:hAnsi="Arial"/>
          <w:sz w:val="18"/>
          <w:szCs w:val="18"/>
          <w:color w:val="auto"/>
        </w:rPr>
      </w:pPr>
      <w:r>
        <w:rPr>
          <w:rFonts w:ascii="Arial" w:cs="Arial" w:eastAsia="Arial" w:hAnsi="Arial"/>
          <w:sz w:val="18"/>
          <w:szCs w:val="18"/>
          <w:color w:val="auto"/>
        </w:rPr>
        <w:t>In addition, it is authID's policy to prohibit harassment of any associate by a manager, supervisor, co-worker, client, customer or visitor on the basis of the above-mentioned classifications, including gender. The purpose of this policy is to ensure that at authID all associates are free from harassment on the basis of all the above-mentioned classifications including but not limited to gender.</w:t>
      </w:r>
    </w:p>
    <w:p>
      <w:pPr>
        <w:spacing w:after="0" w:line="40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Rhoniel Daguro, Chief Executive Officer certify that:</w:t>
      </w:r>
    </w:p>
    <w:p>
      <w:pPr>
        <w:spacing w:after="0" w:line="22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authID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328"/>
        <w:spacing w:after="0" w:line="308" w:lineRule="auto"/>
        <w:tabs>
          <w:tab w:leader="none" w:pos="6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6"/>
          <w:szCs w:val="16"/>
          <w:color w:val="auto"/>
        </w:rPr>
        <w:t>/s/ Rhoniel Daguro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Rhoniel Daguro</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Edward Sellitto Chief Financial Officer, certify that:</w:t>
      </w:r>
    </w:p>
    <w:p>
      <w:pPr>
        <w:spacing w:after="0" w:line="22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authID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328"/>
        <w:spacing w:after="0" w:line="308" w:lineRule="auto"/>
        <w:tabs>
          <w:tab w:leader="none" w:pos="6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6"/>
          <w:szCs w:val="16"/>
          <w:color w:val="auto"/>
        </w:rPr>
        <w:t>/s/ Ed Sellitto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Ed Sellitto</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authID Inc. (the “Company”) on Form 10-Q for the quarter ended September 30, 2023 as filed with the Securities and Exchange Commission (the “Report”), I, Rhoniel Daguro, Chief Executive Officer of the Company, and, Edward Sellitto, Chief Financial Officer of the Company, certify, pursuant to 18 U.S.C. SS. 1350, as adopted pursuant to SS.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November 8, 2023</w:t>
      </w:r>
      <w:r>
        <w:rPr>
          <w:sz w:val="20"/>
          <w:szCs w:val="20"/>
          <w:color w:val="auto"/>
        </w:rPr>
        <w:tab/>
      </w:r>
      <w:r>
        <w:rPr>
          <w:rFonts w:ascii="Arial" w:cs="Arial" w:eastAsia="Arial" w:hAnsi="Arial"/>
          <w:sz w:val="16"/>
          <w:szCs w:val="16"/>
          <w:color w:val="auto"/>
        </w:rPr>
        <w:t>/s/ Rhoniel Daguro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Rhoniel Daguro</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November 8, 2023</w:t>
      </w:r>
      <w:r>
        <w:rPr>
          <w:sz w:val="20"/>
          <w:szCs w:val="20"/>
          <w:color w:val="auto"/>
        </w:rPr>
        <w:tab/>
      </w:r>
      <w:r>
        <w:rPr>
          <w:rFonts w:ascii="Arial" w:cs="Arial" w:eastAsia="Arial" w:hAnsi="Arial"/>
          <w:sz w:val="16"/>
          <w:szCs w:val="16"/>
          <w:color w:val="auto"/>
        </w:rPr>
        <w:t>/s/ Ed Sellitto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Ed Sellitto, Chief Financial Officer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51" w:name="page52"/>
    <w:bookmarkEnd w:id="51"/>
    <w:p>
      <w:pPr>
        <w:ind w:left="10260"/>
        <w:spacing w:after="0"/>
        <w:rPr>
          <w:sz w:val="20"/>
          <w:szCs w:val="20"/>
          <w:color w:val="auto"/>
        </w:rPr>
      </w:pPr>
      <w:r>
        <w:rPr>
          <w:rFonts w:ascii="Arial" w:cs="Arial" w:eastAsia="Arial" w:hAnsi="Arial"/>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AUTHID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POLICY FOR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RECOVERY OF ERRONEOUSLY AWARDED COMPENSATION</w:t>
      </w:r>
    </w:p>
    <w:p>
      <w:pPr>
        <w:spacing w:after="0" w:line="207"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accordance with the applicable rules of The Nasdaq Stock Market (the </w:t>
      </w:r>
      <w:r>
        <w:rPr>
          <w:rFonts w:ascii="Arial" w:cs="Arial" w:eastAsia="Arial" w:hAnsi="Arial"/>
          <w:sz w:val="18"/>
          <w:szCs w:val="18"/>
          <w:b w:val="1"/>
          <w:bCs w:val="1"/>
          <w:i w:val="1"/>
          <w:iCs w:val="1"/>
          <w:color w:val="auto"/>
        </w:rPr>
        <w:t>“Nasdaq Rules”</w:t>
      </w:r>
      <w:r>
        <w:rPr>
          <w:rFonts w:ascii="Arial" w:cs="Arial" w:eastAsia="Arial" w:hAnsi="Arial"/>
          <w:sz w:val="18"/>
          <w:szCs w:val="18"/>
          <w:color w:val="auto"/>
        </w:rPr>
        <w:t>), Section 10D and Rule 10D-1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w:t>
      </w:r>
      <w:r>
        <w:rPr>
          <w:rFonts w:ascii="Arial" w:cs="Arial" w:eastAsia="Arial" w:hAnsi="Arial"/>
          <w:sz w:val="18"/>
          <w:szCs w:val="18"/>
          <w:b w:val="1"/>
          <w:bCs w:val="1"/>
          <w:i w:val="1"/>
          <w:iCs w:val="1"/>
          <w:color w:val="auto"/>
        </w:rPr>
        <w:t>Rule 10D-1</w:t>
      </w:r>
      <w:r>
        <w:rPr>
          <w:rFonts w:ascii="Arial" w:cs="Arial" w:eastAsia="Arial" w:hAnsi="Arial"/>
          <w:sz w:val="18"/>
          <w:szCs w:val="18"/>
          <w:color w:val="auto"/>
        </w:rPr>
        <w:t>”),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authID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adopted this Policy (the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to provide for the recovery of erroneously awarded Incentive-based Compensation from Covered Persons. All capitalized terms used and not otherwise defined herein shall have the meanings set forth in Section H, below.</w:t>
      </w:r>
    </w:p>
    <w:p>
      <w:pPr>
        <w:spacing w:after="0" w:line="183"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RECOVERY OF ERRONEOUSLY AWARDED COMPENSATION</w:t>
      </w:r>
    </w:p>
    <w:p>
      <w:pPr>
        <w:spacing w:after="0" w:line="229" w:lineRule="exact"/>
        <w:rPr>
          <w:rFonts w:ascii="Arial" w:cs="Arial" w:eastAsia="Arial" w:hAnsi="Arial"/>
          <w:sz w:val="18"/>
          <w:szCs w:val="18"/>
          <w:color w:val="auto"/>
        </w:rPr>
      </w:pPr>
    </w:p>
    <w:p>
      <w:pPr>
        <w:ind w:firstLine="656"/>
        <w:spacing w:after="0" w:line="277" w:lineRule="auto"/>
        <w:tabs>
          <w:tab w:leader="none" w:pos="903"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the event of an Accounting Restatement, the Company will reasonably promptly recover the Erroneously Awarded Compensation Received in accordance with Nasdaq Rules and Rule 10D-1 as follows:</w:t>
      </w:r>
    </w:p>
    <w:p>
      <w:pPr>
        <w:spacing w:after="0" w:line="170"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After an Accounting Restatement, the Compensation Committee (if composed entirely of independent directors, or in the absence of such a committee, a majority of independent directors serving on the Board)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shall determine the amount of any Erroneously Awarded Compensation Received by each Covered Person and shall promptly notify each Covered Person with a written notice containing the amount of any Erroneously Awarded Compensation and a demand for repayment or return of such compensation, as applicable.</w:t>
      </w:r>
    </w:p>
    <w:p>
      <w:pPr>
        <w:spacing w:after="0" w:line="187" w:lineRule="exact"/>
        <w:rPr>
          <w:rFonts w:ascii="Arial" w:cs="Arial" w:eastAsia="Arial" w:hAnsi="Arial"/>
          <w:sz w:val="18"/>
          <w:szCs w:val="18"/>
          <w:color w:val="auto"/>
        </w:rPr>
      </w:pPr>
    </w:p>
    <w:p>
      <w:pPr>
        <w:jc w:val="both"/>
        <w:ind w:left="1300" w:right="20" w:hanging="320"/>
        <w:spacing w:after="0" w:line="263" w:lineRule="auto"/>
        <w:tabs>
          <w:tab w:leader="none" w:pos="13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For Incentive-based Compensation based on (or derived from) the Company’s stock price or total shareholder return, where the amount of Erroneously Awarded Compensation is not subject to mathematical recalculation directly from the information in the applicable Accounting Restatement:</w:t>
      </w:r>
    </w:p>
    <w:p>
      <w:pPr>
        <w:spacing w:after="0" w:line="183"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3"/>
          <w:numId w:val="30"/>
        </w:numPr>
        <w:rPr>
          <w:rFonts w:ascii="Arial" w:cs="Arial" w:eastAsia="Arial" w:hAnsi="Arial"/>
          <w:sz w:val="18"/>
          <w:szCs w:val="18"/>
          <w:color w:val="auto"/>
        </w:rPr>
      </w:pPr>
      <w:r>
        <w:rPr>
          <w:rFonts w:ascii="Arial" w:cs="Arial" w:eastAsia="Arial" w:hAnsi="Arial"/>
          <w:sz w:val="18"/>
          <w:szCs w:val="18"/>
          <w:color w:val="auto"/>
        </w:rPr>
        <w:t>The amount to be repaid or returned shall be determined by the Committee based on a reasonable estimate of the effect of the Accounting Restatement on the Company’s stock price or total shareholder return upon which the Incentive-based Compensation was Received; and</w:t>
      </w:r>
    </w:p>
    <w:p>
      <w:pPr>
        <w:spacing w:after="0" w:line="183" w:lineRule="exact"/>
        <w:rPr>
          <w:rFonts w:ascii="Arial" w:cs="Arial" w:eastAsia="Arial" w:hAnsi="Arial"/>
          <w:sz w:val="18"/>
          <w:szCs w:val="18"/>
          <w:color w:val="auto"/>
        </w:rPr>
      </w:pPr>
    </w:p>
    <w:p>
      <w:pPr>
        <w:ind w:left="1620" w:right="20" w:hanging="316"/>
        <w:spacing w:after="0" w:line="277" w:lineRule="auto"/>
        <w:tabs>
          <w:tab w:leader="none" w:pos="1620" w:val="left"/>
        </w:tabs>
        <w:numPr>
          <w:ilvl w:val="3"/>
          <w:numId w:val="30"/>
        </w:numPr>
        <w:rPr>
          <w:rFonts w:ascii="Arial" w:cs="Arial" w:eastAsia="Arial" w:hAnsi="Arial"/>
          <w:sz w:val="18"/>
          <w:szCs w:val="18"/>
          <w:color w:val="auto"/>
        </w:rPr>
      </w:pPr>
      <w:r>
        <w:rPr>
          <w:rFonts w:ascii="Arial" w:cs="Arial" w:eastAsia="Arial" w:hAnsi="Arial"/>
          <w:sz w:val="18"/>
          <w:szCs w:val="18"/>
          <w:color w:val="auto"/>
        </w:rPr>
        <w:t>The Company shall maintain documentation of the determination of such reasonable estimate and provide the relevant documentation as required to the Nasdaq.</w:t>
      </w:r>
    </w:p>
    <w:p>
      <w:pPr>
        <w:spacing w:after="0" w:line="170"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Committee shall have discretion to determine the appropriate means of recovering Erroneously Awarded Compensation based on the particular facts and circumstances. Notwithstanding the foregoing, except as set forth in Section B(2) below, in no event may the Company accept an amount that is less than the amount of Erroneously Awarded Compensation in satisfaction of a Covered Person’s obligations hereunder. The method for recovering Erroneously Awarded Compensation hereunder may include, without limitation, any one or more of the following:</w:t>
      </w:r>
    </w:p>
    <w:p>
      <w:pPr>
        <w:spacing w:after="0" w:line="187" w:lineRule="exact"/>
        <w:rPr>
          <w:rFonts w:ascii="Arial" w:cs="Arial" w:eastAsia="Arial" w:hAnsi="Arial"/>
          <w:sz w:val="18"/>
          <w:szCs w:val="18"/>
          <w:color w:val="auto"/>
        </w:rPr>
      </w:pPr>
    </w:p>
    <w:p>
      <w:pPr>
        <w:ind w:left="1620" w:hanging="316"/>
        <w:spacing w:after="0"/>
        <w:tabs>
          <w:tab w:leader="none" w:pos="1620" w:val="left"/>
        </w:tabs>
        <w:numPr>
          <w:ilvl w:val="3"/>
          <w:numId w:val="30"/>
        </w:numPr>
        <w:rPr>
          <w:rFonts w:ascii="Arial" w:cs="Arial" w:eastAsia="Arial" w:hAnsi="Arial"/>
          <w:sz w:val="18"/>
          <w:szCs w:val="18"/>
          <w:color w:val="auto"/>
        </w:rPr>
      </w:pPr>
      <w:r>
        <w:rPr>
          <w:rFonts w:ascii="Arial" w:cs="Arial" w:eastAsia="Arial" w:hAnsi="Arial"/>
          <w:sz w:val="18"/>
          <w:szCs w:val="18"/>
          <w:color w:val="auto"/>
        </w:rPr>
        <w:t>requiring reimbursement of cash Incentive-Based Compensation previously paid;</w:t>
      </w:r>
    </w:p>
    <w:p>
      <w:pPr>
        <w:spacing w:after="0" w:line="225" w:lineRule="exact"/>
        <w:rPr>
          <w:rFonts w:ascii="Arial" w:cs="Arial" w:eastAsia="Arial" w:hAnsi="Arial"/>
          <w:sz w:val="18"/>
          <w:szCs w:val="18"/>
          <w:color w:val="auto"/>
        </w:rPr>
      </w:pPr>
    </w:p>
    <w:p>
      <w:pPr>
        <w:ind w:left="1620" w:hanging="316"/>
        <w:spacing w:after="0" w:line="277" w:lineRule="auto"/>
        <w:tabs>
          <w:tab w:leader="none" w:pos="1620" w:val="left"/>
        </w:tabs>
        <w:numPr>
          <w:ilvl w:val="3"/>
          <w:numId w:val="30"/>
        </w:numPr>
        <w:rPr>
          <w:rFonts w:ascii="Arial" w:cs="Arial" w:eastAsia="Arial" w:hAnsi="Arial"/>
          <w:sz w:val="18"/>
          <w:szCs w:val="18"/>
          <w:color w:val="auto"/>
        </w:rPr>
      </w:pPr>
      <w:r>
        <w:rPr>
          <w:rFonts w:ascii="Arial" w:cs="Arial" w:eastAsia="Arial" w:hAnsi="Arial"/>
          <w:sz w:val="18"/>
          <w:szCs w:val="18"/>
          <w:color w:val="auto"/>
        </w:rPr>
        <w:t>seeking recovery of any gain realized on the vesting, exercise, settlement, sale, transfer, or other disposition of any equity-based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ind w:left="1620" w:hanging="316"/>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cancelling or rescinding some or all outstanding vested or unvested equity-based awards;</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adjusting or withholding from unpaid compensation or other set-off;</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cancelling or offsetting against planned future grants of equity-based awards; and/or</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method permitted by applicable law or contract.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65" w:lineRule="exact"/>
        <w:rPr>
          <w:sz w:val="20"/>
          <w:szCs w:val="20"/>
          <w:color w:val="auto"/>
        </w:rPr>
      </w:pPr>
    </w:p>
    <w:p>
      <w:pPr>
        <w:jc w:val="both"/>
        <w:ind w:left="1300" w:hanging="320"/>
        <w:spacing w:after="0" w:line="311" w:lineRule="auto"/>
        <w:tabs>
          <w:tab w:leader="none" w:pos="1300" w:val="left"/>
        </w:tabs>
        <w:numPr>
          <w:ilvl w:val="2"/>
          <w:numId w:val="32"/>
        </w:numPr>
        <w:rPr>
          <w:rFonts w:ascii="Arial" w:cs="Arial" w:eastAsia="Arial" w:hAnsi="Arial"/>
          <w:sz w:val="16"/>
          <w:szCs w:val="16"/>
          <w:color w:val="auto"/>
        </w:rPr>
      </w:pPr>
      <w:r>
        <w:rPr>
          <w:rFonts w:ascii="Arial" w:cs="Arial" w:eastAsia="Arial" w:hAnsi="Arial"/>
          <w:sz w:val="16"/>
          <w:szCs w:val="16"/>
          <w:color w:val="auto"/>
        </w:rPr>
        <w:t>To the extent that the Covered Person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w:t>
      </w:r>
    </w:p>
    <w:p>
      <w:pPr>
        <w:spacing w:after="0" w:line="148" w:lineRule="exact"/>
        <w:rPr>
          <w:rFonts w:ascii="Arial" w:cs="Arial" w:eastAsia="Arial" w:hAnsi="Arial"/>
          <w:sz w:val="16"/>
          <w:szCs w:val="16"/>
          <w:color w:val="auto"/>
        </w:rPr>
      </w:pPr>
    </w:p>
    <w:p>
      <w:pPr>
        <w:jc w:val="both"/>
        <w:ind w:left="1300" w:hanging="320"/>
        <w:spacing w:after="0" w:line="301" w:lineRule="auto"/>
        <w:tabs>
          <w:tab w:leader="none" w:pos="1300" w:val="left"/>
        </w:tabs>
        <w:numPr>
          <w:ilvl w:val="2"/>
          <w:numId w:val="32"/>
        </w:numPr>
        <w:rPr>
          <w:rFonts w:ascii="Arial" w:cs="Arial" w:eastAsia="Arial" w:hAnsi="Arial"/>
          <w:sz w:val="16"/>
          <w:szCs w:val="16"/>
          <w:color w:val="auto"/>
        </w:rPr>
      </w:pPr>
      <w:r>
        <w:rPr>
          <w:rFonts w:ascii="Arial" w:cs="Arial" w:eastAsia="Arial" w:hAnsi="Arial"/>
          <w:sz w:val="16"/>
          <w:szCs w:val="16"/>
          <w:color w:val="auto"/>
        </w:rPr>
        <w:t>To the extent that a Covered Person fails to repay all Erroneously Awarded Compensation to the Company when due, the Company shall take all actions reasonable and appropriate to recover such Erroneously Awarded Compensation from the applicable Covered Person. The applicable Covered Person shall be required to reimburse the Company for any and all expenses reasonably incurred (including legal fees) by the Company in recovering such Erroneously Awarded Compensation in accordance with the immediately preceding sentence.</w:t>
      </w:r>
    </w:p>
    <w:p>
      <w:pPr>
        <w:spacing w:after="0" w:line="157" w:lineRule="exact"/>
        <w:rPr>
          <w:rFonts w:ascii="Arial" w:cs="Arial" w:eastAsia="Arial" w:hAnsi="Arial"/>
          <w:sz w:val="16"/>
          <w:szCs w:val="16"/>
          <w:color w:val="auto"/>
        </w:rPr>
      </w:pPr>
    </w:p>
    <w:p>
      <w:pPr>
        <w:jc w:val="both"/>
        <w:ind w:firstLine="656"/>
        <w:spacing w:after="0" w:line="286" w:lineRule="auto"/>
        <w:tabs>
          <w:tab w:leader="none" w:pos="903"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the Company shall not be required to take the actions contemplated by Section B(1) above if the Committee (which, as specified above, is composed entirely of independent directors or in the absence of such a committee, a majority of the independent directors serving on the Board) determines that recovery would be impracticable </w:t>
      </w:r>
      <w:r>
        <w:rPr>
          <w:rFonts w:ascii="Arial" w:cs="Arial" w:eastAsia="Arial" w:hAnsi="Arial"/>
          <w:sz w:val="17"/>
          <w:szCs w:val="17"/>
          <w:i w:val="1"/>
          <w:iCs w:val="1"/>
          <w:color w:val="auto"/>
        </w:rPr>
        <w:t>and</w:t>
      </w:r>
      <w:r>
        <w:rPr>
          <w:rFonts w:ascii="Arial" w:cs="Arial" w:eastAsia="Arial" w:hAnsi="Arial"/>
          <w:sz w:val="17"/>
          <w:szCs w:val="17"/>
          <w:color w:val="auto"/>
        </w:rPr>
        <w:t xml:space="preserve"> any of the following two conditions are met:</w:t>
      </w:r>
    </w:p>
    <w:p>
      <w:pPr>
        <w:spacing w:after="0" w:line="165" w:lineRule="exact"/>
        <w:rPr>
          <w:rFonts w:ascii="Arial" w:cs="Arial" w:eastAsia="Arial" w:hAnsi="Arial"/>
          <w:sz w:val="17"/>
          <w:szCs w:val="17"/>
          <w:color w:val="auto"/>
        </w:rPr>
      </w:pPr>
    </w:p>
    <w:p>
      <w:pPr>
        <w:jc w:val="both"/>
        <w:ind w:left="1300" w:hanging="320"/>
        <w:spacing w:after="0" w:line="263" w:lineRule="auto"/>
        <w:tabs>
          <w:tab w:leader="none" w:pos="130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Committee has determined that the direct expenses paid to a third party to assist in enforcing the Policy would exceed the amount to be recovered. Before making this determination, the Company must make a reasonable attempt to recover the Erroneously Awarded Compensation, documented such attempt(s) and provided such documentation to Nasdaq; or</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2"/>
          <w:numId w:val="33"/>
        </w:numPr>
        <w:rPr>
          <w:rFonts w:ascii="Arial" w:cs="Arial" w:eastAsia="Arial" w:hAnsi="Arial"/>
          <w:sz w:val="18"/>
          <w:szCs w:val="18"/>
          <w:color w:val="auto"/>
        </w:rPr>
      </w:pPr>
      <w:r>
        <w:rPr>
          <w:rFonts w:ascii="Arial" w:cs="Arial" w:eastAsia="Arial" w:hAnsi="Arial"/>
          <w:sz w:val="18"/>
          <w:szCs w:val="18"/>
          <w:color w:val="auto"/>
        </w:rPr>
        <w:t>Recovery would likely cause an otherwise tax-qualified retirement plan, under which benefits are broadly available to employees of the Company, to fail to meet the requirements of Section 401(a)(13) or Section 411(a) of the Internal Revenue Code of 1986, as amended, and regulations thereunder.</w:t>
      </w:r>
    </w:p>
    <w:p>
      <w:pPr>
        <w:spacing w:after="0" w:line="179"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DISCLOSURE REQUIREMENTS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shall file all disclosures with respect to this Policy required by applicable U.S.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filings and rules.</w:t>
      </w:r>
    </w:p>
    <w:p>
      <w:pPr>
        <w:spacing w:after="0" w:line="166"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PROHIBITION OF INDEMNIFICATION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shall not be permitted to insure or indemnify any Covered Person against (i) the loss of any Erroneously Awarded Compensation that is repaid, returned or recovered pursuant to the terms of this Policy, or (ii) any claims relating to the Company’s enforcement of its rights under this Policy. Further, the Company shall not enter into any agreement that exempts any Incentive-based Compensation that is granted, paid or awarded to a Covered Person from the application of this Policy or that waives the Company’s right to recovery of any Erroneously Awarded Compensation, and this Policy shall supersede any such agreement (whether entered into before, on or after the Effective Date of this Policy).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3" w:name="page54"/>
    <w:bookmarkEnd w:id="53"/>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ADMINISTRATION AND INTERPRETATION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Policy shall be administered by the Committee, and any determinations made by the Committee shall be final and binding on all affected individuals.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is authorized to interpret and construe this Policy and to make all determinations necessary, appropriate, or advisable for the administration of this Policy and for the Company’s compliance with Nasdaq Rules, Section 10D, Rule 10D-1 and any other applicable law, regulation, rule or interpretation of the SEC or Nasdaq promulgated or issued in connection therewith.</w:t>
      </w:r>
    </w:p>
    <w:p>
      <w:pPr>
        <w:spacing w:after="0" w:line="180"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AMENDMENT; TERMINATION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Committee may amend this Policy from time to time in its discretion and shall amend this Policy as it deems necessary. Notwithstanding anything in this Section F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Nasdaq rule.</w:t>
      </w:r>
    </w:p>
    <w:p>
      <w:pPr>
        <w:spacing w:after="0" w:line="183"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OTHER RECOVERY RIGHTS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Policy shall be binding and enforceable against all Covered Persons and, to the extent required by applicable law or guidance from the SEC or Nasdaq, their beneficiaries, heirs, executors, administrators or other legal representatives. The Committee intends that this Policy will be applied to the fullest extent required by applicable law. Any employment agreement, equity award agreement, compensatory plan or any other agreement or arrangement with a Covered Person shall be deemed to include, as a condition to the grant of any benefit thereunder, an agreement by the Covered Person to abide by the terms of this Policy. Any right of recovery under this Policy is in addition to, and not in lieu of, any other remedies or rights of recovery that may be available to the Company under applicable law, regulation or rule or pursuant to the terms of any policy of the Company or any provision in any employment agreement, equity award agreement, compensatory plan, agreement or other arrangement.</w:t>
      </w:r>
    </w:p>
    <w:p>
      <w:pPr>
        <w:spacing w:after="0" w:line="173"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 purposes of this Policy, the following capitalized terms shall have the meanings set forth below.</w:t>
      </w:r>
    </w:p>
    <w:p>
      <w:pPr>
        <w:spacing w:after="0" w:line="225" w:lineRule="exact"/>
        <w:rPr>
          <w:rFonts w:ascii="Arial" w:cs="Arial" w:eastAsia="Arial" w:hAnsi="Arial"/>
          <w:sz w:val="18"/>
          <w:szCs w:val="18"/>
          <w:color w:val="auto"/>
        </w:rPr>
      </w:pPr>
    </w:p>
    <w:p>
      <w:pPr>
        <w:jc w:val="both"/>
        <w:ind w:firstLine="656"/>
        <w:spacing w:after="0" w:line="259" w:lineRule="auto"/>
        <w:tabs>
          <w:tab w:leader="none" w:pos="903" w:val="left"/>
        </w:tabs>
        <w:numPr>
          <w:ilvl w:val="1"/>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“Accounting Adjustment” </w:t>
      </w:r>
      <w:r>
        <w:rPr>
          <w:rFonts w:ascii="Arial" w:cs="Arial" w:eastAsia="Arial" w:hAnsi="Arial"/>
          <w:sz w:val="18"/>
          <w:szCs w:val="18"/>
          <w:color w:val="auto"/>
        </w:rPr>
        <w:t>means a material change to a Financial Reporting Measure which is not based on the accounting principles used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preparing the Company’s financial statements, such as Booked Annual Recurring Revenue, where such change results from a determination that such Financial Measure was incorrectly calculated when originally published, based on the facts that were known to management at the time of such original publication.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56"/>
        <w:spacing w:after="0" w:line="259" w:lineRule="auto"/>
        <w:tabs>
          <w:tab w:leader="none" w:pos="93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Accounting Restatement</w:t>
      </w:r>
      <w:r>
        <w:rPr>
          <w:rFonts w:ascii="Arial" w:cs="Arial" w:eastAsia="Arial" w:hAnsi="Arial"/>
          <w:sz w:val="18"/>
          <w:szCs w:val="18"/>
          <w:color w:val="auto"/>
        </w:rPr>
        <w:t>” means (i)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and (ii) an Accounting Adjustment.</w:t>
      </w:r>
    </w:p>
    <w:p>
      <w:pPr>
        <w:spacing w:after="0" w:line="186" w:lineRule="exact"/>
        <w:rPr>
          <w:rFonts w:ascii="Arial" w:cs="Arial" w:eastAsia="Arial" w:hAnsi="Arial"/>
          <w:sz w:val="18"/>
          <w:szCs w:val="18"/>
          <w:color w:val="auto"/>
        </w:rPr>
      </w:pPr>
    </w:p>
    <w:p>
      <w:pPr>
        <w:jc w:val="both"/>
        <w:ind w:firstLine="656"/>
        <w:spacing w:after="0" w:line="275" w:lineRule="auto"/>
        <w:tabs>
          <w:tab w:leader="none" w:pos="9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Clawback Eligible Incentive Compensation</w:t>
      </w:r>
      <w:r>
        <w:rPr>
          <w:rFonts w:ascii="Arial" w:cs="Arial" w:eastAsia="Arial" w:hAnsi="Arial"/>
          <w:sz w:val="17"/>
          <w:szCs w:val="17"/>
          <w:color w:val="auto"/>
        </w:rPr>
        <w:t>” means all Incentive-based Compensation Received by a Covered Person (i) on or after the effective date of the applicable Nasdaq rules, (ii) after beginning service as a Covered Person, (iii) who served as a Covered Person at any time during the applicable performance period relating to any Incentive-based Compensation (whether or not such Covered Person is serving at the time the Erroneously Awarded Compensation is required to be repaid to the Company), (iv) while the Company has a class of securities listed on a national securities exchange or a national securities association, and (v) during the applicable Clawback Period (as defined below).</w:t>
      </w:r>
    </w:p>
    <w:p>
      <w:pPr>
        <w:spacing w:after="0" w:line="176" w:lineRule="exact"/>
        <w:rPr>
          <w:rFonts w:ascii="Arial" w:cs="Arial" w:eastAsia="Arial" w:hAnsi="Arial"/>
          <w:sz w:val="17"/>
          <w:szCs w:val="17"/>
          <w:color w:val="auto"/>
        </w:rPr>
      </w:pPr>
    </w:p>
    <w:p>
      <w:pPr>
        <w:jc w:val="both"/>
        <w:ind w:firstLine="656"/>
        <w:spacing w:after="0" w:line="263" w:lineRule="auto"/>
        <w:tabs>
          <w:tab w:leader="none" w:pos="93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Clawback Period</w:t>
      </w:r>
      <w:r>
        <w:rPr>
          <w:rFonts w:ascii="Arial" w:cs="Arial" w:eastAsia="Arial" w:hAnsi="Arial"/>
          <w:sz w:val="18"/>
          <w:szCs w:val="18"/>
          <w:color w:val="auto"/>
        </w:rPr>
        <w:t>” means, with respect to any Accounting Restatement, the three completed fiscal years of the Company immediately preceding the Restatement Date (as defined below), and if the Company changes its fiscal year, any transition period of less than nine months within or immediately following those three completed fiscal years.</w:t>
      </w:r>
    </w:p>
    <w:p>
      <w:pPr>
        <w:spacing w:after="0" w:line="183" w:lineRule="exact"/>
        <w:rPr>
          <w:rFonts w:ascii="Arial" w:cs="Arial" w:eastAsia="Arial" w:hAnsi="Arial"/>
          <w:sz w:val="18"/>
          <w:szCs w:val="18"/>
          <w:color w:val="auto"/>
        </w:rPr>
      </w:pPr>
    </w:p>
    <w:p>
      <w:pPr>
        <w:jc w:val="both"/>
        <w:ind w:firstLine="656"/>
        <w:spacing w:after="0" w:line="290" w:lineRule="auto"/>
        <w:tabs>
          <w:tab w:leader="none" w:pos="903" w:val="left"/>
        </w:tabs>
        <w:numPr>
          <w:ilvl w:val="0"/>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Covered Person</w:t>
      </w:r>
      <w:r>
        <w:rPr>
          <w:rFonts w:ascii="Arial" w:cs="Arial" w:eastAsia="Arial" w:hAnsi="Arial"/>
          <w:sz w:val="16"/>
          <w:szCs w:val="16"/>
          <w:color w:val="auto"/>
        </w:rPr>
        <w:t>” means any Executive Officer and any employee of the Company or a subsidiary of the Company holding the title of Chief Officer, Senior Vice President or Executive Vice President, or any other person designated as a Covered Person by the Compensation Committee at the time of the award of Incentive-Based Compensation. A person’s status as a Covered Person with respect to Erroneously Awarded Compensation shall be determined as of the time of receipt of such Erroneously Awarded Compensation regardless of the person’s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65" w:lineRule="exact"/>
        <w:rPr>
          <w:rFonts w:ascii="Arial" w:cs="Arial" w:eastAsia="Arial" w:hAnsi="Arial"/>
          <w:sz w:val="16"/>
          <w:szCs w:val="16"/>
          <w:color w:val="auto"/>
        </w:rPr>
      </w:pPr>
    </w:p>
    <w:p>
      <w:pPr>
        <w:jc w:val="both"/>
        <w:ind w:firstLine="656"/>
        <w:spacing w:after="0" w:line="263" w:lineRule="auto"/>
        <w:tabs>
          <w:tab w:leader="none" w:pos="93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Erroneously Awarded Compensation</w:t>
      </w:r>
      <w:r>
        <w:rPr>
          <w:rFonts w:ascii="Arial" w:cs="Arial" w:eastAsia="Arial" w:hAnsi="Arial"/>
          <w:sz w:val="18"/>
          <w:szCs w:val="18"/>
          <w:color w:val="auto"/>
        </w:rPr>
        <w:t>” means, with respect to each Covered Person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p>
      <w:pPr>
        <w:spacing w:after="0" w:line="183" w:lineRule="exact"/>
        <w:rPr>
          <w:rFonts w:ascii="Arial" w:cs="Arial" w:eastAsia="Arial" w:hAnsi="Arial"/>
          <w:sz w:val="18"/>
          <w:szCs w:val="18"/>
          <w:color w:val="auto"/>
        </w:rPr>
      </w:pPr>
    </w:p>
    <w:p>
      <w:pPr>
        <w:jc w:val="both"/>
        <w:ind w:firstLine="656"/>
        <w:spacing w:after="0" w:line="279" w:lineRule="auto"/>
        <w:tabs>
          <w:tab w:leader="none" w:pos="903" w:val="left"/>
        </w:tabs>
        <w:numPr>
          <w:ilvl w:val="0"/>
          <w:numId w:val="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Executive Officer</w:t>
      </w:r>
      <w:r>
        <w:rPr>
          <w:rFonts w:ascii="Arial" w:cs="Arial" w:eastAsia="Arial" w:hAnsi="Arial"/>
          <w:sz w:val="17"/>
          <w:szCs w:val="17"/>
          <w:color w:val="auto"/>
        </w:rPr>
        <w:t>” means each individual who is currently or was previously designated as an “officer” of the Company as defined in Rule 16a-1(f) under the Exchange Act. For the avoidance of doubt, the identification of an executive officer for purposes of this Policy shall include each executive officer who is or was identified pursuant to Item 401(b) of Regulation S-K or Item 6.A of Form 20-F, as applicable, as well as the principal financial officer and principal accounting officer (or, if there is no principal accounting officer, the controller).</w:t>
      </w:r>
    </w:p>
    <w:p>
      <w:pPr>
        <w:spacing w:after="0" w:line="171" w:lineRule="exact"/>
        <w:rPr>
          <w:rFonts w:ascii="Arial" w:cs="Arial" w:eastAsia="Arial" w:hAnsi="Arial"/>
          <w:sz w:val="17"/>
          <w:szCs w:val="17"/>
          <w:color w:val="auto"/>
        </w:rPr>
      </w:pPr>
    </w:p>
    <w:p>
      <w:pPr>
        <w:jc w:val="both"/>
        <w:ind w:firstLine="656"/>
        <w:spacing w:after="0" w:line="255" w:lineRule="auto"/>
        <w:tabs>
          <w:tab w:leader="none" w:pos="916"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Financial Reporting Measures</w:t>
      </w:r>
      <w:r>
        <w:rPr>
          <w:rFonts w:ascii="Arial" w:cs="Arial" w:eastAsia="Arial" w:hAnsi="Arial"/>
          <w:sz w:val="18"/>
          <w:szCs w:val="18"/>
          <w:color w:val="auto"/>
        </w:rPr>
        <w:t>” means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as well as Booked Annual Recurring Revenue and any other measure designated by the Compensation Committee as a Financial Reporting Measure, shall for purposes of this Policy, be considered Financial Reporting Measures. For the avoidance of doubt, a Financial Reporting Measure need not be presented in the Company’s financial statements or included in a filing with the SEC.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ind w:right="20" w:firstLine="656"/>
        <w:spacing w:after="0" w:line="277" w:lineRule="auto"/>
        <w:tabs>
          <w:tab w:leader="none" w:pos="903"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Incentive-based Compensation</w:t>
      </w:r>
      <w:r>
        <w:rPr>
          <w:rFonts w:ascii="Arial" w:cs="Arial" w:eastAsia="Arial" w:hAnsi="Arial"/>
          <w:sz w:val="18"/>
          <w:szCs w:val="18"/>
          <w:color w:val="auto"/>
        </w:rPr>
        <w:t>” means any compensation that is granted, earned or vested based wholly or in part upon the attainment of a Financial Reporting Measure.</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The Nasdaq Stock Market.</w:t>
      </w:r>
    </w:p>
    <w:p>
      <w:pPr>
        <w:spacing w:after="0" w:line="225" w:lineRule="exact"/>
        <w:rPr>
          <w:rFonts w:ascii="Arial" w:cs="Arial" w:eastAsia="Arial" w:hAnsi="Arial"/>
          <w:sz w:val="18"/>
          <w:szCs w:val="18"/>
          <w:color w:val="auto"/>
        </w:rPr>
      </w:pPr>
    </w:p>
    <w:p>
      <w:pPr>
        <w:jc w:val="both"/>
        <w:ind w:firstLine="656"/>
        <w:spacing w:after="0" w:line="311" w:lineRule="auto"/>
        <w:tabs>
          <w:tab w:leader="none" w:pos="986"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Received</w:t>
      </w:r>
      <w:r>
        <w:rPr>
          <w:rFonts w:ascii="Arial" w:cs="Arial" w:eastAsia="Arial" w:hAnsi="Arial"/>
          <w:sz w:val="16"/>
          <w:szCs w:val="16"/>
          <w:color w:val="auto"/>
        </w:rPr>
        <w:t>” means, with respect to any Incentive-based Compensation, actual or deemed receipt, and Incentive-based Compensation shall be deemed received in the Company’s fiscal period during which the Financial Reporting Measure specified in the Incentive-based Compensation award is attained, even if the payment or grant of the Incentive-based Compensation to the Covered Person occurs after the end of that period.</w:t>
      </w:r>
    </w:p>
    <w:p>
      <w:pPr>
        <w:spacing w:after="0" w:line="148" w:lineRule="exact"/>
        <w:rPr>
          <w:rFonts w:ascii="Arial" w:cs="Arial" w:eastAsia="Arial" w:hAnsi="Arial"/>
          <w:sz w:val="16"/>
          <w:szCs w:val="16"/>
          <w:color w:val="auto"/>
        </w:rPr>
      </w:pPr>
    </w:p>
    <w:p>
      <w:pPr>
        <w:jc w:val="both"/>
        <w:ind w:firstLine="656"/>
        <w:spacing w:after="0" w:line="311" w:lineRule="auto"/>
        <w:tabs>
          <w:tab w:leader="none" w:pos="993"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Restatement Date</w:t>
      </w:r>
      <w:r>
        <w:rPr>
          <w:rFonts w:ascii="Arial" w:cs="Arial" w:eastAsia="Arial" w:hAnsi="Arial"/>
          <w:sz w:val="16"/>
          <w:szCs w:val="16"/>
          <w:color w:val="auto"/>
        </w:rPr>
        <w:t>” means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Effective as of October 6,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AUTHID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ATTESTATION AND ACKNOWLEDGEMENT OF POLICY FOR THE RECOVERY OF ERRONEOUSLY AWARDED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my signature below, I acknowledge and agree that:</w:t>
      </w:r>
    </w:p>
    <w:p>
      <w:pPr>
        <w:spacing w:after="0" w:line="225"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received and read the attached Policy for the Recovery of Erroneously Awarded Compensation (this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hereby agree to abide by all of the terms of this Policy both during and after my employment with authID Inc. (the “Company”), including, without limitation, by promptly repaying or returning any Erroneously Awarded Compensation to the Company as determined in accordance with this Policy.</w:t>
      </w:r>
    </w:p>
    <w:p>
      <w:pPr>
        <w:spacing w:after="0" w:line="18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3">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4">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5">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8"/>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decimal"/>
      <w:start w:val="104"/>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upperLetter"/>
      <w:start w:val="1"/>
    </w:lvl>
    <w:lvl w:ilvl="1">
      <w:lvlJc w:val="left"/>
      <w:lvlText w:val="%2."/>
      <w:numFmt w:val="lowerLetter"/>
      <w:start w:val="1"/>
    </w:lvl>
  </w:abstractNum>
  <w:abstractNum w:abstractNumId="14">
    <w:nsid w:val="836C40E"/>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5">
    <w:nsid w:val="2901D82"/>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6">
    <w:nsid w:val="3A95F874"/>
    <w:multiLevelType w:val="hybridMultilevel"/>
    <w:lvl w:ilvl="0">
      <w:lvlJc w:val="left"/>
      <w:lvlText w:val="%1"/>
      <w:numFmt w:val="lowerLetter"/>
      <w:start w:val="1"/>
    </w:lvl>
    <w:lvl w:ilvl="1">
      <w:lvlJc w:val="left"/>
      <w:lvlText w:val="%2."/>
      <w:numFmt w:val="lowerRoman"/>
      <w:start w:val="2"/>
    </w:lvl>
  </w:abstractNum>
  <w:abstractNum w:abstractNumId="17">
    <w:nsid w:val="8138641"/>
    <w:multiLevelType w:val="hybridMultilevel"/>
    <w:lvl w:ilvl="0">
      <w:lvlJc w:val="left"/>
      <w:lvlText w:val="%1."/>
      <w:numFmt w:val="lowerLetter"/>
      <w:start w:val="3"/>
    </w:lvl>
    <w:lvl w:ilvl="1">
      <w:lvlJc w:val="left"/>
      <w:lvlText w:val="%2."/>
      <w:numFmt w:val="lowerRoman"/>
      <w:start w:val="1"/>
    </w:lvl>
  </w:abstractNum>
  <w:abstractNum w:abstractNumId="18">
    <w:nsid w:val="1E7FF521"/>
    <w:multiLevelType w:val="hybridMultilevel"/>
    <w:lvl w:ilvl="0">
      <w:lvlJc w:val="left"/>
      <w:lvlText w:val="%1"/>
      <w:numFmt w:val="upperLetter"/>
      <w:start w:val="1"/>
    </w:lvl>
    <w:lvl w:ilvl="1">
      <w:lvlJc w:val="left"/>
      <w:lvlText w:val="%2."/>
      <w:numFmt w:val="lowerLetter"/>
      <w:start w:val="7"/>
    </w:lvl>
    <w:lvl w:ilvl="2">
      <w:lvlJc w:val="left"/>
      <w:lvlText w:val="%3."/>
      <w:numFmt w:val="lowerRoman"/>
      <w:start w:val="1"/>
    </w:lvl>
  </w:abstractNum>
  <w:abstractNum w:abstractNumId="19">
    <w:nsid w:val="7C3DBD3D"/>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20">
    <w:nsid w:val="737B8DDC"/>
    <w:multiLevelType w:val="hybridMultilevel"/>
    <w:lvl w:ilvl="0">
      <w:lvlJc w:val="left"/>
      <w:lvlText w:val="%1"/>
      <w:numFmt w:val="upperLetter"/>
      <w:start w:val="1"/>
    </w:lvl>
    <w:lvl w:ilvl="1">
      <w:lvlJc w:val="left"/>
      <w:lvlText w:val="%2."/>
      <w:numFmt w:val="lowerLetter"/>
      <w:start w:val="2"/>
    </w:lvl>
  </w:abstractNum>
  <w:abstractNum w:abstractNumId="21">
    <w:nsid w:val="6CEAF087"/>
    <w:multiLevelType w:val="hybridMultilevel"/>
    <w:lvl w:ilvl="0">
      <w:lvlJc w:val="left"/>
      <w:lvlText w:val="%1."/>
      <w:numFmt w:val="upperLetter"/>
      <w:start w:val="4"/>
    </w:lvl>
    <w:lvl w:ilvl="1">
      <w:lvlJc w:val="left"/>
      <w:lvlText w:val="%2."/>
      <w:numFmt w:val="lowerLetter"/>
      <w:start w:val="1"/>
    </w:lvl>
  </w:abstractNum>
  <w:abstractNum w:abstractNumId="22">
    <w:nsid w:val="22221A70"/>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23">
    <w:nsid w:val="4516DDE9"/>
    <w:multiLevelType w:val="hybridMultilevel"/>
    <w:lvl w:ilvl="0">
      <w:lvlJc w:val="left"/>
      <w:lvlText w:val="%1"/>
      <w:numFmt w:val="upperLetter"/>
      <w:start w:val="1"/>
    </w:lvl>
    <w:lvl w:ilvl="1">
      <w:lvlJc w:val="left"/>
      <w:lvlText w:val="%2."/>
      <w:numFmt w:val="lowerLetter"/>
      <w:start w:val="8"/>
    </w:lvl>
    <w:lvl w:ilvl="2">
      <w:lvlJc w:val="left"/>
      <w:lvlText w:val="%3."/>
      <w:numFmt w:val="lowerRoman"/>
      <w:start w:val="1"/>
    </w:lvl>
  </w:abstractNum>
  <w:abstractNum w:abstractNumId="24">
    <w:nsid w:val="3006C83E"/>
    <w:multiLevelType w:val="hybridMultilevel"/>
    <w:lvl w:ilvl="0">
      <w:lvlJc w:val="left"/>
      <w:lvlText w:val="%1."/>
      <w:numFmt w:val="upperLetter"/>
      <w:start w:val="7"/>
    </w:lvl>
  </w:abstractNum>
  <w:abstractNum w:abstractNumId="25">
    <w:nsid w:val="614FD4A1"/>
    <w:multiLevelType w:val="hybridMultilevel"/>
    <w:lvl w:ilvl="0">
      <w:lvlJc w:val="left"/>
      <w:lvlText w:val="%1."/>
      <w:numFmt w:val="decimal"/>
      <w:start w:val="1"/>
    </w:lvl>
    <w:lvl w:ilvl="1">
      <w:lvlJc w:val="left"/>
      <w:lvlText w:val="%2)"/>
      <w:numFmt w:val="lowerLetter"/>
      <w:start w:val="1"/>
    </w:lvl>
  </w:abstractNum>
  <w:abstractNum w:abstractNumId="26">
    <w:nsid w:val="419AC241"/>
    <w:multiLevelType w:val="hybridMultilevel"/>
    <w:lvl w:ilvl="0">
      <w:lvlJc w:val="left"/>
      <w:lvlText w:val="%1."/>
      <w:numFmt w:val="decimal"/>
      <w:start w:val="1"/>
    </w:lvl>
    <w:lvl w:ilvl="1">
      <w:lvlJc w:val="left"/>
      <w:lvlText w:val="%2)"/>
      <w:numFmt w:val="lowerLetter"/>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upperLetter"/>
      <w:start w:val="1"/>
    </w:lvl>
  </w:abstractNum>
  <w:abstractNum w:abstractNumId="29">
    <w:nsid w:val="5072367"/>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lvl w:ilvl="3">
      <w:lvlJc w:val="left"/>
      <w:lvlText w:val="(%4)"/>
      <w:numFmt w:val="lowerLetter"/>
      <w:start w:val="1"/>
    </w:lvl>
  </w:abstractNum>
  <w:abstractNum w:abstractNumId="30">
    <w:nsid w:val="3804823E"/>
    <w:multiLevelType w:val="hybridMultilevel"/>
    <w:lvl w:ilvl="0">
      <w:lvlJc w:val="left"/>
      <w:lvlText w:val="(%1)"/>
      <w:numFmt w:val="lowerLetter"/>
      <w:start w:val="3"/>
    </w:lvl>
  </w:abstractNum>
  <w:abstractNum w:abstractNumId="31">
    <w:nsid w:val="77465F01"/>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4"/>
    </w:lvl>
  </w:abstractNum>
  <w:abstractNum w:abstractNumId="32">
    <w:nsid w:val="7724C67E"/>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33">
    <w:nsid w:val="5C482A97"/>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1"/>
    </w:lvl>
  </w:abstractNum>
  <w:abstractNum w:abstractNumId="34">
    <w:nsid w:val="2463B9EA"/>
    <w:multiLevelType w:val="hybridMultilevel"/>
    <w:lvl w:ilvl="0">
      <w:lvlJc w:val="left"/>
      <w:lvlText w:val="%1."/>
      <w:numFmt w:val="upperLetter"/>
      <w:start w:val="4"/>
    </w:lvl>
  </w:abstractNum>
  <w:abstractNum w:abstractNumId="35">
    <w:nsid w:val="5E884ADC"/>
    <w:multiLevelType w:val="hybridMultilevel"/>
    <w:lvl w:ilvl="0">
      <w:lvlJc w:val="left"/>
      <w:lvlText w:val="%1."/>
      <w:numFmt w:val="upperLetter"/>
      <w:start w:val="5"/>
    </w:lvl>
  </w:abstractNum>
  <w:abstractNum w:abstractNumId="36">
    <w:nsid w:val="51EAD36B"/>
    <w:multiLevelType w:val="hybridMultilevel"/>
    <w:lvl w:ilvl="0">
      <w:lvlJc w:val="left"/>
      <w:lvlText w:val="%1."/>
      <w:numFmt w:val="upperLetter"/>
      <w:start w:val="6"/>
    </w:lvl>
  </w:abstractNum>
  <w:abstractNum w:abstractNumId="37">
    <w:nsid w:val="2D517796"/>
    <w:multiLevelType w:val="hybridMultilevel"/>
    <w:lvl w:ilvl="0">
      <w:lvlJc w:val="left"/>
      <w:lvlText w:val="%1."/>
      <w:numFmt w:val="upperLetter"/>
      <w:start w:val="7"/>
    </w:lvl>
  </w:abstractNum>
  <w:abstractNum w:abstractNumId="38">
    <w:nsid w:val="580BD78F"/>
    <w:multiLevelType w:val="hybridMultilevel"/>
    <w:lvl w:ilvl="0">
      <w:lvlJc w:val="left"/>
      <w:lvlText w:val="%1."/>
      <w:numFmt w:val="upperLetter"/>
      <w:start w:val="8"/>
    </w:lvl>
    <w:lvl w:ilvl="1">
      <w:lvlJc w:val="left"/>
      <w:lvlText w:val="(%2)"/>
      <w:numFmt w:val="decimal"/>
      <w:start w:val="1"/>
    </w:lvl>
  </w:abstractNum>
  <w:abstractNum w:abstractNumId="39">
    <w:nsid w:val="153EA438"/>
    <w:multiLevelType w:val="hybridMultilevel"/>
    <w:lvl w:ilvl="0">
      <w:lvlJc w:val="left"/>
      <w:lvlText w:val="(%1)"/>
      <w:numFmt w:val="decimal"/>
      <w:start w:val="2"/>
    </w:lvl>
  </w:abstractNum>
  <w:abstractNum w:abstractNumId="40">
    <w:nsid w:val="3855585C"/>
    <w:multiLevelType w:val="hybridMultilevel"/>
    <w:lvl w:ilvl="0">
      <w:lvlJc w:val="left"/>
      <w:lvlText w:val="(%1)"/>
      <w:numFmt w:val="decimal"/>
      <w:start w:val="9"/>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91" Type="http://schemas.openxmlformats.org/officeDocument/2006/relationships/image" Target="media/image35.png"/><Relationship Id="rId92" Type="http://schemas.openxmlformats.org/officeDocument/2006/relationships/image" Target="media/image36.png"/><Relationship Id="rId93" Type="http://schemas.openxmlformats.org/officeDocument/2006/relationships/image" Target="media/image37.png"/><Relationship Id="rId94" Type="http://schemas.openxmlformats.org/officeDocument/2006/relationships/image" Target="media/image38.png"/><Relationship Id="rId95" Type="http://schemas.openxmlformats.org/officeDocument/2006/relationships/image" Target="media/image39.png"/><Relationship Id="rId96" Type="http://schemas.openxmlformats.org/officeDocument/2006/relationships/image" Target="media/image40.png"/><Relationship Id="rId97" Type="http://schemas.openxmlformats.org/officeDocument/2006/relationships/image" Target="media/image41.png"/><Relationship Id="rId98" Type="http://schemas.openxmlformats.org/officeDocument/2006/relationships/image" Target="media/image42.png"/><Relationship Id="rId99" Type="http://schemas.openxmlformats.org/officeDocument/2006/relationships/image" Target="media/image43.png"/><Relationship Id="rId100" Type="http://schemas.openxmlformats.org/officeDocument/2006/relationships/image" Target="media/image44.png"/><Relationship Id="rId101" Type="http://schemas.openxmlformats.org/officeDocument/2006/relationships/image" Target="media/image45.png"/><Relationship Id="rId102" Type="http://schemas.openxmlformats.org/officeDocument/2006/relationships/image" Target="media/image46.png"/><Relationship Id="rId103" Type="http://schemas.openxmlformats.org/officeDocument/2006/relationships/image" Target="media/image47.png"/><Relationship Id="rId104" Type="http://schemas.openxmlformats.org/officeDocument/2006/relationships/image" Target="media/image48.png"/><Relationship Id="rId105" Type="http://schemas.openxmlformats.org/officeDocument/2006/relationships/image" Target="media/image49.png"/><Relationship Id="rId106" Type="http://schemas.openxmlformats.org/officeDocument/2006/relationships/image" Target="media/image50.png"/><Relationship Id="rId107" Type="http://schemas.openxmlformats.org/officeDocument/2006/relationships/image" Target="media/image51.png"/><Relationship Id="rId108" Type="http://schemas.openxmlformats.org/officeDocument/2006/relationships/image" Target="media/image52.png"/><Relationship Id="rId109" Type="http://schemas.openxmlformats.org/officeDocument/2006/relationships/image" Target="media/image53.png"/><Relationship Id="rId110" Type="http://schemas.openxmlformats.org/officeDocument/2006/relationships/image" Target="media/image54.png"/><Relationship Id="rId111" Type="http://schemas.openxmlformats.org/officeDocument/2006/relationships/image" Target="media/image55.png"/><Relationship Id="rId112" Type="http://schemas.openxmlformats.org/officeDocument/2006/relationships/image" Target="media/image56.png"/><Relationship Id="rId113" Type="http://schemas.openxmlformats.org/officeDocument/2006/relationships/image" Target="media/image57.png"/><Relationship Id="rId114" Type="http://schemas.openxmlformats.org/officeDocument/2006/relationships/image" Target="media/image58.png"/><Relationship Id="rId115" Type="http://schemas.openxmlformats.org/officeDocument/2006/relationships/image" Target="media/image59.png"/><Relationship Id="rId116" Type="http://schemas.openxmlformats.org/officeDocument/2006/relationships/image" Target="media/image60.png"/><Relationship Id="rId42" Type="http://schemas.openxmlformats.org/officeDocument/2006/relationships/hyperlink" Target="http://www.sec.gov/Archives/edgar/data/1534154/000121390021017290/ea138222ex3-1_ipsidyinc.htm" TargetMode="External"/><Relationship Id="rId43" Type="http://schemas.openxmlformats.org/officeDocument/2006/relationships/hyperlink" Target="http://www.sec.gov/Archives/edgar/data/1534154/000121390022040296/ea162935ex3-2_authid.htm" TargetMode="External"/><Relationship Id="rId44" Type="http://schemas.openxmlformats.org/officeDocument/2006/relationships/hyperlink" Target="http://www.sec.gov/Archives/edgar/data/1534154/000121390021032569/ea142763ex3-1_ipsidyinc.htm" TargetMode="External"/><Relationship Id="rId45" Type="http://schemas.openxmlformats.org/officeDocument/2006/relationships/hyperlink" Target="http://www.sec.gov/Archives/edgar/data/1534154/000121390022040296/ea162935ex3-1_authid.htm" TargetMode="External"/><Relationship Id="rId46" Type="http://schemas.openxmlformats.org/officeDocument/2006/relationships/hyperlink" Target="http://www.sec.gov/Archives/edgar/data/1534154/000121390022057553/ea166087ex3-1_authid.htm" TargetMode="External"/><Relationship Id="rId47" Type="http://schemas.openxmlformats.org/officeDocument/2006/relationships/hyperlink" Target="http://www.sec.gov/Archives/edgar/data/1534154/000121390023052128/ea180976ex3-1_authidinc.htm" TargetMode="External"/><Relationship Id="rId48" Type="http://schemas.openxmlformats.org/officeDocument/2006/relationships/hyperlink" Target="http://www.sec.gov/Archives/edgar/data/1534154/000121390021032569/ea142763ex4-1_ipsidyinc.htm" TargetMode="External"/><Relationship Id="rId49" Type="http://schemas.openxmlformats.org/officeDocument/2006/relationships/hyperlink" Target="http://www.sec.gov/Archives/edgar/data/1534154/000121390019026249/f8k121019ex4-3_ipsidy.htm" TargetMode="External"/><Relationship Id="rId50" Type="http://schemas.openxmlformats.org/officeDocument/2006/relationships/hyperlink" Target="http://www.sec.gov/Archives/edgar/data/1534154/000121390020004127/f8k021420ex4-1_ipsidyinc.htm" TargetMode="External"/><Relationship Id="rId51" Type="http://schemas.openxmlformats.org/officeDocument/2006/relationships/hyperlink" Target="http://www.sec.gov/Archives/edgar/data/1534154/000121390020004127/f8k021420ex4-2_ipsidyinc.htm" TargetMode="External"/><Relationship Id="rId52" Type="http://schemas.openxmlformats.org/officeDocument/2006/relationships/hyperlink" Target="http://www.sec.gov/Archives/edgar/data/1534154/000121390020011887/ea121728ex4-1_ipsidyinc.htm" TargetMode="External"/><Relationship Id="rId53" Type="http://schemas.openxmlformats.org/officeDocument/2006/relationships/hyperlink" Target="http://www.sec.gov/Archives/edgar/data/1534154/000121390021024897/f10q0321ex4-15_ipsidyinc.htm" TargetMode="External"/><Relationship Id="rId54" Type="http://schemas.openxmlformats.org/officeDocument/2006/relationships/hyperlink" Target="http://www.sec.gov/Archives/edgar/data/1534154/000121390023024677/f10k2022ex4-7_authidinc.htm" TargetMode="External"/><Relationship Id="rId55" Type="http://schemas.openxmlformats.org/officeDocument/2006/relationships/hyperlink" Target="http://www.sec.gov/Archives/edgar/data/1534154/000121390021032569/ea142763ex10-6_ipsidyinc.htm" TargetMode="External"/><Relationship Id="rId56" Type="http://schemas.openxmlformats.org/officeDocument/2006/relationships/hyperlink" Target="http://www.sec.gov/Archives/edgar/data/1534154/000121390021032569/ea142763ex10-5_ipsidyinc.htm" TargetMode="External"/><Relationship Id="rId57" Type="http://schemas.openxmlformats.org/officeDocument/2006/relationships/hyperlink" Target="http://www.sec.gov/Archives/edgar/data/1534154/000161577418003344/s109839_ex10-27.htm" TargetMode="External"/><Relationship Id="rId58" Type="http://schemas.openxmlformats.org/officeDocument/2006/relationships/hyperlink" Target="http://www.sec.gov/Archives/edgar/data/1534154/000121390021032569/ea142763ex10-1_ipsidyinc.htm" TargetMode="External"/><Relationship Id="rId59" Type="http://schemas.openxmlformats.org/officeDocument/2006/relationships/hyperlink" Target="http://www.sec.gov/Archives/edgar/data/1534154/000121390021032569/ea142763ex10-2_ipsidyinc.htm" TargetMode="External"/><Relationship Id="rId60" Type="http://schemas.openxmlformats.org/officeDocument/2006/relationships/hyperlink" Target="http://www.sec.gov/Archives/edgar/data/1534154/000121390021032569/ea142763ex10-3_ipsidyinc.htm" TargetMode="External"/><Relationship Id="rId61" Type="http://schemas.openxmlformats.org/officeDocument/2006/relationships/hyperlink" Target="http://www.sec.gov/Archives/edgar/data/1534154/000121390021032569/ea142763ex10-4_ipsidyinc.htm" TargetMode="External"/><Relationship Id="rId62" Type="http://schemas.openxmlformats.org/officeDocument/2006/relationships/hyperlink" Target="http://www.sec.gov/Archives/edgar/data/1534154/000121390021057337/f10q0921ex10-11_ipsidyinc.htm" TargetMode="External"/><Relationship Id="rId63" Type="http://schemas.openxmlformats.org/officeDocument/2006/relationships/hyperlink" Target="http://www.sec.gov/Archives/edgar/data/1534154/000121390021057337/f10q0921ex10-12_ipsidyinc.htm" TargetMode="External"/><Relationship Id="rId64" Type="http://schemas.openxmlformats.org/officeDocument/2006/relationships/hyperlink" Target="http://www.sec.gov/Archives/edgar/data/1534154/000121390022004803/ea154748ex4-1_ipsidyinc.htm" TargetMode="External"/><Relationship Id="rId65" Type="http://schemas.openxmlformats.org/officeDocument/2006/relationships/hyperlink" Target="http://www.sec.gov/Archives/edgar/data/1534154/000121390022014214/f10k2021ex10-14_ipsidyinc.htm" TargetMode="External"/><Relationship Id="rId66" Type="http://schemas.openxmlformats.org/officeDocument/2006/relationships/hyperlink" Target="http://www.sec.gov/Archives/edgar/data/1534154/000121390022013739/ea157152ex10-1_ipsidyinc.htm" TargetMode="External"/><Relationship Id="rId67" Type="http://schemas.openxmlformats.org/officeDocument/2006/relationships/hyperlink" Target="http://www.sec.gov/Archives/edgar/data/1534154/000121390022013739/ea157152ex10-2_ipsidyinc.htm" TargetMode="External"/><Relationship Id="rId68" Type="http://schemas.openxmlformats.org/officeDocument/2006/relationships/hyperlink" Target="http://www.sec.gov/Archives/edgar/data/1534154/000121390022013739/ea157152ex10-3_ipsidyinc.htm" TargetMode="External"/><Relationship Id="rId69" Type="http://schemas.openxmlformats.org/officeDocument/2006/relationships/hyperlink" Target="http://www.sec.gov/Archives/edgar/data/1534154/000121390022013739/ea157152ex10-5_ipsidyinc.htm" TargetMode="External"/><Relationship Id="rId70" Type="http://schemas.openxmlformats.org/officeDocument/2006/relationships/hyperlink" Target="http://www.sec.gov/Archives/edgar/data/1534154/000121390022013739/ea157152ex10-6_ipsidyinc.htm" TargetMode="External"/><Relationship Id="rId71" Type="http://schemas.openxmlformats.org/officeDocument/2006/relationships/hyperlink" Target="http://www.sec.gov/Archives/edgar/data/1534154/000121390022013739/ea157152ex10-7_ipsidyinc.htm" TargetMode="External"/><Relationship Id="rId72" Type="http://schemas.openxmlformats.org/officeDocument/2006/relationships/hyperlink" Target="http://www.sec.gov/Archives/edgar/data/1534154/000121390022020476/ea158591ex10-1_ipsidyinc.htm" TargetMode="External"/><Relationship Id="rId73" Type="http://schemas.openxmlformats.org/officeDocument/2006/relationships/hyperlink" Target="http://www.sec.gov/Archives/edgar/data/1534154/000121390022021805/ea158885ex10-1_ipsidyinc.htm" TargetMode="External"/><Relationship Id="rId74" Type="http://schemas.openxmlformats.org/officeDocument/2006/relationships/hyperlink" Target="http://www.sec.gov/Archives/edgar/data/1534154/000121390023018987/ea174977ex10-1_authid.htm" TargetMode="External"/><Relationship Id="rId75" Type="http://schemas.openxmlformats.org/officeDocument/2006/relationships/hyperlink" Target="http://www.sec.gov/Archives/edgar/data/1534154/000121390023018987/ea174977ex10-2_authid.htm" TargetMode="External"/><Relationship Id="rId76" Type="http://schemas.openxmlformats.org/officeDocument/2006/relationships/hyperlink" Target="http://www.sec.gov/Archives/edgar/data/1534154/000121390023018987/ea174977ex10-3_authid.htm" TargetMode="External"/><Relationship Id="rId77" Type="http://schemas.openxmlformats.org/officeDocument/2006/relationships/hyperlink" Target="http://www.sec.gov/Archives/edgar/data/1534154/000121390023018987/ea174977ex10-4_authid.htm" TargetMode="External"/><Relationship Id="rId78" Type="http://schemas.openxmlformats.org/officeDocument/2006/relationships/hyperlink" Target="http://www.sec.gov/Archives/edgar/data/1534154/000121390023023408/ea175837ex10-1_authid.htm" TargetMode="External"/><Relationship Id="rId79" Type="http://schemas.openxmlformats.org/officeDocument/2006/relationships/hyperlink" Target="http://www.sec.gov/Archives/edgar/data/1534154/000121390023023408/ea175837ex10-2_authid.htm" TargetMode="External"/><Relationship Id="rId80" Type="http://schemas.openxmlformats.org/officeDocument/2006/relationships/hyperlink" Target="http://www.sec.gov/Archives/edgar/data/1534154/000121390023023408/ea175837ex10-3_authid.htm" TargetMode="External"/><Relationship Id="rId81" Type="http://schemas.openxmlformats.org/officeDocument/2006/relationships/hyperlink" Target="http://www.sec.gov/Archives/edgar/data/1534154/000121390023030640/ea177091ex10-1_authid.htm" TargetMode="External"/><Relationship Id="rId82" Type="http://schemas.openxmlformats.org/officeDocument/2006/relationships/hyperlink" Target="http://www.sec.gov/Archives/edgar/data/1534154/000121390023030640/ea177091ex10-2_authid.htm" TargetMode="External"/><Relationship Id="rId83" Type="http://schemas.openxmlformats.org/officeDocument/2006/relationships/hyperlink" Target="http://www.sec.gov/Archives/edgar/data/1534154/000121390023040545/ea178743ex10-1_authid.htm" TargetMode="External"/><Relationship Id="rId84" Type="http://schemas.openxmlformats.org/officeDocument/2006/relationships/hyperlink" Target="http://www.sec.gov/Archives/edgar/data/1534154/000121390023043563/ea179371ex10-1_authidinc.htm" TargetMode="External"/><Relationship Id="rId85" Type="http://schemas.openxmlformats.org/officeDocument/2006/relationships/hyperlink" Target="http://www.sec.gov/Archives/edgar/data/1534154/000121390023043563/ea179371ex10-2_authidinc.htm" TargetMode="External"/><Relationship Id="rId86" Type="http://schemas.openxmlformats.org/officeDocument/2006/relationships/hyperlink" Target="http://www.sec.gov/Archives/edgar/data/1534154/000121390023043563/ea179371ex10-3_authidinc.htm" TargetMode="External"/><Relationship Id="rId87" Type="http://schemas.openxmlformats.org/officeDocument/2006/relationships/hyperlink" Target="http://www.sec.gov/Archives/edgar/data/1534154/000121390023043563/ea179371ex10-4_authidinc.htm" TargetMode="External"/><Relationship Id="rId88" Type="http://schemas.openxmlformats.org/officeDocument/2006/relationships/hyperlink" Target="http://www.sec.gov/Archives/edgar/data/1534154/000121390023062781/ea182763ex10-1_authidinc.htm" TargetMode="External"/><Relationship Id="rId89" Type="http://schemas.openxmlformats.org/officeDocument/2006/relationships/hyperlink" Target="http://www.sec.gov/Archives/edgar/data/1534154/000121390023081375/ea187301ex10-1_authid.htm" TargetMode="External"/><Relationship Id="rId90" Type="http://schemas.openxmlformats.org/officeDocument/2006/relationships/hyperlink" Target="http://www.sec.gov/Archives/edgar/data/1534154/000121390023038588/f10q0323ex21-1_authid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2023-11-08T16:16:23Z</dcterms:created>
  <dcterms:modified xsi:type="dcterms:W3CDTF">2023-11-08T16:16:23Z</dcterms:modified>
</cp:coreProperties>
</file>