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FORM 10-Q</w:t>
      </w:r>
    </w:p>
    <w:p>
      <w:pPr>
        <w:spacing w:after="0" w:line="13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780" w:right="1480" w:hanging="2291"/>
        <w:spacing w:after="0" w:line="385" w:lineRule="auto"/>
        <w:tabs>
          <w:tab w:leader="none" w:pos="16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1380" w:hanging="206"/>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31" w:lineRule="exact"/>
        <w:rPr>
          <w:sz w:val="24"/>
          <w:szCs w:val="24"/>
          <w:color w:val="auto"/>
        </w:rPr>
      </w:pPr>
    </w:p>
    <w:p>
      <w:pPr>
        <w:ind w:left="3640"/>
        <w:spacing w:after="0"/>
        <w:tabs>
          <w:tab w:leader="none" w:pos="6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92075</wp:posOffset>
            </wp:positionV>
            <wp:extent cx="3180080" cy="1791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17919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authID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89"/>
              </w:rPr>
              <w:t>Delaware</w:t>
            </w:r>
          </w:p>
        </w:tc>
        <w:tc>
          <w:tcPr>
            <w:tcW w:w="3560" w:type="dxa"/>
            <w:vAlign w:val="bottom"/>
          </w:tcPr>
          <w:p>
            <w:pPr>
              <w:jc w:val="right"/>
              <w:ind w:right="2230"/>
              <w:spacing w:after="0"/>
              <w:rPr>
                <w:sz w:val="20"/>
                <w:szCs w:val="20"/>
                <w:color w:val="auto"/>
              </w:rPr>
            </w:pPr>
            <w:r>
              <w:rPr>
                <w:rFonts w:ascii="Arial" w:cs="Arial" w:eastAsia="Arial" w:hAnsi="Arial"/>
                <w:sz w:val="18"/>
                <w:szCs w:val="18"/>
                <w:color w:val="auto"/>
              </w:rPr>
              <w:t>46-2069547</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1385 S. Colorado Blvd</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90"/>
              </w:rPr>
              <w:t>Denver, CO 80222</w:t>
            </w:r>
          </w:p>
        </w:tc>
        <w:tc>
          <w:tcPr>
            <w:tcW w:w="3560" w:type="dxa"/>
            <w:vAlign w:val="bottom"/>
          </w:tcPr>
          <w:p>
            <w:pPr>
              <w:spacing w:after="0"/>
              <w:rPr>
                <w:sz w:val="18"/>
                <w:szCs w:val="18"/>
                <w:color w:val="auto"/>
              </w:rPr>
            </w:pPr>
          </w:p>
        </w:tc>
      </w:tr>
      <w:tr>
        <w:trPr>
          <w:trHeight w:val="230"/>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(Address of principal executive offices) (zip code)</w:t>
            </w:r>
          </w:p>
        </w:tc>
        <w:tc>
          <w:tcPr>
            <w:tcW w:w="3560" w:type="dxa"/>
            <w:vAlign w:val="bottom"/>
          </w:tcPr>
          <w:p>
            <w:pPr>
              <w:spacing w:after="0"/>
              <w:rPr>
                <w:sz w:val="20"/>
                <w:szCs w:val="20"/>
                <w:color w:val="auto"/>
              </w:rPr>
            </w:pPr>
          </w:p>
        </w:tc>
      </w:tr>
      <w:tr>
        <w:trPr>
          <w:trHeight w:val="323"/>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0"/>
              </w:rPr>
              <w:t>516-274-8700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1325 S. Colorado Blvd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Denver, CO 80222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45"/>
        </w:trPr>
        <w:tc>
          <w:tcPr>
            <w:tcW w:w="4600" w:type="dxa"/>
            <w:vAlign w:val="bottom"/>
            <w:gridSpan w:val="3"/>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rPr>
              <w:t>AUID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0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5320" w:hanging="209"/>
        <w:spacing w:after="0" w:line="207" w:lineRule="exact"/>
        <w:tabs>
          <w:tab w:leader="none" w:pos="5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3" w:lineRule="exact"/>
        <w:rPr>
          <w:sz w:val="24"/>
          <w:szCs w:val="24"/>
          <w:color w:val="auto"/>
        </w:rPr>
      </w:pPr>
    </w:p>
    <w:p>
      <w:pPr>
        <w:spacing w:after="0" w:line="33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5320" w:hanging="209"/>
        <w:spacing w:after="0" w:line="207" w:lineRule="exact"/>
        <w:tabs>
          <w:tab w:leader="none" w:pos="53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919" w:orient="portrait"/>
          <w:cols w:equalWidth="0" w:num="1">
            <w:col w:w="11240"/>
          </w:cols>
          <w:pgMar w:left="320" w:top="422" w:right="339" w:bottom="0" w:gutter="0" w:footer="0" w:header="0"/>
        </w:sectPr>
      </w:pP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919" w:orient="portrait"/>
          <w:cols w:equalWidth="0" w:num="2">
            <w:col w:w="6040" w:space="720"/>
            <w:col w:w="4480"/>
          </w:cols>
          <w:pgMar w:left="320" w:top="422" w:right="339" w:bottom="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8"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Outstanding at October 31, 2022</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25,030,964 shares</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ectPr>
          <w:pgSz w:w="11900" w:h="16919" w:orient="portrait"/>
          <w:cols w:equalWidth="0" w:num="1">
            <w:col w:w="11240"/>
          </w:cols>
          <w:pgMar w:left="320" w:top="422" w:right="33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40" w:type="dxa"/>
            <w:vAlign w:val="bottom"/>
            <w:gridSpan w:val="9"/>
          </w:tcPr>
          <w:p>
            <w:pPr>
              <w:ind w:left="8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Page No.</w:t>
            </w:r>
          </w:p>
        </w:tc>
      </w:tr>
      <w:tr>
        <w:trPr>
          <w:trHeight w:val="196"/>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520" w:type="dxa"/>
            <w:vAlign w:val="bottom"/>
            <w:gridSpan w:val="11"/>
            <w:shd w:val="clear" w:color="auto" w:fill="CCEEFF"/>
          </w:tcPr>
          <w:p>
            <w:pPr>
              <w:jc w:val="center"/>
              <w:ind w:right="2940"/>
              <w:spacing w:after="0" w:line="162" w:lineRule="exact"/>
              <w:rPr>
                <w:sz w:val="20"/>
                <w:szCs w:val="20"/>
                <w:color w:val="auto"/>
              </w:rPr>
            </w:pPr>
            <w:r>
              <w:rPr>
                <w:rFonts w:ascii="Arial" w:cs="Arial" w:eastAsia="Arial" w:hAnsi="Arial"/>
                <w:sz w:val="18"/>
                <w:szCs w:val="18"/>
                <w:b w:val="1"/>
                <w:bCs w:val="1"/>
                <w:color w:val="0000EE"/>
              </w:rPr>
              <w:t>PART I - FINANCIAL INFORMATION</w:t>
            </w:r>
          </w:p>
        </w:tc>
        <w:tc>
          <w:tcPr>
            <w:tcW w:w="7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 Financial Statements.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30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rPr>
              <w:t>Condensed Consolidated Balance Sheets as of September 30, 2022 (unaudited) and December 31, 2021</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30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w w:val="96"/>
              </w:rPr>
              <w:t>Condensed Consolidated Statements of Operations for the Three and Nine Months Ended September 30, 2022 and 2021 (unaudited)</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01"/>
        </w:trPr>
        <w:tc>
          <w:tcPr>
            <w:tcW w:w="160" w:type="dxa"/>
            <w:vAlign w:val="bottom"/>
            <w:tcBorders>
              <w:bottom w:val="single" w:sz="8" w:color="CCEEFF"/>
            </w:tcBorders>
            <w:shd w:val="clear" w:color="auto" w:fill="CCEEFF"/>
          </w:tcPr>
          <w:p>
            <w:pPr>
              <w:spacing w:after="0"/>
              <w:rPr>
                <w:sz w:val="17"/>
                <w:szCs w:val="17"/>
                <w:color w:val="auto"/>
              </w:rPr>
            </w:pPr>
          </w:p>
        </w:tc>
        <w:tc>
          <w:tcPr>
            <w:tcW w:w="10300" w:type="dxa"/>
            <w:vAlign w:val="bottom"/>
            <w:tcBorders>
              <w:bottom w:val="single" w:sz="8" w:color="0000EE"/>
            </w:tcBorders>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w w:val="89"/>
              </w:rPr>
              <w:t>Condensed Consolidated Statements of Comprehensive Loss for the Three and Nine Months Ended September 30, 2022 and 2021 (unaudited)</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60" w:type="dxa"/>
            <w:vAlign w:val="bottom"/>
            <w:shd w:val="clear" w:color="auto" w:fill="CCEEFF"/>
          </w:tcPr>
          <w:p>
            <w:pPr>
              <w:spacing w:after="0"/>
              <w:rPr>
                <w:sz w:val="15"/>
                <w:szCs w:val="15"/>
                <w:color w:val="auto"/>
              </w:rPr>
            </w:pPr>
          </w:p>
        </w:tc>
        <w:tc>
          <w:tcPr>
            <w:tcW w:w="1030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w w:val="98"/>
              </w:rPr>
              <w:t>Condensed Consolidated Statements of Stockholders’ Equity for the Three and Nine Months Ended September 30, 2022 and 2021</w:t>
            </w:r>
          </w:p>
        </w:tc>
        <w:tc>
          <w:tcPr>
            <w:tcW w:w="780" w:type="dxa"/>
            <w:vAlign w:val="bottom"/>
            <w:shd w:val="clear" w:color="auto" w:fill="CCEEFF"/>
          </w:tcPr>
          <w:p>
            <w:pPr>
              <w:spacing w:after="0"/>
              <w:rPr>
                <w:sz w:val="15"/>
                <w:szCs w:val="15"/>
                <w:color w:val="auto"/>
              </w:rPr>
            </w:pPr>
          </w:p>
        </w:tc>
      </w:tr>
      <w:tr>
        <w:trPr>
          <w:trHeight w:val="217"/>
        </w:trPr>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9240" w:type="dxa"/>
            <w:vAlign w:val="bottom"/>
            <w:tcBorders>
              <w:top w:val="single" w:sz="8" w:color="0000EE"/>
            </w:tcBorders>
            <w:gridSpan w:val="17"/>
            <w:shd w:val="clear" w:color="auto" w:fill="CCEEFF"/>
          </w:tcPr>
          <w:p>
            <w:pPr>
              <w:spacing w:after="0" w:line="196" w:lineRule="exact"/>
              <w:rPr>
                <w:sz w:val="20"/>
                <w:szCs w:val="20"/>
                <w:color w:val="auto"/>
              </w:rPr>
            </w:pPr>
            <w:r>
              <w:rPr>
                <w:rFonts w:ascii="Arial" w:cs="Arial" w:eastAsia="Arial" w:hAnsi="Arial"/>
                <w:sz w:val="18"/>
                <w:szCs w:val="18"/>
                <w:color w:val="0000EE"/>
              </w:rPr>
              <w:t>(unaudited)</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30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rPr>
              <w:t>Condensed Consolidated Statements of Cash Flows for the Nine Months Ended September 30, 2022 and 2021 (unaudited)</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300" w:type="dxa"/>
            <w:vAlign w:val="bottom"/>
            <w:gridSpan w:val="20"/>
            <w:shd w:val="clear" w:color="auto" w:fill="CCEEFF"/>
          </w:tcPr>
          <w:p>
            <w:pPr>
              <w:ind w:left="20"/>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6-18</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19-25</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4. Controls and Procedures.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0" w:type="dxa"/>
            <w:vAlign w:val="bottom"/>
            <w:gridSpan w:val="10"/>
            <w:shd w:val="clear" w:color="auto" w:fill="CCEEFF"/>
          </w:tcPr>
          <w:p>
            <w:pPr>
              <w:jc w:val="center"/>
              <w:ind w:right="3660"/>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7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 Legal Proceedings.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3. Defaults Upon Senior Securities.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4. Mine Safety Disclosures.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5. Other Information.</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6. Exhibits.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2021 and our other filings with the Securities and Exchange Commission. Some examples of risk factors which may affect our business are as follows:</w:t>
      </w:r>
    </w:p>
    <w:p>
      <w:pPr>
        <w:spacing w:after="0" w:line="15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lack of significant revenues and history of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customers for existing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maintain and update our technology and product and service portfolio;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retain key personnel and additional talent;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under acceptable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 or the loss of some of our intellectual property rights through costly litigation or administrative proceedings;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in non-US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war in Ukraine;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legislation and government regulation;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inflation and access to capital.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“authID” “authID.ai,” the “Company,” “we,” “our,” “us,” and similar terms refer to authID Inc., a Delaware corporation and its subsidiaries. The Company was formerly known as Ipsidy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18, 2022, Ipsidy Inc. changed its corporate name to authID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authID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2"/>
              </w:rPr>
              <w:t>(formerly known as Ipsidy Inc.)</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ind w:left="396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7,105,967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5,767,276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36,080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1,009,323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502,721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Current assets held for sale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81,412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629,752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8,232,782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300,172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1,744,143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2,379,451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4,183,232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4,183,232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28,857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14,489,186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13,830,009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44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2,007,631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1,778,092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96,933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199,007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100,368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295,332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2,866,932</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2,934,431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7,699,754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10,566,686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$0.0001 par value, 250,000,000 and 1,000,000,000 shares authorized; 24,914,418 and 23,294,024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shares issued and outstanding as of September 30, 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137,889,398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126,581,702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(134,108,443)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(115,899,939)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comprehensive income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139,055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211,486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3,922,500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10,895,578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14,489,186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13,830,009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Ipsidy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Verified software license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30,023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45,302</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Legacy authentication services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157,068</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144,559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418,878</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3,914,580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4,467,040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11,583,798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8,526,671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1,620,344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811,724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4,689,515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1,765,098</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213,049</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288,731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673,882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868,166</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5,747,973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5,567,495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16,947,195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11,159,935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(5,717,950)</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(5,398,146)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(16,685,711)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(10,695,755)</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Loss from continuing operations before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w:t>
      </w:r>
    </w:p>
    <w:p>
      <w:pPr>
        <w:spacing w:after="0" w:line="266" w:lineRule="exact"/>
        <w:rPr>
          <w:sz w:val="20"/>
          <w:szCs w:val="20"/>
          <w:color w:val="auto"/>
        </w:rPr>
      </w:pPr>
    </w:p>
    <w:p>
      <w:pPr>
        <w:ind w:right="2180"/>
        <w:spacing w:after="0" w:line="299" w:lineRule="auto"/>
        <w:rPr>
          <w:sz w:val="20"/>
          <w:szCs w:val="20"/>
          <w:color w:val="auto"/>
        </w:rPr>
      </w:pPr>
      <w:r>
        <w:rPr>
          <w:rFonts w:ascii="Arial" w:cs="Arial" w:eastAsia="Arial" w:hAnsi="Arial"/>
          <w:sz w:val="16"/>
          <w:szCs w:val="16"/>
          <w:color w:val="auto"/>
        </w:rPr>
        <w:t>Gain (Loss) from discontinued operations Loss from sale of a discontinued operation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loss from discontinued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 Basic and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(42,148)</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491,643</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(38,908)</w:t>
            </w:r>
          </w:p>
        </w:tc>
        <w:tc>
          <w:tcPr>
            <w:tcW w:w="1120" w:type="dxa"/>
            <w:vAlign w:val="bottom"/>
          </w:tcPr>
          <w:p>
            <w:pPr>
              <w:jc w:val="right"/>
              <w:spacing w:after="0"/>
              <w:rPr>
                <w:sz w:val="20"/>
                <w:szCs w:val="20"/>
                <w:color w:val="auto"/>
              </w:rPr>
            </w:pPr>
            <w:r>
              <w:rPr>
                <w:rFonts w:ascii="Arial" w:cs="Arial" w:eastAsia="Arial" w:hAnsi="Arial"/>
                <w:sz w:val="18"/>
                <w:szCs w:val="18"/>
                <w:color w:val="auto"/>
              </w:rPr>
              <w:t>971,799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22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(437,301)</w:t>
            </w:r>
          </w:p>
        </w:tc>
        <w:tc>
          <w:tcPr>
            <w:tcW w:w="22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(29,577)</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(931,205)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(580,928)</w:t>
            </w: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(479,449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462,066</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(970,113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390,871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2"/>
        </w:trPr>
        <w:tc>
          <w:tcPr>
            <w:tcW w:w="220" w:type="dxa"/>
            <w:vAlign w:val="bottom"/>
          </w:tcPr>
          <w:p>
            <w:pPr>
              <w:spacing w:after="0"/>
              <w:rPr>
                <w:sz w:val="24"/>
                <w:szCs w:val="24"/>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(6,197,399)</w:t>
            </w:r>
          </w:p>
        </w:tc>
        <w:tc>
          <w:tcPr>
            <w:tcW w:w="22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(4,936,080)</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(17,655,824)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(10,304,884)</w:t>
            </w:r>
          </w:p>
        </w:tc>
      </w:tr>
      <w:tr>
        <w:trPr>
          <w:trHeight w:val="445"/>
        </w:trPr>
        <w:tc>
          <w:tcPr>
            <w:tcW w:w="220" w:type="dxa"/>
            <w:vAlign w:val="bottom"/>
          </w:tcPr>
          <w:p>
            <w:pPr>
              <w:spacing w:after="0"/>
              <w:rPr>
                <w:sz w:val="24"/>
                <w:szCs w:val="24"/>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2,393</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(1,048)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(4,554)</w:t>
            </w: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gridSpan w:val="2"/>
          </w:tcPr>
          <w:p>
            <w:pPr>
              <w:spacing w:after="0"/>
              <w:rPr>
                <w:sz w:val="2"/>
                <w:szCs w:val="2"/>
                <w:color w:val="auto"/>
              </w:rPr>
            </w:pPr>
          </w:p>
        </w:tc>
      </w:tr>
      <w:tr>
        <w:trPr>
          <w:trHeight w:val="445"/>
        </w:trPr>
        <w:tc>
          <w:tcPr>
            <w:tcW w:w="220" w:type="dxa"/>
            <w:vAlign w:val="bottom"/>
          </w:tcPr>
          <w:p>
            <w:pPr>
              <w:spacing w:after="0"/>
              <w:rPr>
                <w:sz w:val="24"/>
                <w:szCs w:val="24"/>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(6,190,347)</w:t>
            </w:r>
          </w:p>
        </w:tc>
        <w:tc>
          <w:tcPr>
            <w:tcW w:w="22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(4,933,687)</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(17,656,872)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(10,309,438)</w:t>
            </w: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18"/>
        </w:trPr>
        <w:tc>
          <w:tcPr>
            <w:tcW w:w="220" w:type="dxa"/>
            <w:vAlign w:val="bottom"/>
          </w:tcPr>
          <w:p>
            <w:pPr>
              <w:spacing w:after="0"/>
              <w:rPr>
                <w:sz w:val="24"/>
                <w:szCs w:val="24"/>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43,645</w:t>
            </w:r>
          </w:p>
        </w:tc>
        <w:tc>
          <w:tcPr>
            <w:tcW w:w="22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(265,218)</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(363,385)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(437,076)</w:t>
            </w:r>
          </w:p>
        </w:tc>
      </w:tr>
      <w:tr>
        <w:trPr>
          <w:trHeight w:val="251"/>
        </w:trPr>
        <w:tc>
          <w:tcPr>
            <w:tcW w:w="22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(188,247)</w:t>
            </w:r>
          </w:p>
        </w:tc>
        <w:tc>
          <w:tcPr>
            <w:tcW w:w="22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(188,247)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(144,602</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(265,218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(551,632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(437,076</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479"/>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(6,334,949</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(5,198,905</w:t>
            </w:r>
            <w:r>
              <w:rPr>
                <w:rFonts w:ascii="Arial" w:cs="Arial" w:eastAsia="Arial" w:hAnsi="Arial"/>
                <w:sz w:val="35"/>
                <w:szCs w:val="35"/>
                <w:color w:val="auto"/>
                <w:vertAlign w:val="superscript"/>
              </w:rPr>
              <w:t>)</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  (18,208,504</w:t>
            </w:r>
            <w:r>
              <w:rPr>
                <w:rFonts w:ascii="Arial" w:cs="Arial" w:eastAsia="Arial" w:hAnsi="Arial"/>
                <w:sz w:val="35"/>
                <w:szCs w:val="35"/>
                <w:color w:val="auto"/>
                <w:w w:val="92"/>
                <w:vertAlign w:val="superscript"/>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3"/>
              </w:rPr>
              <w:t>$  (10,746,514</w:t>
            </w:r>
            <w:r>
              <w:rPr>
                <w:rFonts w:ascii="Arial" w:cs="Arial" w:eastAsia="Arial" w:hAnsi="Arial"/>
                <w:sz w:val="35"/>
                <w:szCs w:val="35"/>
                <w:color w:val="auto"/>
                <w:w w:val="93"/>
                <w:vertAlign w:val="superscript"/>
              </w:rPr>
              <w:t>)</w:t>
            </w:r>
          </w:p>
        </w:tc>
      </w:tr>
      <w:tr>
        <w:trPr>
          <w:trHeight w:val="21"/>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-2399665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-2125345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-1816735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-1534160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-1242695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-942340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-659765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-351155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-25400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260" w:space="720"/>
            <w:col w:w="52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1"/>
              <w:spacing w:after="0" w:line="280" w:lineRule="exact"/>
              <w:rPr>
                <w:sz w:val="20"/>
                <w:szCs w:val="20"/>
                <w:color w:val="auto"/>
              </w:rPr>
            </w:pPr>
            <w:r>
              <w:rPr>
                <w:rFonts w:ascii="Arial" w:cs="Arial" w:eastAsia="Arial" w:hAnsi="Arial"/>
                <w:sz w:val="17"/>
                <w:szCs w:val="17"/>
                <w:color w:val="auto"/>
              </w:rPr>
              <w:t>(0.25</w:t>
            </w:r>
            <w:r>
              <w:rPr>
                <w:rFonts w:ascii="Arial" w:cs="Arial" w:eastAsia="Arial" w:hAnsi="Arial"/>
                <w:sz w:val="32"/>
                <w:szCs w:val="32"/>
                <w:color w:val="auto"/>
                <w:vertAlign w:val="super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line="280" w:lineRule="exact"/>
              <w:rPr>
                <w:sz w:val="20"/>
                <w:szCs w:val="20"/>
                <w:color w:val="auto"/>
              </w:rPr>
            </w:pPr>
            <w:r>
              <w:rPr>
                <w:rFonts w:ascii="Arial" w:cs="Arial" w:eastAsia="Arial" w:hAnsi="Arial"/>
                <w:sz w:val="17"/>
                <w:szCs w:val="17"/>
                <w:color w:val="auto"/>
              </w:rPr>
              <w:t>(0.22</w:t>
            </w:r>
            <w:r>
              <w:rPr>
                <w:rFonts w:ascii="Arial" w:cs="Arial" w:eastAsia="Arial" w:hAnsi="Arial"/>
                <w:sz w:val="32"/>
                <w:szCs w:val="32"/>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line="280" w:lineRule="exact"/>
              <w:rPr>
                <w:sz w:val="20"/>
                <w:szCs w:val="20"/>
                <w:color w:val="auto"/>
              </w:rPr>
            </w:pPr>
            <w:r>
              <w:rPr>
                <w:rFonts w:ascii="Arial" w:cs="Arial" w:eastAsia="Arial" w:hAnsi="Arial"/>
                <w:sz w:val="17"/>
                <w:szCs w:val="17"/>
                <w:color w:val="auto"/>
              </w:rPr>
              <w:t>(0.73</w:t>
            </w:r>
            <w:r>
              <w:rPr>
                <w:rFonts w:ascii="Arial" w:cs="Arial" w:eastAsia="Arial" w:hAnsi="Arial"/>
                <w:sz w:val="32"/>
                <w:szCs w:val="32"/>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40"/>
              <w:spacing w:after="0" w:line="280" w:lineRule="exact"/>
              <w:rPr>
                <w:sz w:val="20"/>
                <w:szCs w:val="20"/>
                <w:color w:val="auto"/>
              </w:rPr>
            </w:pPr>
            <w:r>
              <w:rPr>
                <w:rFonts w:ascii="Arial" w:cs="Arial" w:eastAsia="Arial" w:hAnsi="Arial"/>
                <w:sz w:val="17"/>
                <w:szCs w:val="17"/>
                <w:color w:val="auto"/>
              </w:rPr>
              <w:t>(0.50</w:t>
            </w:r>
            <w:r>
              <w:rPr>
                <w:rFonts w:ascii="Arial" w:cs="Arial" w:eastAsia="Arial" w:hAnsi="Arial"/>
                <w:sz w:val="32"/>
                <w:szCs w:val="32"/>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tcPr>
          <w:p>
            <w:pPr>
              <w:spacing w:after="0"/>
              <w:rPr>
                <w:sz w:val="22"/>
                <w:szCs w:val="22"/>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24,821,962</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22,088,865</w:t>
            </w:r>
          </w:p>
        </w:tc>
        <w:tc>
          <w:tcPr>
            <w:tcW w:w="20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24,353,206</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20,703,970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Ipsidy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center"/>
              <w:ind w:right="201"/>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center"/>
              <w:ind w:right="201"/>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(6,334,949)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(5,198,905)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(18,208,504)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(10,746,514)</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(37,383)</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18,966</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(72,431)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60,991</w:t>
            </w:r>
          </w:p>
        </w:tc>
      </w:tr>
      <w:tr>
        <w:trPr>
          <w:trHeight w:val="250"/>
        </w:trPr>
        <w:tc>
          <w:tcPr>
            <w:tcW w:w="59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(6,372,332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(5,179,939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(18,280,935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(10,685,523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Ipsidy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2"/>
                <w:szCs w:val="22"/>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2"/>
                <w:szCs w:val="22"/>
                <w:color w:val="auto"/>
              </w:rPr>
            </w:pPr>
          </w:p>
        </w:tc>
        <w:tc>
          <w:tcPr>
            <w:tcW w:w="1220" w:type="dxa"/>
            <w:vAlign w:val="bottom"/>
            <w:gridSpan w:val="3"/>
          </w:tcPr>
          <w:p>
            <w:pPr>
              <w:jc w:val="right"/>
              <w:ind w:right="81"/>
              <w:spacing w:after="0"/>
              <w:rPr>
                <w:sz w:val="20"/>
                <w:szCs w:val="20"/>
                <w:color w:val="auto"/>
              </w:rPr>
            </w:pPr>
            <w:r>
              <w:rPr>
                <w:rFonts w:ascii="Arial" w:cs="Arial" w:eastAsia="Arial" w:hAnsi="Arial"/>
                <w:sz w:val="18"/>
                <w:szCs w:val="18"/>
                <w:b w:val="1"/>
                <w:bCs w:val="1"/>
                <w:color w:val="auto"/>
                <w:w w:val="91"/>
              </w:rPr>
              <w:t>Accumulated</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1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23,294,024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$ 126,581,702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(115,899,939)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10,895,578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6,726,871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6,726,871</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Sale of common stock for cash, net of offering</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1,063,514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3,146,834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3,146,940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Common stock issued with convertible debt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28,496</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91,754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91,757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Common stock issued for working capital facility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302,990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303,000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Shares issued in lieu of interest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191,714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473,794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473,812</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Warrants for services with the issuance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debt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449,474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449,474</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Cashless stock option exercise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185,111</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warrant exercise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Warrant exercise for cash</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36,668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65,999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66,003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 converted to common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(18,208,504)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(18,208,504)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(72,431)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Balances, September 30, 2022</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00" w:type="dxa"/>
            <w:vAlign w:val="bottom"/>
            <w:vMerge w:val="continue"/>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24,914,418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2,490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$ 137,889,398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8"/>
              </w:rPr>
              <w:t>(134,108,443</w:t>
            </w:r>
          </w:p>
        </w:tc>
        <w:tc>
          <w:tcPr>
            <w:tcW w:w="140" w:type="dxa"/>
            <w:vAlign w:val="bottom"/>
            <w:vMerge w:val="continue"/>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3,922,500</w:t>
            </w:r>
          </w:p>
        </w:tc>
        <w:tc>
          <w:tcPr>
            <w:tcW w:w="0" w:type="dxa"/>
            <w:vAlign w:val="bottom"/>
          </w:tcPr>
          <w:p>
            <w:pPr>
              <w:spacing w:after="0"/>
              <w:rPr>
                <w:sz w:val="1"/>
                <w:szCs w:val="1"/>
                <w:color w:val="auto"/>
              </w:rPr>
            </w:pPr>
          </w:p>
        </w:tc>
      </w:tr>
      <w:tr>
        <w:trPr>
          <w:trHeight w:val="122"/>
        </w:trPr>
        <w:tc>
          <w:tcPr>
            <w:tcW w:w="40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Balances, June 30, 2022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24,789,418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2,478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$ 135,322,838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w w:val="89"/>
              </w:rPr>
              <w:t>(127,773,494)</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176,438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7,728,260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in lieu of interest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222,798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222,805</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Warrant exercise for cash</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36,668</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65,999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66,003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 converted to common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2,227,764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2,227,764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(6,334,949)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(6,334,949)</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(37,383)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(37,383)</w:t>
            </w:r>
          </w:p>
        </w:tc>
        <w:tc>
          <w:tcPr>
            <w:tcW w:w="0" w:type="dxa"/>
            <w:vAlign w:val="bottom"/>
          </w:tcPr>
          <w:p>
            <w:pPr>
              <w:spacing w:after="0"/>
              <w:rPr>
                <w:sz w:val="1"/>
                <w:szCs w:val="1"/>
                <w:color w:val="auto"/>
              </w:rPr>
            </w:pPr>
          </w:p>
        </w:tc>
      </w:tr>
      <w:tr>
        <w:trPr>
          <w:trHeight w:val="27"/>
        </w:trPr>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September 30, 2022</w:t>
            </w: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24,914,418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$ 137,889,398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(134,108,443</w:t>
            </w:r>
          </w:p>
        </w:tc>
        <w:tc>
          <w:tcPr>
            <w:tcW w:w="1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3,922,500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19,642,401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$ 102,651,304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(98,234,151)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160,642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4,579,759</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Sale of common stock for cash</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1,642,856</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10,282,834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10,282,998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4,795,069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4,795,069</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w w:val="96"/>
              </w:rPr>
              <w:t>Settlement of accrued expense with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349,376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349,376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 converted to common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1,171,296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6,232,223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6,232,340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 option exercise for cash</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24,659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exercise for cash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273,747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273,753</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Cashless stock option exercise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412,569</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warrant exercise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263,661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(10,746,514)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(10,746,514)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60,991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Balances, September 30, 2021</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00" w:type="dxa"/>
            <w:vAlign w:val="bottom"/>
            <w:vMerge w:val="continue"/>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23,198,419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2,319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$ 124,609,145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8"/>
              </w:rPr>
              <w:t>(108,980,665</w:t>
            </w:r>
          </w:p>
        </w:tc>
        <w:tc>
          <w:tcPr>
            <w:tcW w:w="140" w:type="dxa"/>
            <w:vAlign w:val="bottom"/>
            <w:vMerge w:val="continue"/>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221,633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15,852,432</w:t>
            </w:r>
          </w:p>
        </w:tc>
        <w:tc>
          <w:tcPr>
            <w:tcW w:w="0" w:type="dxa"/>
            <w:vAlign w:val="bottom"/>
          </w:tcPr>
          <w:p>
            <w:pPr>
              <w:spacing w:after="0"/>
              <w:rPr>
                <w:sz w:val="1"/>
                <w:szCs w:val="1"/>
                <w:color w:val="auto"/>
              </w:rPr>
            </w:pPr>
          </w:p>
        </w:tc>
      </w:tr>
      <w:tr>
        <w:trPr>
          <w:trHeight w:val="122"/>
        </w:trPr>
        <w:tc>
          <w:tcPr>
            <w:tcW w:w="40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Balances, June 30, 2021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21,363,027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2,137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$ 111,493,973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w w:val="89"/>
              </w:rPr>
              <w:t>(103,781,760)</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202,667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7,917,017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common stock for cash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1,642,856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10,282,834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10,282,998</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2,533,943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2,533,943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exercise for cash</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Warrant exercise for cash</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60,834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273,747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273,753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stock option exercise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125,998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Cashless warrant exercise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(5,198,905)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(5,198,905)</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18,966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18,966</w:t>
            </w:r>
          </w:p>
        </w:tc>
        <w:tc>
          <w:tcPr>
            <w:tcW w:w="0" w:type="dxa"/>
            <w:vAlign w:val="bottom"/>
          </w:tcPr>
          <w:p>
            <w:pPr>
              <w:spacing w:after="0"/>
              <w:rPr>
                <w:sz w:val="1"/>
                <w:szCs w:val="1"/>
                <w:color w:val="auto"/>
              </w:rPr>
            </w:pPr>
          </w:p>
        </w:tc>
      </w:tr>
      <w:tr>
        <w:trPr>
          <w:trHeight w:val="27"/>
        </w:trPr>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September 30, 2021</w:t>
            </w: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23,198,419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$ 124,609,145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(108,980,665</w:t>
            </w:r>
          </w:p>
        </w:tc>
        <w:tc>
          <w:tcPr>
            <w:tcW w:w="1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221,633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15,852,432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Ipsidy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2"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(18,208,504)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(10,746,514)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sale of discontinued operation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188,247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674,836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860,313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6,726,871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4,795,069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Shares issued in lieu of interest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473,812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403,244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Forgiveness of notes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(971,522)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(9,234)</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(520,027)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61,044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(161,884)</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(606,360)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235,050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565,011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(102,074)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179,512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(47,809)</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226,586</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355,391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flows from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(9,553,050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(5,521,872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of discontinued operations, net of selling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146,728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disposed of from the sale of a discontinued operation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(299,505)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(7,981)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 – discontinued 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(16,159)</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(79,703)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(6,311)</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(23,702)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flows from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of common stock, net of offering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3,146,940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10,282,998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note payable, net of issuance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7,992,841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66,003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273,753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485,762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working capital facility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on notes payable – discontinued operations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 lease obligation – discontinued operations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(10,582)</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color w:val="auto"/>
              </w:rPr>
              <w:t>Net cash flows from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10,893,623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11,033,792</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Effect of Foreign Currencies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(78,019)</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59,607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1,079,326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5,468,122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5,767,276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3,506,171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Beginning of the Period – Discontinued Operations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270,707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259,106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End of the Period – Discontinued Operations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(11,342)</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(174,247)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End of the Period</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7,105,967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9,059,152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 – discontinued operations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 – discontinued operations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Schedule of Non-cash Investing and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Cashless option and warrant exercises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Common stock issued with convertible notes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Common stock for working capital facility</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303,000</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Warrants for services with the issuance of convertible debt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449,474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Reclass from other assets to intangible assets</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Settlement of accounts payable with issuance of common stock</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349,376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Conversion of convertible note payable and accrued interest to common stock</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95" w:orient="portrait"/>
          <w:cols w:equalWidth="0" w:num="1">
            <w:col w:w="11240"/>
          </w:cols>
          <w:pgMar w:left="320" w:top="783" w:right="3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10" w:name="page11"/>
    <w:bookmarkEnd w:id="10"/>
    <w:p>
      <w:pPr>
        <w:ind w:left="4240"/>
        <w:spacing w:after="0"/>
        <w:rPr>
          <w:sz w:val="20"/>
          <w:szCs w:val="20"/>
          <w:color w:val="auto"/>
        </w:rPr>
      </w:pPr>
      <w:r>
        <w:rPr>
          <w:rFonts w:ascii="Arial" w:cs="Arial" w:eastAsia="Arial" w:hAnsi="Arial"/>
          <w:sz w:val="18"/>
          <w:szCs w:val="18"/>
          <w:b w:val="1"/>
          <w:bCs w:val="1"/>
          <w:color w:val="auto"/>
        </w:rPr>
        <w:t>authID INC. AND SUBSIDIARIES</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(formerly known as Ipsidy Inc.)</w:t>
      </w: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2021. The results of operations for the three and nine months ended September 30, 2022 are not necessarily indicative of the results to be expected for future periods or the full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18, 2022, the Company changed its name to authID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authID Inc. and its wholly-owned subsidiaries MultiPay S.A.S., IDGS S.A.S., ID Solutions, Inc., FIN Holdings Inc., Ipsidy Enterprises Limited, Cards Plus Pty Ltd. and authID Gaming Inc. (collectively the “Company”). All significant intercompany balances and transactions have been eliminated in consolidation.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4, 2022, the Board of Directors of authID Inc. approved a plan to exit from certain non-core activities comprising the MultiPay correspondent bank, payments services in Colombia and the Cards Plus cards manufacturing and printing business in South Africa (“Cards Plus business”). On August 29, 2022 the Company executed and completed the sale of the Cards Plus business. As of September 30, 2022 and December 31, 2021, Cards Plus Pty Ltd., MultiPay S.A.S., and IDGS S.A.S assets are presented as assets held for sale on the Company’s Condensed Consolidated Balance Sheets and their operations presented as discontinued operations in the Condensed Consolidated Statements of Operations as they met the criteria for discontinued operations under applicable accounting guidance. See Discontinued Operations Note 9 for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the Company had an accumulated deficit of approximately $134 million. For the three and nine months ended September 30, 2022 the Company earned revenue from continuing operations of approximately $0.03 million and $0.3 million respectively and incurred losses from operations of approximately $4.1 million and $11.4 million respectively, excluding the stock-based compensation expenses of $2.2 million and $6.7 million,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the Company secured additional financing which management believes will provide adequate funding for its operations as it continues to invest in its product, people, and technology. The Company may need additional capital in the future but currently believes it has sufficient funds to operate its business through December 31, 2023. See Notes 5, 6 and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prior year expenses have been reclassified for consistency with the current year presentation. These reclassifications had no effect on the reported results of operations. Specifically, we reclassified certain expenses from general and administrative expenses to research and development expenses.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and nine months ended September 30, 2022 and 2021 because their effect was antidilutive: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Security</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2,590,547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117,529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1,267,688</w:t>
            </w:r>
          </w:p>
        </w:tc>
        <w:tc>
          <w:tcPr>
            <w:tcW w:w="1140" w:type="dxa"/>
            <w:vAlign w:val="bottom"/>
          </w:tcPr>
          <w:p>
            <w:pPr>
              <w:jc w:val="right"/>
              <w:spacing w:after="0"/>
              <w:rPr>
                <w:sz w:val="20"/>
                <w:szCs w:val="20"/>
                <w:color w:val="auto"/>
              </w:rPr>
            </w:pPr>
            <w:r>
              <w:rPr>
                <w:rFonts w:ascii="Arial" w:cs="Arial" w:eastAsia="Arial" w:hAnsi="Arial"/>
                <w:sz w:val="18"/>
                <w:szCs w:val="18"/>
                <w:color w:val="auto"/>
              </w:rPr>
              <w:t>1,413,611</w:t>
            </w:r>
          </w:p>
        </w:tc>
        <w:tc>
          <w:tcPr>
            <w:tcW w:w="8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9,895,187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9,322,153</w:t>
            </w:r>
          </w:p>
        </w:tc>
        <w:tc>
          <w:tcPr>
            <w:tcW w:w="8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13,753,422</w:t>
            </w:r>
          </w:p>
        </w:tc>
        <w:tc>
          <w:tcPr>
            <w:tcW w:w="1140" w:type="dxa"/>
            <w:vAlign w:val="bottom"/>
          </w:tcPr>
          <w:p>
            <w:pPr>
              <w:jc w:val="right"/>
              <w:spacing w:after="0"/>
              <w:rPr>
                <w:sz w:val="20"/>
                <w:szCs w:val="20"/>
                <w:color w:val="auto"/>
              </w:rPr>
            </w:pPr>
            <w:r>
              <w:rPr>
                <w:rFonts w:ascii="Arial" w:cs="Arial" w:eastAsia="Arial" w:hAnsi="Arial"/>
                <w:sz w:val="18"/>
                <w:szCs w:val="18"/>
                <w:color w:val="auto"/>
              </w:rPr>
              <w:t>10,853,293</w:t>
            </w:r>
          </w:p>
        </w:tc>
        <w:tc>
          <w:tcPr>
            <w:tcW w:w="8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Starting in the quarter ended June 30, 2022, the Company separately reports Verified software license revenue from Legacy authentication services revenue. Prior periods revenues are recast accordingly for comparison purposes.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recognizes revenue based on the identified performance obligations over the performance period for fixed consideration and/or for variable fees generated that are earned on a usage fee earned over time based on monthly transaction or user volumes and/or on a monthly flat fee rate. The Company had a contract liability of approximately $97,000 and $199,000 as of September 30, 2022 and December 31, 2021, respectively, for certain revenue that will be earned in future periods. Of the $97,000 of deferred revenue contract liability as of September 30, 2022, the majority will be earned during the balance of 2022. The majority of the deferred revenue contract liability as of December 31, 2021 related to legacy services and was recognized in the quarter ended March 31, 2022. All contracts are reviewed for their respective performance obligations and related revenue and expense recognition implications. Certain of the revenues are derived from Verified software licenses that could include multiple performance obligations. A performance obligation is defined as a promise to provide a “distinct” good or service to a customer. The Company has determined that one possible treatment under U.S. GAAP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should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the Company will review each contract and determine whether such performance obligations are separate and distinct and apply the new standard accordingly to the revenue and expense derived from or related to each such service.</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Legacy authentication services comprised annual software maintenance support services relating to previously licensed software on a stand ready basis. These fees were billed in advance and recognized ratably over the requisite service period as revenue. The contract terminated on April 1, 2022.</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Furthermore, the Company will capitalize the incremental costs of acquiring and fulfilling a contract with a customer if the Company expects to recover those costs. These incremental costs were immaterial in both three-month and nine-month periods and the Company recognizes these costs as incurred as they typically relate to a period of less than one year as allowed by the practical expedient and the amounts in the period were immaterial.</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Contract cost assets will be amortized using the straight-line method over the expected period of benefit beginning at the time revenue begins to be realized. The amortization of contract fulfillment cost assets associated with facilitating transactions will be recorded as cost of services in the Company’s Consolidated Statements of Operations. The amortization of contract acquisition cost assets associated with sales commissions that qualify for capitalization will be recorded as general and administrative expense in the Company’s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the Company did not have any deferred contract costs or fees payable.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OTHER CURRENT ASSETS AND OTHER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Other current assets consisted of the following at September 30, 2022 (unaudited)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378,014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Unamortized working capital facility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199,156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Third Party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215,326</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150,566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161,353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1,009,323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assets consisted of the following at September 30, 2022 (unaudited) and December 31, 2021: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Unamortized working capital facility fees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300,172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 NET (OTHER THAN GOODWILL)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intangible assets primarily consist of acquired and developed software that is being amortized over their estimated useful lives as indicated below. The following is a summary of activity related to intangible assets for the nine months ended September 30, 2022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Acquired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Developed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Software</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 Years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2,238,881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2,379,451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(629,511)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(641,619)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September 30, 2022</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1,609,370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134,773</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1,744,143</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The following is a summary of intangible assets as of September 30, 2022 (unaudited):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Acquired and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Developed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Software</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4,476,271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4,640,885</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(2,866,901)</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(29,841)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(2,896,742)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September 30, 2022</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1,609,370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134,773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1,744,143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approximately $642,000 and $894,000 for the nine months ended September 30,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Future expected amortization of intangible assets is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Fiscal Year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804,722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580,408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63,792</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16,456</w:t>
            </w: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48,381</w:t>
            </w:r>
          </w:p>
        </w:tc>
      </w:tr>
      <w:tr>
        <w:trPr>
          <w:trHeight w:val="250"/>
        </w:trPr>
        <w:tc>
          <w:tcPr>
            <w:tcW w:w="1002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1,744,143</w:t>
            </w:r>
          </w:p>
        </w:tc>
        <w:tc>
          <w:tcPr>
            <w:tcW w:w="100" w:type="dxa"/>
            <w:vAlign w:val="bottom"/>
            <w:tcBorders>
              <w:top w:val="single" w:sz="8" w:color="CCEEFF"/>
            </w:tcBorders>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impairment indicator identified for impairment of the Company’s intangible assets and goodwill as of September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 as of September 30, 2022 (unaudited)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83,203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33,533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627,881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783,144</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709,645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413,328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2,007,631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1,778,092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WORKING CAPITAL FACILTIY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21, 2022, the Company entered into a Facility Agreement with a current shareholder and noteholder of the Company, pursuant to which the shareholder agreed to provide to the Company a $10.0 million unsecured standby line of credit facility that will rank behind the Convertible Notes (see Note 6) and may be drawn down in several tranches, subject to certain conditions described in the Facility Agreement (the “Credit Facility”). Pursuant to the Credit Facility, the Company agreed to pay a facility commitment fee of 100,000 shares of our common stock upon the effective date of the Credit Facility.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Outstanding borrowings under the Credit Facility will accrue interest at 15% per annum. Drawdowns of the Credit Facility will be in tranches of not less than $500,000 up to the maximum amount of the Credit Facility, subject to the satisfaction of customary certifications and a certification from the Company that it has no more than $5 million of cash available to it as of the date of the drawdown request. The Credit Facility contains customary representations and warranties and defined events of default. The Company will be permitted to prepay borrowings under the Credit Facility at any time, without penalty, in part or in full. Upon conversion or redemption of all amounts outstanding under the Convertible Notes and release of all security over the Company’s assets, the Company will provide a lien on the Company’s intellectual property assets to secure the Credit Facility.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borrowings under the Credit Facility as of September 30, 2022. The unamortized deferred debt expense is approximately $498,000 of which $199,000 is included in other current assets and the balance in other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CONVERTIBLE NOTES PAYABLE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September 30, 2022, a holder of a Convertible Note converted the full principal amount of $50,000 and accrued interest of $406 into 13,649 shares of our common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three and nine months ended September 30, 2022, the Company issued 74,683 and 191,579 shares of common stock for approximately $223,000 and $474,000, respectively of interest related to the Convertible Notes.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issuance of the Convertible Notes, the Company issued 142,690 common stock warrants to the broker and its representatives with an estimated grant date fair value of approximately $449,000 which has been recorded as a reduction in the carrying value of the Convertible Notes.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also has a note outstanding to the Stern Trust in the amount of $662,000 that earns interest at 10% per annum, which at the election of the Stern Trust can be paid in shares of common stock at a conversion price of $6.00 (the “Stern Note”). Theodore Stern, the former Trustee of the Stern Trust was formerly a director of the Company. The maturity date of the Stern Note was previously February 29, 2022 and the Stern Trust and the Company have mutually agreed to extend the due date to December 31, 2022. The Stern Trust shall have the right at is sole option to extend the maturity date for a further six months after December 31, 2022, by service of written notice upon the Borrower at any time on or before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convertible notes payable outstanding as of September 30, 2022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10.0% convertible note due December 31, 2022</w:t>
            </w:r>
          </w:p>
        </w:tc>
        <w:tc>
          <w:tcPr>
            <w:tcW w:w="4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9.75% convertible notes due March 31, 2025</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9,126,224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less:</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 expense</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(226,337)</w:t>
            </w: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Unamortized debt issuance expense</w:t>
            </w:r>
          </w:p>
        </w:tc>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(1,200,133)</w:t>
            </w:r>
          </w:p>
        </w:tc>
        <w:tc>
          <w:tcPr>
            <w:tcW w:w="0" w:type="dxa"/>
            <w:vAlign w:val="bottom"/>
          </w:tcPr>
          <w:p>
            <w:pPr>
              <w:spacing w:after="0"/>
              <w:rPr>
                <w:sz w:val="1"/>
                <w:szCs w:val="1"/>
                <w:color w:val="auto"/>
              </w:rPr>
            </w:pPr>
          </w:p>
        </w:tc>
      </w:tr>
      <w:tr>
        <w:trPr>
          <w:trHeight w:val="250"/>
        </w:trPr>
        <w:tc>
          <w:tcPr>
            <w:tcW w:w="540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w w:val="92"/>
              </w:rPr>
              <w:t>Future maturities of convertible notes payable as of September 30, 2022:</w:t>
            </w: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400" w:type="dxa"/>
            <w:vAlign w:val="bottom"/>
            <w:vMerge w:val="continue"/>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8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662,000</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4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9,126,224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9,788,224</w:t>
            </w:r>
          </w:p>
        </w:tc>
        <w:tc>
          <w:tcPr>
            <w:tcW w:w="0" w:type="dxa"/>
            <w:vAlign w:val="bottom"/>
          </w:tcPr>
          <w:p>
            <w:pPr>
              <w:spacing w:after="0"/>
              <w:rPr>
                <w:sz w:val="1"/>
                <w:szCs w:val="1"/>
                <w:color w:val="auto"/>
              </w:rPr>
            </w:pPr>
          </w:p>
        </w:tc>
      </w:tr>
      <w:tr>
        <w:trPr>
          <w:trHeight w:val="21"/>
        </w:trPr>
        <w:tc>
          <w:tcPr>
            <w:tcW w:w="54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two Directors, an affiliate of one of such Directors and one Executive Officer invested in $1.2 million of the Convertible Notes issued. See Note 6. In connection with the payment of interest on the Convertible Notes, 20,761 shares were issued to two Directors and an affiliate of one of the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Two Directors and one Executive Officer invested $0.2 million in the common stock offering in the nine months ended September 30, 2022. See Note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25, 2022, Stuart Stoller indicated his intention to resign as Chief Financial Officer of the Company in connection with his planned retirement. The resignation and retirement had an effective date of June 17, 2022 at which time Annie Pham was appointed Chief Financial Officer in his place. In connection with his retirement, the Board of Director’s approved the vesting of approximately 122,222 stock options which were unvested as of June 17, 2022. Additionally, the Board of Directors approved a consulting arrangement for Mr. Stoller to provide transitional services.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2022, Ms. Pham and the Company entered an Offer Letter pursuant to which Ms. Pham agreed to serve as Chief Financial Officer commencing June 20, 2022. Ms. Pham receives an annual salary of $275,000. The Company agreed to provide a bonus of 40% of the base salary (pro rated for 2022) based on achievement of performance milestones, calculated and payable in accordance with the corporate milestones approved by the Board for the year 2022. For subsequent fiscal years the bonus shall be subject to performance targets to be mutually agreed with the Compensation Committee of the Board. In addition, Ms. Pham received a signing bonus in the amount of $25,000, which is fully refundable to the Company if Ms. Pham leaves her employment voluntarily or is terminated for cause prior to the first anniversary of the commencement of employment. Upon commencing employment, Ms. Pham was granted an option to acquire 350,000 shares of common stock at an exercise price of $2.41 and an exercise period of ten years subject to certain performance vesting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2022, shares of common stock were issued as a result of the following transactions:</w:t>
      </w:r>
    </w:p>
    <w:p>
      <w:pPr>
        <w:spacing w:after="0" w:line="225" w:lineRule="exact"/>
        <w:rPr>
          <w:sz w:val="20"/>
          <w:szCs w:val="20"/>
          <w:color w:val="auto"/>
        </w:rPr>
      </w:pPr>
    </w:p>
    <w:p>
      <w:pPr>
        <w:jc w:val="both"/>
        <w:ind w:left="660" w:right="2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p>
      <w:pPr>
        <w:spacing w:after="0" w:line="171"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issued total of 28,496 shares of our common stock to the Note Investors as an additional origination fee. Additionally, the Company issued 191,579 shares of common stock for approximately $474,000 of interest owed from the effective date of the Convertible Notes until September 30, 2022.</w:t>
      </w:r>
    </w:p>
    <w:p>
      <w:pPr>
        <w:spacing w:after="0" w:line="183" w:lineRule="exact"/>
        <w:rPr>
          <w:rFonts w:ascii="Arial" w:cs="Arial" w:eastAsia="Arial" w:hAnsi="Arial"/>
          <w:sz w:val="18"/>
          <w:szCs w:val="18"/>
          <w:color w:val="auto"/>
        </w:rPr>
      </w:pPr>
    </w:p>
    <w:p>
      <w:pPr>
        <w:jc w:val="both"/>
        <w:ind w:left="660" w:right="20"/>
        <w:spacing w:after="0" w:line="259" w:lineRule="auto"/>
        <w:rPr>
          <w:rFonts w:ascii="Arial" w:cs="Arial" w:eastAsia="Arial" w:hAnsi="Arial"/>
          <w:sz w:val="18"/>
          <w:szCs w:val="18"/>
          <w:color w:val="auto"/>
        </w:rPr>
      </w:pPr>
      <w:r>
        <w:rPr>
          <w:rFonts w:ascii="Arial" w:cs="Arial" w:eastAsia="Arial" w:hAnsi="Arial"/>
          <w:sz w:val="18"/>
          <w:szCs w:val="18"/>
          <w:color w:val="auto"/>
        </w:rPr>
        <w:t>On March 21, 2022, the Company entered into a Facility Agreement with a current shareholder and noteholder of the Company, pursuant to which the shareholder agreed to provide the Company a $10.0 million unsecured standby letter of credit facility. Pursuant to the Credit Facility, the Company paid a facility commitment fee of 100,000 shares of our common stock with a fair market value of $3.03 per share upon the effective date of the Credit Facility.</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warrant, stock option and convertible note holders exercised their respective warrants and stock options and conversion right and were issued approximately 236,805 shares of our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During the nine months ended September 30, 2021, shares of common stock were issued as a result of the following transactions: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26, 2021, the Company completed the Offering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first quarter of 2021, convertible notes totaling $120,000 and a portion of their accrued interest at the option of the noteholders were converted into approximately 33,000 shares of common stock of the Company.</w:t>
      </w:r>
    </w:p>
    <w:p>
      <w:pPr>
        <w:spacing w:after="0" w:line="170"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Additionally, during the three and nine months ended September 30, 2021, the Company received conversion notices from (i) the Stern Trust converting the principal amount, repayment premium and interest in the amount of approximately $3.5 million payable under the Restated Stern Note into approximately 561,000 shares of common stock, (ii) the 8% Note Investors converting principal and interest in the amount of approximately $0.4 million into approximately 180,000 shares of common stock and (iii) the 2020 Note Investors converting principal, repayment premium and interest in the amount of approximately $2.5 million into approximately 398,000 shares of common stock. The Stern Trust is owed approximately $0.7 million in interest under the Restated Stern Note, which has not been converted and remains outstanding. As a result, a total of approximately $6.4 million of Company indebtedness was converted and the Company issued approximately 1,138,000 shares of common stock in the aggregate.</w:t>
      </w:r>
    </w:p>
    <w:p>
      <w:pPr>
        <w:spacing w:after="0" w:line="19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warrant and stock option holders exercised their respective warrants and stock options by means of the cashless exercise feature and were issued approximately 549,000 common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for the nine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3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1,403,610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4.61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3.0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4660" w:type="dxa"/>
            <w:vAlign w:val="bottom"/>
            <w:gridSpan w:val="3"/>
          </w:tcPr>
          <w:p>
            <w:pPr>
              <w:jc w:val="right"/>
              <w:ind w:right="240"/>
              <w:spacing w:after="0"/>
              <w:rPr>
                <w:sz w:val="20"/>
                <w:szCs w:val="20"/>
                <w:color w:val="auto"/>
              </w:rPr>
            </w:pPr>
            <w:r>
              <w:rPr>
                <w:rFonts w:ascii="Arial" w:cs="Arial" w:eastAsia="Arial" w:hAnsi="Arial"/>
                <w:sz w:val="18"/>
                <w:szCs w:val="18"/>
                <w:color w:val="auto"/>
              </w:rPr>
              <w:t>142,690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3.70</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3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(278,612)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4.13</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 years</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at September 30, 2022</w:t>
            </w:r>
          </w:p>
        </w:tc>
        <w:tc>
          <w:tcPr>
            <w:tcW w:w="3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vMerge w:val="restart"/>
          </w:tcPr>
          <w:p>
            <w:pPr>
              <w:ind w:left="280"/>
              <w:spacing w:after="0"/>
              <w:rPr>
                <w:sz w:val="20"/>
                <w:szCs w:val="20"/>
                <w:color w:val="auto"/>
              </w:rPr>
            </w:pPr>
            <w:r>
              <w:rPr>
                <w:rFonts w:ascii="Arial" w:cs="Arial" w:eastAsia="Arial" w:hAnsi="Arial"/>
                <w:sz w:val="18"/>
                <w:szCs w:val="18"/>
                <w:color w:val="auto"/>
              </w:rPr>
              <w:t>3.1 years</w:t>
            </w:r>
          </w:p>
        </w:tc>
        <w:tc>
          <w:tcPr>
            <w:tcW w:w="0" w:type="dxa"/>
            <w:vAlign w:val="bottom"/>
          </w:tcPr>
          <w:p>
            <w:pPr>
              <w:spacing w:after="0" w:line="20" w:lineRule="exact"/>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3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1,267,688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4.61</w:t>
            </w: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80" w:type="dxa"/>
            <w:vAlign w:val="bottom"/>
            <w:vMerge w:val="restart"/>
          </w:tcPr>
          <w:p>
            <w:pPr>
              <w:jc w:val="right"/>
              <w:ind w:right="1510"/>
              <w:spacing w:after="0"/>
              <w:rPr>
                <w:sz w:val="20"/>
                <w:szCs w:val="20"/>
                <w:color w:val="auto"/>
              </w:rPr>
            </w:pPr>
            <w:r>
              <w:rPr>
                <w:rFonts w:ascii="Arial" w:cs="Arial" w:eastAsia="Arial" w:hAnsi="Arial"/>
                <w:sz w:val="18"/>
                <w:szCs w:val="18"/>
                <w:color w:val="auto"/>
              </w:rPr>
              <w:t>12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grant date fair value of options granted for the nine months ended September 30, 2022, using the Black Scholes Method and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123-127%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2.14-3.75%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Dividend rate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18"/>
        </w:trPr>
        <w:tc>
          <w:tcPr>
            <w:tcW w:w="8700" w:type="dxa"/>
            <w:vAlign w:val="bottom"/>
            <w:gridSpan w:val="6"/>
          </w:tcPr>
          <w:p>
            <w:pPr>
              <w:spacing w:after="0"/>
              <w:rPr>
                <w:sz w:val="20"/>
                <w:szCs w:val="20"/>
                <w:color w:val="auto"/>
              </w:rPr>
            </w:pPr>
            <w:r>
              <w:rPr>
                <w:rFonts w:ascii="Arial" w:cs="Arial" w:eastAsia="Arial" w:hAnsi="Arial"/>
                <w:sz w:val="18"/>
                <w:szCs w:val="18"/>
                <w:color w:val="auto"/>
              </w:rPr>
              <w:t>Activity related to stock options for the nine months ended September 30, 2022, is summarized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Term (Yrs.)</w:t>
            </w: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8,910,994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7.5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67,488,214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1,351,337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(281,031)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Forfeited/cancelled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(86,113)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Outstanding as of September 30, 2022</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9,895,187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2,516,245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as of September 30, 2022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5,274,760</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79"/>
              </w:rPr>
              <w:t>4.4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information as of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Contractual Life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2580" w:type="dxa"/>
            <w:vAlign w:val="bottom"/>
            <w:gridSpan w:val="2"/>
          </w:tcPr>
          <w:p>
            <w:pPr>
              <w:ind w:left="700"/>
              <w:spacing w:after="0"/>
              <w:rPr>
                <w:sz w:val="20"/>
                <w:szCs w:val="20"/>
                <w:color w:val="auto"/>
              </w:rPr>
            </w:pPr>
            <w:r>
              <w:rPr>
                <w:rFonts w:ascii="Arial" w:cs="Arial" w:eastAsia="Arial" w:hAnsi="Arial"/>
                <w:sz w:val="18"/>
                <w:szCs w:val="18"/>
                <w:b w:val="1"/>
                <w:bCs w:val="1"/>
                <w:color w:val="auto"/>
              </w:rPr>
              <w:t>Outstanding</w:t>
            </w:r>
          </w:p>
        </w:tc>
        <w:tc>
          <w:tcPr>
            <w:tcW w:w="2340" w:type="dxa"/>
            <w:vAlign w:val="bottom"/>
            <w:gridSpan w:val="2"/>
          </w:tcPr>
          <w:p>
            <w:pPr>
              <w:ind w:left="900"/>
              <w:spacing w:after="0"/>
              <w:rPr>
                <w:sz w:val="20"/>
                <w:szCs w:val="20"/>
                <w:color w:val="auto"/>
              </w:rPr>
            </w:pPr>
            <w:r>
              <w:rPr>
                <w:rFonts w:ascii="Arial" w:cs="Arial" w:eastAsia="Arial" w:hAnsi="Arial"/>
                <w:sz w:val="18"/>
                <w:szCs w:val="18"/>
                <w:b w:val="1"/>
                <w:bCs w:val="1"/>
                <w:color w:val="auto"/>
              </w:rPr>
              <w:t>(Yrs.)</w:t>
            </w:r>
          </w:p>
        </w:tc>
        <w:tc>
          <w:tcPr>
            <w:tcW w:w="2460" w:type="dxa"/>
            <w:vAlign w:val="bottom"/>
            <w:gridSpan w:val="2"/>
          </w:tcPr>
          <w:p>
            <w:pPr>
              <w:ind w:left="740"/>
              <w:spacing w:after="0"/>
              <w:rPr>
                <w:sz w:val="20"/>
                <w:szCs w:val="20"/>
                <w:color w:val="auto"/>
              </w:rPr>
            </w:pPr>
            <w:r>
              <w:rPr>
                <w:rFonts w:ascii="Arial" w:cs="Arial" w:eastAsia="Arial" w:hAnsi="Arial"/>
                <w:sz w:val="18"/>
                <w:szCs w:val="18"/>
                <w:b w:val="1"/>
                <w:bCs w:val="1"/>
                <w:color w:val="auto"/>
              </w:rPr>
              <w:t>Exercisable</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$.03 - $4.00</w:t>
            </w:r>
          </w:p>
        </w:tc>
        <w:tc>
          <w:tcPr>
            <w:tcW w:w="2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4,636,149</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$4.01- $7.00</w:t>
            </w:r>
          </w:p>
        </w:tc>
        <w:tc>
          <w:tcPr>
            <w:tcW w:w="240" w:type="dxa"/>
            <w:vAlign w:val="bottom"/>
          </w:tcPr>
          <w:p>
            <w:pPr>
              <w:spacing w:after="0"/>
              <w:rPr>
                <w:sz w:val="18"/>
                <w:szCs w:val="18"/>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151,667</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151,667</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$7.01 - $10.00</w:t>
            </w:r>
          </w:p>
        </w:tc>
        <w:tc>
          <w:tcPr>
            <w:tcW w:w="2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3,416,135</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808,907</w:t>
            </w:r>
          </w:p>
        </w:tc>
      </w:tr>
      <w:tr>
        <w:trPr>
          <w:trHeight w:val="23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$10.01 - $15.97</w:t>
            </w:r>
          </w:p>
        </w:tc>
        <w:tc>
          <w:tcPr>
            <w:tcW w:w="24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1,691,236</w:t>
            </w:r>
          </w:p>
        </w:tc>
        <w:tc>
          <w:tcPr>
            <w:tcW w:w="22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5.2</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1,219,166</w:t>
            </w:r>
          </w:p>
        </w:tc>
        <w:tc>
          <w:tcPr>
            <w:tcW w:w="100" w:type="dxa"/>
            <w:vAlign w:val="bottom"/>
            <w:tcBorders>
              <w:bottom w:val="single" w:sz="8" w:color="CCEEFF"/>
            </w:tcBorders>
          </w:tcPr>
          <w:p>
            <w:pPr>
              <w:spacing w:after="0"/>
              <w:rPr>
                <w:sz w:val="20"/>
                <w:szCs w:val="20"/>
                <w:color w:val="auto"/>
              </w:rPr>
            </w:pPr>
          </w:p>
        </w:tc>
      </w:tr>
      <w:tr>
        <w:trPr>
          <w:trHeight w:val="250"/>
        </w:trPr>
        <w:tc>
          <w:tcPr>
            <w:tcW w:w="3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9,895,187</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5,274,760</w:t>
            </w:r>
          </w:p>
        </w:tc>
      </w:tr>
      <w:tr>
        <w:trPr>
          <w:trHeight w:val="21"/>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2022, the Company recognized approximately $6,727,000 of stock option based compensation expense of which approximately $2,214,000 relates to market condition-based awards of directors and officers. As of September 30, 2022, there was approximately $11,835,000 of unrecognized compensation costs related to stock options outstanding that will be expensed through 2026.</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 DISCONTINUED OPERATIONS AND ASSETS HELD FOR SALE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authID considers it in the best interests of the Company to focus its business activities on providing biometric authentication products and services by means of our proprietary Verified platform. Accordingly, on May 4, 2022, the Board approved a plan to exit from certain non-core activities comprising the MultiPay correspondent bank, payments services in Colombia and the Cards Plus cards manufacturing and printing business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Cards Plus business in South Africa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of Cards Plus are classified as a discontinued operation and an asset held for sale, as all required classification criteria under appropriate accounting standards were met as of June 30, 2022.</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29, 2022, the Company completed the sale of Cards Plus for a price of $300,000 of which $150,000 was received and the remaining balance of $150,000 recorded in other current asset is expected to be received within one year, less $3,272 in costs to sell (net), and recognized a loss of $188,247 from the transaction. The following table summarizes the assets and liabilities of the Cards Plus sale and the consideration received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Carrying value of net assets sold:</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299,505</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61,879</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231,955</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r>
      <w:tr>
        <w:trPr>
          <w:trHeight w:val="216"/>
        </w:trPr>
        <w:tc>
          <w:tcPr>
            <w:tcW w:w="10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21,127</w:t>
            </w:r>
          </w:p>
        </w:tc>
      </w:tr>
      <w:tr>
        <w:trPr>
          <w:trHeight w:val="210"/>
        </w:trPr>
        <w:tc>
          <w:tcPr>
            <w:tcW w:w="1002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615,956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ind w:left="1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assets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 Consideration on disposition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76,094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43,728</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11,159</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130,981</w:t>
      </w:r>
    </w:p>
    <w:p>
      <w:pPr>
        <w:spacing w:after="0" w:line="289" w:lineRule="exact"/>
        <w:rPr>
          <w:sz w:val="20"/>
          <w:szCs w:val="20"/>
          <w:color w:val="auto"/>
        </w:rPr>
      </w:pPr>
    </w:p>
    <w:p>
      <w:pPr>
        <w:ind w:left="520" w:hanging="515"/>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484,975</w:t>
      </w:r>
    </w:p>
    <w:p>
      <w:pPr>
        <w:spacing w:after="0" w:line="643"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Legal fee</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(5,511)</w:t>
            </w:r>
          </w:p>
        </w:tc>
      </w:tr>
      <w:tr>
        <w:trPr>
          <w:trHeight w:val="250"/>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 off net payable with CP</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Consideration</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296,728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Arial" w:cs="Arial" w:eastAsia="Arial" w:hAnsi="Arial"/>
                <w:sz w:val="18"/>
                <w:szCs w:val="18"/>
                <w:b w:val="1"/>
                <w:bCs w:val="1"/>
                <w:color w:val="auto"/>
              </w:rPr>
              <w:t>Net loss on sale of a discontinued operation</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3"/>
          </w:tcPr>
          <w:p>
            <w:pPr>
              <w:jc w:val="right"/>
              <w:ind w:right="40"/>
              <w:spacing w:after="0" w:line="256" w:lineRule="exact"/>
              <w:rPr>
                <w:sz w:val="20"/>
                <w:szCs w:val="20"/>
                <w:color w:val="auto"/>
              </w:rPr>
            </w:pPr>
            <w:r>
              <w:rPr>
                <w:rFonts w:ascii="Arial" w:cs="Arial" w:eastAsia="Arial" w:hAnsi="Arial"/>
                <w:sz w:val="16"/>
                <w:szCs w:val="16"/>
                <w:b w:val="1"/>
                <w:bCs w:val="1"/>
                <w:color w:val="auto"/>
              </w:rPr>
              <w:t>(188,247</w:t>
            </w:r>
            <w:r>
              <w:rPr>
                <w:rFonts w:ascii="Arial" w:cs="Arial" w:eastAsia="Arial" w:hAnsi="Arial"/>
                <w:sz w:val="29"/>
                <w:szCs w:val="29"/>
                <w:b w:val="1"/>
                <w:bCs w:val="1"/>
                <w:color w:val="auto"/>
                <w:vertAlign w:val="superscript"/>
              </w:rPr>
              <w:t>)</w:t>
            </w:r>
          </w:p>
        </w:tc>
      </w:tr>
      <w:tr>
        <w:trPr>
          <w:trHeight w:val="20"/>
        </w:trPr>
        <w:tc>
          <w:tcPr>
            <w:tcW w:w="10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MultiPay business in Colombia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exiting the MultiPay business in Colombia in an orderly fashion, honoring our obligations to employees, customers and under applicable laws and regulations. We maintain our customer support and operations team in Bogota, which performs essential functions to support the global operations of our Verified product.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all impacted employees left the Company. The Company also paid to each employee their severance packages under MultiPay’s retention plan and obligations under the appropriate statutes.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2022, MultiPay is working with a major customer to implement a transition plan to provide an essential service for certain bill pay services which will likely result in the sale of the Company’s proprietary software as well as the assumptions of certain expenses.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incur costs associated with the proposed exit of the MultiPay business which include approximately $203,000 for payment to employees and consultants including statutory obligations and certain contingent retention bonuses of which $113,000 was already paid during the quarter ended September 30, 2022 and the remaining balance of $90,000 is in accrual; and approximately $41,000 for accelerated amortization (non-cash) for certain technology licenses.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color w:val="auto"/>
        </w:rPr>
        <w:t>MultiPay has accelerated the depreciation of certain assets with the effective date of the announcement to reflect the estimated remaining useful life.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operations of Cards Plus and MultiPay for the three and nine months ended September 30, 2022 and September 30, 2021 on a consolidated basis are below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Discontinued Operations Total Revenues, net</w:t>
            </w: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line="142"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446,643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line="142"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359,000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line="142"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1,468,199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line="142"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1,230,949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tcBorders>
              <w:top w:val="single" w:sz="8" w:color="auto"/>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Cost of sales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145,205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121,184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665,269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492,412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276,866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472,336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1,003,003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1,107,961</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Impairment loss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143,698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(6,749)</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30,286</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33,025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75,270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15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415,322</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623,806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1,844,995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1,675,643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500"/>
              <w:spacing w:after="0"/>
              <w:rPr>
                <w:sz w:val="20"/>
                <w:szCs w:val="20"/>
                <w:color w:val="auto"/>
              </w:rPr>
            </w:pPr>
            <w:r>
              <w:rPr>
                <w:rFonts w:ascii="Arial" w:cs="Arial" w:eastAsia="Arial" w:hAnsi="Arial"/>
                <w:sz w:val="18"/>
                <w:szCs w:val="18"/>
                <w:color w:val="auto"/>
              </w:rPr>
              <w:t>Income (Loss) from operations</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31,321</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(264,806)</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(376,796)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(444,694)</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12,792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20,821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15,113</w:t>
            </w:r>
          </w:p>
        </w:tc>
        <w:tc>
          <w:tcPr>
            <w:tcW w:w="0" w:type="dxa"/>
            <w:vAlign w:val="bottom"/>
          </w:tcPr>
          <w:p>
            <w:pPr>
              <w:spacing w:after="0"/>
              <w:rPr>
                <w:sz w:val="1"/>
                <w:szCs w:val="1"/>
                <w:color w:val="auto"/>
              </w:rPr>
            </w:pPr>
          </w:p>
        </w:tc>
      </w:tr>
      <w:tr>
        <w:trPr>
          <w:trHeight w:val="236"/>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44,113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(264,099)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(356,339)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(433,362)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1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(7,046)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43,645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(265,218)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(363,385)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(437,076)</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Loss from sale of discontinued operations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(188,247)</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(188,247)</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loss from discontinued operations</w:t>
            </w:r>
          </w:p>
        </w:tc>
        <w:tc>
          <w:tcPr>
            <w:tcW w:w="17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(144,602</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(265,218</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(551,632</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(437,076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Cards Plus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380,372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276,335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1,263,672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955,770</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145,205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121,184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665,269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492,412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21,539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156,341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412,243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443,318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Impairment loss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143,698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(1,482)</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23,160</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24,415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58,393</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165,262</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300,685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1,245,625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994,123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215,110</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(24,350)</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18,047</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(38,353)</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217,213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(23,646)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26,602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(4,681)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217,213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(23,646)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(36,835)</w:t>
            </w:r>
          </w:p>
        </w:tc>
        <w:tc>
          <w:tcPr>
            <w:tcW w:w="0" w:type="dxa"/>
            <w:vAlign w:val="bottom"/>
          </w:tcPr>
          <w:p>
            <w:pPr>
              <w:spacing w:after="0"/>
              <w:rPr>
                <w:sz w:val="1"/>
                <w:szCs w:val="1"/>
                <w:color w:val="auto"/>
              </w:rPr>
            </w:pPr>
          </w:p>
        </w:tc>
      </w:tr>
      <w:tr>
        <w:trPr>
          <w:trHeight w:val="230"/>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Loss from sale of discontinued operations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(188,247)</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(188,247)</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income (loss) from discontinued operations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28,966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(23,646</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(166,326</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(36,835</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20" w:type="dxa"/>
            <w:vAlign w:val="bottom"/>
            <w:gridSpan w:val="2"/>
          </w:tcPr>
          <w:p>
            <w:pPr>
              <w:spacing w:after="0" w:line="176" w:lineRule="exact"/>
              <w:rPr>
                <w:sz w:val="20"/>
                <w:szCs w:val="20"/>
                <w:color w:val="auto"/>
              </w:rPr>
            </w:pPr>
            <w:r>
              <w:rPr>
                <w:rFonts w:ascii="Arial" w:cs="Arial" w:eastAsia="Arial" w:hAnsi="Arial"/>
                <w:sz w:val="18"/>
                <w:szCs w:val="18"/>
                <w:color w:val="auto"/>
              </w:rPr>
              <w:t>MultiPay</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66,271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275,179</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255,327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315,995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590,760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664,643</w:t>
            </w: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(5,267)</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7,126</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16,877</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19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250,060</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323,121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599,370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681,520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500"/>
              <w:spacing w:after="0"/>
              <w:rPr>
                <w:sz w:val="20"/>
                <w:szCs w:val="20"/>
                <w:color w:val="auto"/>
              </w:rPr>
            </w:pPr>
            <w:r>
              <w:rPr>
                <w:rFonts w:ascii="Arial" w:cs="Arial" w:eastAsia="Arial" w:hAnsi="Arial"/>
                <w:sz w:val="18"/>
                <w:szCs w:val="18"/>
                <w:color w:val="auto"/>
              </w:rPr>
              <w:t>Loss from operations</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(183,789)</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(240,456)</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(394,843)</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(406,341)</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10,689</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Other income</w:t>
            </w:r>
          </w:p>
        </w:tc>
        <w:tc>
          <w:tcPr>
            <w:tcW w:w="19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10,689</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11,902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(173,100)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(240,453)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(382,941)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(396,527)</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ind w:left="500"/>
              <w:spacing w:after="0"/>
              <w:rPr>
                <w:sz w:val="20"/>
                <w:szCs w:val="20"/>
                <w:color w:val="auto"/>
              </w:rPr>
            </w:pPr>
            <w:r>
              <w:rPr>
                <w:rFonts w:ascii="Arial" w:cs="Arial" w:eastAsia="Arial" w:hAnsi="Arial"/>
                <w:sz w:val="18"/>
                <w:szCs w:val="18"/>
                <w:color w:val="auto"/>
              </w:rPr>
              <w:t>Income tax expense</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(1,119)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(2,365)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(173,568)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(241,572)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(385,306)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(400,241)</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As a result of meeting the discontinued operations/assets held for sale criteria for Cards Plus and the MultiPay operations, the assets and liabilities have been reclassified as assets held for sale as of the respective balance sheet date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Discontinued Operations Current Assets:</w:t>
            </w: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4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270,707</w:t>
            </w: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70,070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110,977</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153,149</w:t>
            </w:r>
          </w:p>
        </w:tc>
        <w:tc>
          <w:tcPr>
            <w:tcW w:w="0" w:type="dxa"/>
            <w:vAlign w:val="bottom"/>
          </w:tcPr>
          <w:p>
            <w:pPr>
              <w:spacing w:after="0"/>
              <w:rPr>
                <w:sz w:val="1"/>
                <w:szCs w:val="1"/>
                <w:color w:val="auto"/>
              </w:rPr>
            </w:pPr>
          </w:p>
        </w:tc>
      </w:tr>
      <w:tr>
        <w:trPr>
          <w:trHeight w:val="237"/>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94,919</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Current assets held for sale</w:t>
            </w:r>
          </w:p>
        </w:tc>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28,857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93,132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153,004</w:t>
            </w:r>
          </w:p>
        </w:tc>
        <w:tc>
          <w:tcPr>
            <w:tcW w:w="0" w:type="dxa"/>
            <w:vAlign w:val="bottom"/>
          </w:tcPr>
          <w:p>
            <w:pPr>
              <w:spacing w:after="0"/>
              <w:rPr>
                <w:sz w:val="1"/>
                <w:szCs w:val="1"/>
                <w:color w:val="auto"/>
              </w:rPr>
            </w:pPr>
          </w:p>
        </w:tc>
      </w:tr>
      <w:tr>
        <w:trPr>
          <w:trHeight w:val="237"/>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66,695</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Noncurrent assets held for sale</w:t>
            </w:r>
          </w:p>
        </w:tc>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 held for sale</w:t>
            </w:r>
          </w:p>
        </w:tc>
        <w:tc>
          <w:tcPr>
            <w:tcW w:w="44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942,583</w:t>
            </w:r>
          </w:p>
        </w:tc>
        <w:tc>
          <w:tcPr>
            <w:tcW w:w="0" w:type="dxa"/>
            <w:vAlign w:val="bottom"/>
          </w:tcPr>
          <w:p>
            <w:pPr>
              <w:spacing w:after="0"/>
              <w:rPr>
                <w:sz w:val="1"/>
                <w:szCs w:val="1"/>
                <w:color w:val="auto"/>
              </w:rPr>
            </w:pPr>
          </w:p>
        </w:tc>
      </w:tr>
      <w:tr>
        <w:trPr>
          <w:trHeight w:val="21"/>
        </w:trPr>
        <w:tc>
          <w:tcPr>
            <w:tcW w:w="19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440" w:type="dxa"/>
            <w:vAlign w:val="bottom"/>
            <w:gridSpan w:val="2"/>
          </w:tcPr>
          <w:p>
            <w:pPr>
              <w:ind w:left="43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100,368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235,348</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Notes payable obligation, current portion</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49"/>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4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liabilities held for sale</w:t>
            </w:r>
          </w:p>
        </w:tc>
        <w:tc>
          <w:tcPr>
            <w:tcW w:w="4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100,368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295,332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40" w:type="dxa"/>
            <w:vAlign w:val="bottom"/>
            <w:gridSpan w:val="2"/>
          </w:tcPr>
          <w:p>
            <w:pPr>
              <w:spacing w:after="0" w:line="190" w:lineRule="exact"/>
              <w:rPr>
                <w:sz w:val="20"/>
                <w:szCs w:val="20"/>
                <w:color w:val="auto"/>
              </w:rPr>
            </w:pPr>
            <w:r>
              <w:rPr>
                <w:rFonts w:ascii="Arial" w:cs="Arial" w:eastAsia="Arial" w:hAnsi="Arial"/>
                <w:sz w:val="18"/>
                <w:szCs w:val="18"/>
                <w:color w:val="auto"/>
              </w:rPr>
              <w:t>Cards Plus Current Assets:</w:t>
            </w: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4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182,518</w:t>
            </w: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88,235</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153,149</w:t>
            </w:r>
          </w:p>
        </w:tc>
        <w:tc>
          <w:tcPr>
            <w:tcW w:w="0" w:type="dxa"/>
            <w:vAlign w:val="bottom"/>
          </w:tcPr>
          <w:p>
            <w:pPr>
              <w:spacing w:after="0"/>
              <w:rPr>
                <w:sz w:val="1"/>
                <w:szCs w:val="1"/>
                <w:color w:val="auto"/>
              </w:rPr>
            </w:pPr>
          </w:p>
        </w:tc>
      </w:tr>
      <w:tr>
        <w:trPr>
          <w:trHeight w:val="250"/>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52,678</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Current assets held for sale</w:t>
            </w:r>
          </w:p>
        </w:tc>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3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153,004</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Noncurrent assets held for sale</w:t>
            </w:r>
          </w:p>
        </w:tc>
        <w:tc>
          <w:tcPr>
            <w:tcW w:w="43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177,623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340" w:type="dxa"/>
            <w:vAlign w:val="bottom"/>
            <w:gridSpan w:val="2"/>
          </w:tcPr>
          <w:p>
            <w:pPr>
              <w:ind w:left="340"/>
              <w:spacing w:after="0"/>
              <w:rPr>
                <w:sz w:val="20"/>
                <w:szCs w:val="20"/>
                <w:color w:val="auto"/>
              </w:rPr>
            </w:pPr>
            <w:r>
              <w:rPr>
                <w:rFonts w:ascii="Arial" w:cs="Arial" w:eastAsia="Arial" w:hAnsi="Arial"/>
                <w:sz w:val="18"/>
                <w:szCs w:val="18"/>
                <w:color w:val="auto"/>
              </w:rPr>
              <w:t>Total assets held for sale</w:t>
            </w:r>
          </w:p>
        </w:tc>
        <w:tc>
          <w:tcPr>
            <w:tcW w:w="4440" w:type="dxa"/>
            <w:vAlign w:val="bottom"/>
            <w:gridSpan w:val="2"/>
          </w:tcPr>
          <w:p>
            <w:pPr>
              <w:ind w:left="43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654,203</w:t>
            </w:r>
          </w:p>
        </w:tc>
        <w:tc>
          <w:tcPr>
            <w:tcW w:w="0" w:type="dxa"/>
            <w:vAlign w:val="bottom"/>
          </w:tcPr>
          <w:p>
            <w:pPr>
              <w:spacing w:after="0"/>
              <w:rPr>
                <w:sz w:val="1"/>
                <w:szCs w:val="1"/>
                <w:color w:val="auto"/>
              </w:rPr>
            </w:pPr>
          </w:p>
        </w:tc>
      </w:tr>
      <w:tr>
        <w:trPr>
          <w:trHeight w:val="216"/>
        </w:trPr>
        <w:tc>
          <w:tcPr>
            <w:tcW w:w="19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4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122,725</w:t>
            </w: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obligation, current portion</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43"/>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7"/>
        </w:trPr>
        <w:tc>
          <w:tcPr>
            <w:tcW w:w="434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Total liabilities held for sale</w:t>
            </w:r>
          </w:p>
        </w:tc>
        <w:tc>
          <w:tcPr>
            <w:tcW w:w="4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gridSpan w:val="2"/>
            <w:vMerge w:val="continue"/>
            <w:shd w:val="clear" w:color="auto" w:fill="CCEEFF"/>
          </w:tcPr>
          <w:p>
            <w:pPr>
              <w:spacing w:after="0"/>
              <w:rPr>
                <w:sz w:val="21"/>
                <w:szCs w:val="21"/>
                <w:color w:val="auto"/>
              </w:rPr>
            </w:pPr>
          </w:p>
        </w:tc>
        <w:tc>
          <w:tcPr>
            <w:tcW w:w="44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182,709</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ind w:left="120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9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680" w:type="dxa"/>
            <w:vAlign w:val="bottom"/>
            <w:gridSpan w:val="2"/>
          </w:tcPr>
          <w:p>
            <w:pPr>
              <w:spacing w:after="0"/>
              <w:rPr>
                <w:sz w:val="20"/>
                <w:szCs w:val="20"/>
                <w:color w:val="auto"/>
              </w:rPr>
            </w:pPr>
            <w:r>
              <w:rPr>
                <w:rFonts w:ascii="Arial" w:cs="Arial" w:eastAsia="Arial" w:hAnsi="Arial"/>
                <w:sz w:val="18"/>
                <w:szCs w:val="18"/>
                <w:color w:val="auto"/>
              </w:rPr>
              <w:t>MultiPay Current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auto"/>
            </w:tcBorders>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70,070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Current assets held for sale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81,412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153,172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68,513</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66,695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Noncurrent assets held for sale</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assets held for sale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110,269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288,380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100,368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112,623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Total liabilities held for sale</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112,623</w:t>
            </w:r>
          </w:p>
        </w:tc>
        <w:tc>
          <w:tcPr>
            <w:tcW w:w="0" w:type="dxa"/>
            <w:vAlign w:val="bottom"/>
          </w:tcPr>
          <w:p>
            <w:pPr>
              <w:spacing w:after="0"/>
              <w:rPr>
                <w:sz w:val="1"/>
                <w:szCs w:val="1"/>
                <w:color w:val="auto"/>
              </w:rPr>
            </w:pPr>
          </w:p>
        </w:tc>
      </w:tr>
      <w:tr>
        <w:trPr>
          <w:trHeight w:val="21"/>
        </w:trPr>
        <w:tc>
          <w:tcPr>
            <w:tcW w:w="18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meeting the discontinued operations/assets held for sale criteria for Cards Plus and the MultiPay operations, the cash flow activity related to discontinued operations is presented separately on the statement of cash flows as summarized below (unaudited):</w:t>
      </w:r>
    </w:p>
    <w:p>
      <w:pPr>
        <w:spacing w:after="0" w:line="16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(363,385)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(437,076)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Impairment of 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143,701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877" w:right="339" w:bottom="956"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 direct financing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Adjustments relating to discontinued operations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flows from discontinued operations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Notes to Financial Statements – Discontinued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0" w:lineRule="exact"/>
        <w:rPr>
          <w:sz w:val="20"/>
          <w:szCs w:val="20"/>
          <w:color w:val="auto"/>
        </w:rPr>
      </w:pPr>
      <w:r>
        <w:rPr>
          <w:sz w:val="20"/>
          <w:szCs w:val="20"/>
          <w:color w:val="auto"/>
        </w:rPr>
        <w:br w:type="column"/>
      </w:r>
    </w:p>
    <w:p>
      <w:pPr>
        <w:ind w:left="580"/>
        <w:spacing w:after="0"/>
        <w:tabs>
          <w:tab w:leader="none" w:pos="1840" w:val="left"/>
        </w:tabs>
        <w:rPr>
          <w:sz w:val="20"/>
          <w:szCs w:val="20"/>
          <w:color w:val="auto"/>
        </w:rPr>
      </w:pPr>
      <w:r>
        <w:rPr>
          <w:rFonts w:ascii="Arial" w:cs="Arial" w:eastAsia="Arial" w:hAnsi="Arial"/>
          <w:sz w:val="18"/>
          <w:szCs w:val="18"/>
          <w:color w:val="auto"/>
        </w:rPr>
        <w:t>(14,288)</w:t>
      </w:r>
      <w:r>
        <w:rPr>
          <w:sz w:val="20"/>
          <w:szCs w:val="20"/>
          <w:color w:val="auto"/>
        </w:rPr>
        <w:tab/>
      </w:r>
      <w:r>
        <w:rPr>
          <w:rFonts w:ascii="Arial" w:cs="Arial" w:eastAsia="Arial" w:hAnsi="Arial"/>
          <w:sz w:val="18"/>
          <w:szCs w:val="18"/>
          <w:color w:val="auto"/>
        </w:rPr>
        <w:t>427,034</w:t>
      </w:r>
    </w:p>
    <w:p>
      <w:pPr>
        <w:spacing w:after="0" w:line="23" w:lineRule="exact"/>
        <w:rPr>
          <w:sz w:val="20"/>
          <w:szCs w:val="20"/>
          <w:color w:val="auto"/>
        </w:rPr>
      </w:pPr>
    </w:p>
    <w:p>
      <w:pPr>
        <w:ind w:left="1980" w:hanging="911"/>
        <w:spacing w:after="0"/>
        <w:tabs>
          <w:tab w:leader="none" w:pos="1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(7,257)</w:t>
      </w:r>
    </w:p>
    <w:p>
      <w:pPr>
        <w:spacing w:after="0" w:line="20"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186,370</w:t>
      </w:r>
      <w:r>
        <w:rPr>
          <w:rFonts w:ascii="Arial" w:cs="Arial" w:eastAsia="Arial" w:hAnsi="Arial"/>
          <w:sz w:val="16"/>
          <w:szCs w:val="16"/>
          <w:color w:val="auto"/>
        </w:rPr>
        <w:t>81,418</w:t>
      </w:r>
    </w:p>
    <w:p>
      <w:pPr>
        <w:spacing w:after="0" w:line="9"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(78,806)</w:t>
      </w:r>
      <w:r>
        <w:rPr>
          <w:rFonts w:ascii="Arial" w:cs="Arial" w:eastAsia="Arial" w:hAnsi="Arial"/>
          <w:sz w:val="16"/>
          <w:szCs w:val="16"/>
          <w:color w:val="auto"/>
        </w:rPr>
        <w:t>47,480</w:t>
      </w:r>
    </w:p>
    <w:p>
      <w:pPr>
        <w:spacing w:after="0" w:line="9"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(16,092)</w:t>
      </w:r>
      <w:r>
        <w:rPr>
          <w:rFonts w:ascii="Arial" w:cs="Arial" w:eastAsia="Arial" w:hAnsi="Arial"/>
          <w:sz w:val="16"/>
          <w:szCs w:val="16"/>
          <w:color w:val="auto"/>
        </w:rPr>
        <w:t>(228,912)</w:t>
      </w:r>
    </w:p>
    <w:p>
      <w:pPr>
        <w:spacing w:after="0" w:line="9"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(36,663)</w:t>
      </w:r>
      <w:r>
        <w:rPr>
          <w:rFonts w:ascii="Arial" w:cs="Arial" w:eastAsia="Arial" w:hAnsi="Arial"/>
          <w:sz w:val="16"/>
          <w:szCs w:val="16"/>
          <w:color w:val="auto"/>
        </w:rPr>
        <w:t>(47,494)</w:t>
      </w:r>
    </w:p>
    <w:p>
      <w:pPr>
        <w:spacing w:after="0" w:line="35"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226,586</w:t>
      </w:r>
      <w:r>
        <w:rPr>
          <w:rFonts w:ascii="Arial" w:cs="Arial" w:eastAsia="Arial" w:hAnsi="Arial"/>
          <w:sz w:val="16"/>
          <w:szCs w:val="16"/>
          <w:color w:val="auto"/>
        </w:rPr>
        <w:t>355,391</w:t>
      </w:r>
    </w:p>
    <w:p>
      <w:pPr>
        <w:spacing w:after="0" w:line="63" w:lineRule="exact"/>
        <w:rPr>
          <w:sz w:val="20"/>
          <w:szCs w:val="20"/>
          <w:color w:val="auto"/>
        </w:rPr>
      </w:pPr>
    </w:p>
    <w:p>
      <w:pPr>
        <w:spacing w:after="0"/>
        <w:tabs>
          <w:tab w:leader="none" w:pos="460" w:val="left"/>
          <w:tab w:leader="none" w:pos="132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(136,799)</w:t>
        <w:tab/>
        <w:t>$</w:t>
      </w:r>
      <w:r>
        <w:rPr>
          <w:sz w:val="20"/>
          <w:szCs w:val="20"/>
          <w:color w:val="auto"/>
        </w:rPr>
        <w:tab/>
      </w:r>
      <w:r>
        <w:rPr>
          <w:rFonts w:ascii="Arial" w:cs="Arial" w:eastAsia="Arial" w:hAnsi="Arial"/>
          <w:sz w:val="16"/>
          <w:szCs w:val="16"/>
          <w:color w:val="auto"/>
        </w:rPr>
        <w:t>(81,685)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1131" w:lineRule="exact"/>
        <w:rPr>
          <w:sz w:val="20"/>
          <w:szCs w:val="20"/>
          <w:color w:val="auto"/>
        </w:rPr>
      </w:pPr>
    </w:p>
    <w:p>
      <w:pPr>
        <w:sectPr>
          <w:pgSz w:w="11900" w:h="16838" w:orient="portrait"/>
          <w:cols w:equalWidth="0" w:num="2">
            <w:col w:w="7960" w:space="720"/>
            <w:col w:w="2560"/>
          </w:cols>
          <w:pgMar w:left="320" w:top="877" w:right="339" w:bottom="956"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Inventory of plastic/ID cards, digital printing material, which are held by Cards Plus Pty Ltd., are at the lower of cost (using the average method) or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Plastic/ID cards and digital printing material are used to provide plastic loyalty ID and other types of cards.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as of December 31, 2021, consist of cards inventory. As of December 31, 2021, the Company recorded an inventory valuation allowance of approximately $20,000 to reflect net realizable value of the cards inventory. Any adjustments to reduce the cost of inventories to their net realizable value are recognized in earnings in the current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Inventories decreased to zero as the Company completed the sale of Cards Plus business on August 29,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Cards Plus – The Company recognizes revenue for the design and production of cards at the point in time when products are shipped, or services have been performed due to the short-term nature of the contracts. Additionally, the cards produced by the Company have no alternative use and the Company has an enforceable right to payment for work performed should the contract be cancelled. As of December 31, 2021, Cards Plus had approximately $48,000 of contract liability from payments received in advance that will be earned in future periods. Contract liability decreased to zero as the Company completed the sale of Cards Plus business on August 29,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56" w:gutter="0" w:footer="0" w:header="0"/>
          <w:type w:val="continuous"/>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MultiPay recognizes revenue for variable fees generated for payment processing solutions that are earned on a usage fee over time based on monthly transaction volumes or on a monthly flat fee rate. Additionally, MultiPay also sells certain equipment from time to time for which revenue is recognized upon delivery to the customer.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Revenue related to direct financing leases is outside the scope of Topic 606 and is recognized over the term of the lease using the effective interest method.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Cards Plus entered into a lease in March 2017 for the rental of its printer for its secured plastic and credential card products business under an arrangement that is classified as a finance lease. The leased equipment was amortized on a straight-line basis over its lease term including the last payment (61 payments) and ownership transferred to the Company. The lease was fully paid off.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2022, Cards Plus recorded an impairment loss of zero and approximately $143,000, respectively associated with its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2021, MultiPay entered into a one-year lease for approximately $2,900 per month in Bogota, Colombia. MultiPay terminated the lease as of September 30,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Cards Plus leased space for its operations in South Africa. The facility was rented on a month-to-month basis with monthly rent of approximately $8,000 through August 29, 2022 as the Company completed the sale of Cards Plus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rented office space in Long Beach, New York at a monthly cost of $2,500. The agreement was month to month and was terminated on July 31, 2022. The agreement was between the Company and Bridgeworks LLC, an entity principally owned by Mr. Beck, a former CEO and Board Member along with his family.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2022, the Company signed a new lease agreement for one year and moved its headquarters to Denver, Colorado. The office monthly lease cost approximates $1,500 per month.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2022, lease expense was approximately $55,000 inclusive of short-term leases of which $25,000 was for continuing operations and $30,000 was for discontinued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authID Inc. is a leading provider of secure, authentication solutions delivered by our easy to integrate Verified platform. Our Verified platform that delivers Human Factor Authentication</w:t>
      </w:r>
      <w:r>
        <w:rPr>
          <w:rFonts w:ascii="Arial" w:cs="Arial" w:eastAsia="Arial" w:hAnsi="Arial"/>
          <w:sz w:val="29"/>
          <w:szCs w:val="29"/>
          <w:color w:val="auto"/>
          <w:vertAlign w:val="superscript"/>
        </w:rPr>
        <w:t>TM</w:t>
      </w:r>
      <w:r>
        <w:rPr>
          <w:rFonts w:ascii="Arial" w:cs="Arial" w:eastAsia="Arial" w:hAnsi="Arial"/>
          <w:sz w:val="18"/>
          <w:szCs w:val="18"/>
          <w:color w:val="auto"/>
        </w:rPr>
        <w:t>, binds strong passwordless authentication with biometric identity, which offers our customers a streamlined path to zero trust architecture. Verified FIDO2 passwordless authentication is certified by the FIDO Alliance to be compliant and interoperable with FIDO specifications.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explosive growth in online and mobile commerce, telemedicine, remote working and digital activities of all descriptions is self-evident to everyone who lived through the Covid 19 pandemic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authID.ai believes there is.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authID provides secure, facial biometric, identity verification, and strong customer authentication. We maintain a global, cloud-based Verified platform for our enterprise customers to enable their users, or employees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authID’s products focus on the broad requirement for enabling frictionless commerce by allowing an entity to instantly “Recognise their Customer”, their Employee or their Member.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believes that some of the advantages of our Verified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cybersecurity, workforce,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authID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also owned an entity in South Africa, Cards Plus and owns an entity in Colombia, MultiPay. On May 4, 2022, the Board approved a plan to exit from certain non-core activities comprising the MultiPay correspondent bank, payments services in Colombia and the Card Plus cards manufacturing and printing business in South Africa. On August 29, 2022 the Company completed the sale of Cards Plus business. See Discontinued Operations.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was incorporated in the State of Delaware on September 21, 2011, and changed our name to authID Inc. on July 18, 2022. In order to better align the branding of our Company with our future focus and goals on June 14, 2021 we changed our business name to “authID.ai”.</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traded on the Nasdaq Capital Market under the trading symbol “AUID”. Our corporate headquarters have been relocated to 1385 S. Colorado Blvd., Building A Suite 322, Denver, CO 80222 and our main phone number remains as is (516) 274-8700. We maintain a website at www.authID.ai. The information contained on, or that can be accessed through, our websites is not incorporated by reference into this prospectus and is intended for informational purposes only.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that represents GAAP net income (loss) adjusted to exclude (1) interest expense, (2) interest income,</w:t>
      </w:r>
    </w:p>
    <w:p>
      <w:pPr>
        <w:spacing w:after="0" w:line="46" w:lineRule="exact"/>
        <w:rPr>
          <w:sz w:val="20"/>
          <w:szCs w:val="20"/>
          <w:color w:val="auto"/>
        </w:rPr>
      </w:pPr>
    </w:p>
    <w:p>
      <w:pPr>
        <w:ind w:right="20" w:firstLine="8"/>
        <w:spacing w:after="0" w:line="260"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 for income taxes, (4) depreciation and amortization, (5) stock-based compensation expense (stock options and restricted stock) and (6) certain other items management believes affect the comparability of operating results.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Loss from Continuing Operations to Adjusted EBITDA Continuing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(6,190,347)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(4,933,687)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(17,656,872)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(10,309,438)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Addback:</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437,301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931,205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580,928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42,148</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(491,643)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38,908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(971,799)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213,049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288,731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673,882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868,166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2,227,764</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2,533,943</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6,726,871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4,795,069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EBITDA continuing operations (Non-GAAP)</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(3,277,137)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(2,575,472)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(9,134,958)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(5,032,520)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loss for the three and nine months ended September 30, 2022, increased by approximately $0.7 million and $4.1 million, respectively as the Company continues its investment in people, technology and marketing.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2022 and September 30, 2021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2022, the Company revenues from Verified software license were approximately $30,000 and $117,000, respectively, compared to approximately $12,000 and $45,000 in the three and nine months ended September 30, 2021, respectively. Verified software license revenue increased as we acquired new customers.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Legacy authentication services revenues were zero and $145,000, respectively, during the three and nine months ended September 30, 2022 compared to $157,000 and $419,000 for the three and nine months ended September 30, 2021, respectively. Revenue from Legacy authentication services dropped significantly due to the loss of a large customer that decommissioned a legacy product offering as of April 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2022 general and administrative expenses decreased by approximately $0.6 million compared to the three months ended September 30, 2021. During the nine months ended September 30, 2022, general and administrative expenses increased by approximately $3.1 million mostly due to the higher non-cash stock-based charges, higher compensation, marketing, and professional fee costs as the Company makes investment in people and marketing its product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periods ended September 30, 2022 compared to September 30, 2021, research and development expenses increased by approximately $0.8 million and $2.9 million, respectively, as the Company increased staffing and third party resources as it continues to enhance its Verified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2022 compared to September 30, 2021, depreciation and amortization expense was approximately $0.1 and $0.2 million, respectively, less as the Company reduced the value of certain legacy business asset values.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during the three and nine-month periods ended September 30, 2022 compared to September 30, 2021 by $408,000 and $350,000, respectively, as the Company issued $9.2 million Convertible Notes in March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authID considers it in the best interests of the Company to focus its business activities on providing biometric identity verification products and services by means of our proprietary Verified platform. Accordingly, on May 4, 2022, the Board approved a plan to exit from certain non-core activities comprising the MultiPay correspondent bank, payment services in Colombia and the Cards Plus cards manufacturing and printing business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Cards Plus business in South Africa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29, 2022, the Company completed the sale of Cards Plus business for a price of $300,000, less $3,272 in costs to sell (net), and recognized a loss of $188,247 from the transaction. Of the $300,000 gross proceeds, $150,000 was paid on closing and the remaining $150,000 is expected to be paid in a year which is currently recorded in other current assets as of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MultiPay business in Colombia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exiting the MultiPay business in Colombia in an orderly fashion, honoring our obligations to employees, customers and under applicable laws and regulations. We plan to maintain our customer support and operations team in Bogota, which performs essential functions to support the global operations of our Verified product.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all impacted employees left the Company and the Company also paid each employee their compensation entitlements and severance packages under the MultiPay retention plan and obligations under the appropriate statutes.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Company is working with a major customer to implement a transition plan to provide an essential service for certain bill pay services which will probably result in the leasing and sale of certain MultiPay’s proprietary software as well as the assumption by the Customer of certain expenses.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three and nine months ended September 30, 2022, Cards Plus revenue was approximately $380,000 and $1,264,000, respectively. MultiPay revenue in those periods was approximately $66,000 and $205,0000, respectively. Cards Plus had income of approximately $29,000 during the two months ended August 29, 2022 (the closing date of the sale of Cards Plus business) and losses of approximately $166,000 during the eight months ended August 29, 2022, respectively. MultiPay had losses of approximately $174,0000 and $385,0000, respectively, during the three and nine months ended September 30,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The financial statements of Cards Plus and MultiPay have been classified as discontinued operations as of June 30, 2022, as all required classification criteria under appropriate accounting guidance were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approximately $7.1 million of cash on hand and approximately $5.4 million of working capital as of September 30, 2022, as the fund raise in March 2022 provided cash of approximately $11.4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available a $10.0 million unsecured working capital facility which has no borrowings outstanding as of September 30, 2022.</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was approximately $9.9 million and $5.5 million in the nine months ended September 30, 2022 and 2021,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 the three and nine months ended September 30, 2022, was as follows: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entered into an SPA with the Note Investors, and, pursuant to the SPA, sold to the Note Investors the Convertible Notes with an aggregate initial principal amount of approximately $9.2 million and a conversion price of $3.70 per share. The Convertible Notes were sold with an aggregate cash origination fee of approximately $200,000, and we issued a total of approximately 28,500 shares of our common stock to the Note Investors as an additional origination fee.</w:t>
      </w:r>
    </w:p>
    <w:p>
      <w:pPr>
        <w:spacing w:after="0" w:line="186" w:lineRule="exact"/>
        <w:rPr>
          <w:rFonts w:ascii="Arial" w:cs="Arial" w:eastAsia="Arial" w:hAnsi="Arial"/>
          <w:sz w:val="18"/>
          <w:szCs w:val="18"/>
          <w:color w:val="auto"/>
        </w:rPr>
      </w:pPr>
    </w:p>
    <w:p>
      <w:pPr>
        <w:jc w:val="both"/>
        <w:ind w:left="980" w:right="20" w:hanging="324"/>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entered into Subscription Agreements with the PIPE Investors, and, pursuant to the Subscription Agreements, sold to the PIPE Investors a total of 1,063,514 shares of our common stock at prices of $3.03 per share for an outside investor and $3.70 per share for the management investors. The aggregate gross proceeds from the PIPE are approximately $3.3 million.</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the Company entered into a Credit Facility with an accredited investor,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paid the lender a facility commitment fee of 100,000 shares of our common stock upon the effective date of the Credit Facility Agreement.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need additional capital in the future but because of the above financing activities, we believe we have sufficient funds to operate our business through December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Recently we have seen our business opportunities develop more slowly as business partners and potential customers include Covid-19 considerations and working remotely can cause a delay in decision making and finalization of negotiations and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Ukraine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ongoing war in Ukraine may impact the Company and its operations in a number of different ways, which are yet to be fully assessed and are therefore causing uncertainty. The Company works with third party sub-contractors for outsourced services, including software engineering and development, some of whom are based in Eastern Europe, including Russia and Ukraine. The Company also works with outsourced engineers and developers and third-party providers in other parts of the world, including the United States, India, and South America. While the continuing impact of this conflict and the response of the United States and other countries to it by means of trade and economic sanctions, or other actions is still unknown, any disruption of our ability to work with such contractors caused by this conflict could require the Company to seek alternative sub-contractors at short notice, which may give rise to additional costs and delays in delivering software and product upgrades.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so long as the hostilities continue and perhaps even thereafter as the situation in Europe unfolds, we may see increased volatility in financial markets which may make it more difficult for the Company to raise additional capital at the time when it needs to do so, or for financing to be available on acceptable terms. All or any of these risks separately, or in combination,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2021 the FASB issued a new standard (ASU 2021-06) to reduce the complexity of accounting for convertible debt and other equity-linked instruments. For certain convertible debt instruments with a cash conversion feature, the changes are a trade-off between simplifications in the accounting model (no separation of an “equity” component to impute a market interest rate, and simpler analysis of embedded equity features) and a potentially adverse impact to diluted EPS by requiring the use of the if-converted method. The new standard will also impact other financial instruments commonly issued by both public and private companies. For example, the separation model for beneficial conversion features is eliminated simplifying the analysis for issuers of convertible debt and convertible preferred stock. Also, certain specific requirements to achieve equity classification and/ or qualify for the derivative scope exception for contracts indexed to an entity’s own equity are removed, enabling more freestanding instruments and embedded features to avoid mark-to-market accounting. The new standard is effective for companies that are SEC filers (except for Smaller Reporting Companies) for fiscal years beginning after December 15, 2021 and interim periods within that year, and two years later for other companies. Companies can early adopt the standard at the start of a fiscal year beginning after December 15, 2021. The standard can either be adopted on a modified retrospective or a full retrospective basis. The Company is currently reviewing the newly issued standard and does not believe it will materially impact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September 30,2022,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nine months ended September 30, 2022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Risk factors describing the major risks to our business can be found under Item 1A, “Risk Factors”, in our Annual Report on Form 10-K for the year ended December 31, 2021. There has been no material change in our risk factors from those previously discussed in the Annual Report on Form 10-K. We operate in a business environment that is sensitive to political, economic and regulatory uncertainty, including with respect to cybersecurity and infrastructure investment, all of which may also be compounded by any future global impact from the COVID-19 pandemic, the continuing war in Ukraine and inflationary pressures, rising energy prices and increases in interest rates (see “</w:t>
      </w:r>
      <w:r>
        <w:rPr>
          <w:rFonts w:ascii="Arial" w:cs="Arial" w:eastAsia="Arial" w:hAnsi="Arial"/>
          <w:sz w:val="17"/>
          <w:szCs w:val="17"/>
          <w:i w:val="1"/>
          <w:iCs w:val="1"/>
          <w:color w:val="auto"/>
        </w:rPr>
        <w:t>Covid 19</w:t>
      </w:r>
      <w:r>
        <w:rPr>
          <w:rFonts w:ascii="Arial" w:cs="Arial" w:eastAsia="Arial" w:hAnsi="Arial"/>
          <w:sz w:val="17"/>
          <w:szCs w:val="17"/>
          <w:color w:val="auto"/>
        </w:rPr>
        <w:t>” and “</w:t>
      </w:r>
      <w:r>
        <w:rPr>
          <w:rFonts w:ascii="Arial" w:cs="Arial" w:eastAsia="Arial" w:hAnsi="Arial"/>
          <w:sz w:val="17"/>
          <w:szCs w:val="17"/>
          <w:i w:val="1"/>
          <w:iCs w:val="1"/>
          <w:color w:val="auto"/>
        </w:rPr>
        <w:t>Ukraine</w:t>
      </w:r>
      <w:r>
        <w:rPr>
          <w:rFonts w:ascii="Arial" w:cs="Arial" w:eastAsia="Arial" w:hAnsi="Arial"/>
          <w:sz w:val="17"/>
          <w:szCs w:val="17"/>
          <w:color w:val="auto"/>
        </w:rPr>
        <w:t>”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per share.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the Company entered into a Credit Facility with an accredited investor,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agreed to pay the Lender a facility commitment fee of 100,000 shares of our common stock upon the effective date of the Facility Agreement.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proceeds of the sale of the Convertible Notes and the PIPE were used to pay the expenses of those offerings and to provide working capital for the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issued and issuable in connection with the Convertible Notes, the PIPE and the Credit Facility were subsequently registered under a resale registration statement on Form S-3.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 period ended September 30, 2022, the Company issued approximately 223,156 shares of common stock pursuant to exercises of common stock warrants and options.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securities described herein were offered and sold pursuant to exemptions from the registration requirements of the Securities Act of 1933, as amended afforded by Section 4(a)(2) thereof and/or Rule 506 of Regulation D promulgated thereunder, for the sale of securities not involving a public offering.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21, 2022, the Company entered into a Credit Facility with Stephen J. Garchik, who is both a current shareholder of the Company and holds Senior Secured Convertible Notes (“Garchik”), pursuant to which Garchik agreed to provide to the Company a $10.0 million unsecured standby line of credit facility that will rank behind the Senior Secured Convertible Notes and may be drawn down in several tranches, subject to certain conditions described in the Facility Agreement. Upon request by Garchik and until the full amount due under the Credit Facility is repaid in full, the Company will provide for the nomination of one designee specified in writing by Garchik for appointment to our board of directors and for subsequent election to our board of directors and to recommend such nominee for election to our board of directors. The Company will be entitled to reject any nominee upon reasonable grounds, or the nominee may not be elected by the stockholders, in which case Garchik may nominate another person to be a director.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18, 2022, Joseph Trelin, as Garchik’s designee under the Credit Facility, was appointed as a member of the Board of Directors of the Company. Except as set forth above, there is no understanding or arrangement between Mr. Trelin and any other person pursuant to which Mr. Trelin was selected as a director of the Company. Mr. Trelin does not have any family relationship with any director, executive officer or person nominated or chosen by us to become a director or an executive officer. Mr. Trelin has not had direct or indirect material interest in any transaction or proposed transaction in which the Company was or is a proposed participant exceeding $120,000.</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18, 2022, Mr. Trelin entered into a letter agreement with the Company pursuant to which he was appointed as a director of the Company in consideration of (i) an initial equity award having a Black Scholes value on the date of grant of $270,000, subject to annual vesting of one-third of the common shares over three years on the date of each Annual Meeting commencing with the 2022 Annual Meeting and (b) commencing following the Company’s 2023 Annual Meeting, assuming Mr. Trelin is re-elected to office, an annual equity award having a Black Scholes value on the date of grant of $90,000, subject to vesting over twelve months.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25, 2022, Stuart Stoller indicated his intention to resign as Chief Financial Officer of the Company in connection with his planned retirement. The resignation and retirement were effective as of June 17, 2022 at which time Annie Pham was appointed Chief Financial Officer in his place.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On April 25, 2022, Ms. Pham and the Company entered an Offer Letter pursuant to which Ms. Pham agreed to serve as Chief Financial Officer with a planned employment date commencing June 20, 2022 or such other date as may be agreed. Ms. Pham will receive an annual salary of $275,000. The Company agreed to provide a bonus of 40% of the base salary (pro rated for 2022) based on achievement of performance milestones, calculated and payable in accordance with the corporate milestones approved by the Board for the year 2022. For subsequent fiscal years the bonus shall be subject to performance targets to be mutually agreed with the Compensation Committee of the Board. In addition, Ms. Pham received a signing bonus in the amount of $25,000, which is fully refundable to the Company if Ms. Pham leaves her employment voluntarily or is terminated for cause prior to the first anniversary of the commencement of employment. The employment of Ms. Pham is at will and may be terminated at any time, with or without formal cause. The Company also entered an Executive Retention Agreement with Ms. Pham, pursuant to which the Company agreed to provide specified severance and bonus amounts and to accelerate the vesting on her equity awards upon termination upon a change of control or an involuntary termination, as each term is defined in the agreements. In the event of a termination upon a change of control or an involuntary termination, Ms. Pham is entitled to receive an amount equal to 100% of her base salary and the target bonus then in effect for the executive officer for the year in which such termination occurs. At the election of the executive officer, the Company will also continue to provide health related employee insurance coverage for up to twelve months, at the Company’s expense. Upon commencing employment, Ms. Pham was granted an option to acquire 350,000 shares of common stock with an exercise price of $2.41 and an exercise period of ten years subject to certain performance vesting requirements.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18, 2022, the Company changed its corporate name to authID Inc., pursuant to a Certificate of Amendment to its Amended and Restated Certificate of Incorporation filed with the Delaware Secretary of State on July 13, 2022 with an effective date of July 18, 2022. The Company also amended and restated its bylaws on July 18, 2022 to reflect the name change.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21, 2022, pursuant to the authorization and approval provided by the stockholders of the Company at the Annual Meeting held on September 20, 2022, the Company filed a Certificate of Amendment to its Amended and Restated Certificate of Incorporation with the Secretary of State of Delaware to decrease its authorized shares of common stock, $0.0001 par value per share, from 1,000,000,000 shares to 250,000,000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1"/>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2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3.1</w:t>
            </w:r>
          </w:p>
        </w:tc>
        <w:tc>
          <w:tcPr>
            <w:tcW w:w="760" w:type="dxa"/>
            <w:vAlign w:val="bottom"/>
            <w:tcBorders>
              <w:top w:val="single" w:sz="8" w:color="auto"/>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580" w:type="dxa"/>
            <w:vAlign w:val="bottom"/>
            <w:tcBorders>
              <w:top w:val="single" w:sz="8" w:color="auto"/>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Amended &amp; Restated Certificate of Incorporation</w:t>
              </w:r>
            </w:hyperlink>
          </w:p>
        </w:tc>
        <w:tc>
          <w:tcPr>
            <w:tcW w:w="6520" w:type="dxa"/>
            <w:vAlign w:val="bottom"/>
            <w:tcBorders>
              <w:top w:val="single" w:sz="8" w:color="auto"/>
              <w:bottom w:val="single" w:sz="8" w:color="CCEEFF"/>
            </w:tcBorders>
            <w:gridSpan w:val="11"/>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3.2</w:t>
            </w:r>
          </w:p>
        </w:tc>
        <w:tc>
          <w:tcPr>
            <w:tcW w:w="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57">
              <w:r>
                <w:rPr>
                  <w:rFonts w:ascii="Arial" w:cs="Arial" w:eastAsia="Arial" w:hAnsi="Arial"/>
                  <w:sz w:val="18"/>
                  <w:szCs w:val="18"/>
                  <w:color w:val="0000EE"/>
                </w:rPr>
                <w:t>Amended &amp; Restated Bylaws as of July 18,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3.3</w:t>
            </w:r>
          </w:p>
        </w:tc>
        <w:tc>
          <w:tcPr>
            <w:tcW w:w="76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75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Certificate of Amendment to Amended and Restated Certificate of Incorporation effective June 14, 2021</w:t>
              </w:r>
            </w:hyperlink>
          </w:p>
        </w:tc>
        <w:tc>
          <w:tcPr>
            <w:tcW w:w="256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3.4</w:t>
            </w:r>
          </w:p>
        </w:tc>
        <w:tc>
          <w:tcPr>
            <w:tcW w:w="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57">
              <w:r>
                <w:rPr>
                  <w:rFonts w:ascii="Arial" w:cs="Arial" w:eastAsia="Arial" w:hAnsi="Arial"/>
                  <w:sz w:val="18"/>
                  <w:szCs w:val="18"/>
                  <w:color w:val="0000EE"/>
                </w:rPr>
                <w:t>Certificate of Amendment to Amended and Restated Certificate of Incorporation effective July 18,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3.5</w:t>
            </w:r>
          </w:p>
        </w:tc>
        <w:tc>
          <w:tcPr>
            <w:tcW w:w="76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79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Certificate of Amendment to Amended and Restated Certificate of Incorporation effective September 21, 2022</w:t>
              </w:r>
            </w:hyperlink>
          </w:p>
        </w:tc>
        <w:tc>
          <w:tcPr>
            <w:tcW w:w="2120" w:type="dxa"/>
            <w:vAlign w:val="bottom"/>
            <w:tcBorders>
              <w:bottom w:val="single" w:sz="8" w:color="CCEEFF"/>
            </w:tcBorders>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4.1</w:t>
            </w:r>
          </w:p>
        </w:tc>
        <w:tc>
          <w:tcPr>
            <w:tcW w:w="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Form of Stock Option</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4.2</w:t>
            </w:r>
          </w:p>
        </w:tc>
        <w:tc>
          <w:tcPr>
            <w:tcW w:w="76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Form of 8.0% Convertible Note</w:t>
              </w:r>
            </w:hyperlink>
          </w:p>
        </w:tc>
        <w:tc>
          <w:tcPr>
            <w:tcW w:w="7800" w:type="dxa"/>
            <w:vAlign w:val="bottom"/>
            <w:tcBorders>
              <w:bottom w:val="single" w:sz="8" w:color="CCEEFF"/>
            </w:tcBorders>
            <w:gridSpan w:val="16"/>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4.3</w:t>
            </w:r>
          </w:p>
        </w:tc>
        <w:tc>
          <w:tcPr>
            <w:tcW w:w="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Form of 15.0% Convertible Note</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4.4</w:t>
            </w:r>
          </w:p>
        </w:tc>
        <w:tc>
          <w:tcPr>
            <w:tcW w:w="76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Amended and Restated Promissory Note issued to The Theodore Stern Revocable Trust</w:t>
              </w:r>
            </w:hyperlink>
          </w:p>
        </w:tc>
        <w:tc>
          <w:tcPr>
            <w:tcW w:w="378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4.5</w:t>
            </w:r>
          </w:p>
        </w:tc>
        <w:tc>
          <w:tcPr>
            <w:tcW w:w="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Paycheck Protection Program Term Note dated May 6, 2020</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4.6</w:t>
            </w:r>
          </w:p>
        </w:tc>
        <w:tc>
          <w:tcPr>
            <w:tcW w:w="76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46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r:id="rId65">
              <w:r>
                <w:rPr>
                  <w:rFonts w:ascii="Arial" w:cs="Arial" w:eastAsia="Arial" w:hAnsi="Arial"/>
                  <w:sz w:val="18"/>
                  <w:szCs w:val="18"/>
                  <w:color w:val="0000EE"/>
                  <w:w w:val="89"/>
                </w:rPr>
                <w:t>Paycheck Protection Program Term Note dated February 1, 2021</w:t>
              </w:r>
            </w:hyperlink>
          </w:p>
        </w:tc>
        <w:tc>
          <w:tcPr>
            <w:tcW w:w="5420" w:type="dxa"/>
            <w:vAlign w:val="bottom"/>
            <w:tcBorders>
              <w:bottom w:val="single" w:sz="8" w:color="CCEEFF"/>
            </w:tcBorders>
            <w:gridSpan w:val="9"/>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4.7</w:t>
            </w:r>
          </w:p>
        </w:tc>
        <w:tc>
          <w:tcPr>
            <w:tcW w:w="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Description of the Registrant’s Securities</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10.1</w:t>
            </w:r>
          </w:p>
        </w:tc>
        <w:tc>
          <w:tcPr>
            <w:tcW w:w="6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Form of Director Agreement</w:t>
              </w:r>
            </w:hyperlink>
          </w:p>
        </w:tc>
        <w:tc>
          <w:tcPr>
            <w:tcW w:w="8020" w:type="dxa"/>
            <w:vAlign w:val="bottom"/>
            <w:tcBorders>
              <w:bottom w:val="single" w:sz="8" w:color="CCEEFF"/>
            </w:tcBorders>
            <w:gridSpan w:val="17"/>
            <w:shd w:val="clear" w:color="auto" w:fill="CCEEFF"/>
          </w:tcPr>
          <w:p>
            <w:pPr>
              <w:spacing w:after="0"/>
              <w:rPr>
                <w:sz w:val="17"/>
                <w:szCs w:val="17"/>
                <w:color w:val="auto"/>
              </w:rPr>
            </w:pPr>
          </w:p>
        </w:tc>
      </w:tr>
      <w:tr>
        <w:trPr>
          <w:trHeight w:val="175"/>
        </w:trPr>
        <w:tc>
          <w:tcPr>
            <w:tcW w:w="340" w:type="dxa"/>
            <w:vAlign w:val="bottom"/>
            <w:gridSpan w:val="2"/>
          </w:tcPr>
          <w:p>
            <w:pPr>
              <w:spacing w:after="0" w:line="176" w:lineRule="exact"/>
              <w:rPr>
                <w:sz w:val="20"/>
                <w:szCs w:val="20"/>
                <w:color w:val="auto"/>
              </w:rPr>
            </w:pPr>
            <w:r>
              <w:rPr>
                <w:rFonts w:ascii="Arial" w:cs="Arial" w:eastAsia="Arial" w:hAnsi="Arial"/>
                <w:sz w:val="18"/>
                <w:szCs w:val="18"/>
                <w:color w:val="auto"/>
                <w:w w:val="91"/>
              </w:rPr>
              <w:t>10.2</w:t>
            </w:r>
          </w:p>
        </w:tc>
        <w:tc>
          <w:tcPr>
            <w:tcW w:w="680" w:type="dxa"/>
            <w:vAlign w:val="bottom"/>
          </w:tcPr>
          <w:p>
            <w:pPr>
              <w:ind w:left="20"/>
              <w:spacing w:after="0" w:line="17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Form of Indemnification Agreement</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10.3</w:t>
            </w:r>
          </w:p>
        </w:tc>
        <w:tc>
          <w:tcPr>
            <w:tcW w:w="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Executive Retention Agreement entered between the Company and Stuart P. Stoller dated January 31, 2017</w:t>
              </w:r>
            </w:hyperlink>
          </w:p>
        </w:tc>
      </w:tr>
      <w:tr>
        <w:trPr>
          <w:trHeight w:val="176"/>
        </w:trPr>
        <w:tc>
          <w:tcPr>
            <w:tcW w:w="3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91"/>
              </w:rPr>
              <w:t>10.4</w:t>
            </w:r>
          </w:p>
        </w:tc>
        <w:tc>
          <w:tcPr>
            <w:tcW w:w="68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tcPr>
          <w:p>
            <w:pPr>
              <w:spacing w:after="0"/>
              <w:rPr>
                <w:sz w:val="15"/>
                <w:szCs w:val="15"/>
                <w:color w:val="auto"/>
              </w:rPr>
            </w:pPr>
          </w:p>
        </w:tc>
        <w:tc>
          <w:tcPr>
            <w:tcW w:w="7720" w:type="dxa"/>
            <w:vAlign w:val="bottom"/>
            <w:tcBorders>
              <w:top w:val="single" w:sz="8" w:color="0000EE"/>
            </w:tcBorders>
            <w:gridSpan w:val="18"/>
          </w:tcPr>
          <w:p>
            <w:pPr>
              <w:spacing w:after="0" w:line="17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Executive Retention Agreement entered between the Company and Thomas Szoke dated January 31, 2017</w:t>
              </w:r>
            </w:hyperlink>
          </w:p>
        </w:tc>
        <w:tc>
          <w:tcPr>
            <w:tcW w:w="2380" w:type="dxa"/>
            <w:vAlign w:val="bottom"/>
            <w:tcBorders>
              <w:top w:val="single" w:sz="8" w:color="CCEEFF"/>
            </w:tcBorders>
            <w:gridSpan w:val="2"/>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10.5</w:t>
            </w:r>
          </w:p>
        </w:tc>
        <w:tc>
          <w:tcPr>
            <w:tcW w:w="6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2017 Incentive Stock Plan</w:t>
              </w:r>
            </w:hyperlink>
          </w:p>
        </w:tc>
        <w:tc>
          <w:tcPr>
            <w:tcW w:w="8200" w:type="dxa"/>
            <w:vAlign w:val="bottom"/>
            <w:tcBorders>
              <w:bottom w:val="single" w:sz="8" w:color="CCEEFF"/>
            </w:tcBorders>
            <w:gridSpan w:val="18"/>
            <w:shd w:val="clear" w:color="auto" w:fill="CCEEFF"/>
          </w:tcPr>
          <w:p>
            <w:pPr>
              <w:spacing w:after="0"/>
              <w:rPr>
                <w:sz w:val="17"/>
                <w:szCs w:val="17"/>
                <w:color w:val="auto"/>
              </w:rPr>
            </w:pPr>
          </w:p>
        </w:tc>
      </w:tr>
      <w:tr>
        <w:trPr>
          <w:trHeight w:val="175"/>
        </w:trPr>
        <w:tc>
          <w:tcPr>
            <w:tcW w:w="340" w:type="dxa"/>
            <w:vAlign w:val="bottom"/>
            <w:gridSpan w:val="2"/>
          </w:tcPr>
          <w:p>
            <w:pPr>
              <w:spacing w:after="0" w:line="176" w:lineRule="exact"/>
              <w:rPr>
                <w:sz w:val="20"/>
                <w:szCs w:val="20"/>
                <w:color w:val="auto"/>
              </w:rPr>
            </w:pPr>
            <w:r>
              <w:rPr>
                <w:rFonts w:ascii="Arial" w:cs="Arial" w:eastAsia="Arial" w:hAnsi="Arial"/>
                <w:sz w:val="18"/>
                <w:szCs w:val="18"/>
                <w:color w:val="auto"/>
                <w:w w:val="91"/>
              </w:rPr>
              <w:t>10.7</w:t>
            </w:r>
          </w:p>
        </w:tc>
        <w:tc>
          <w:tcPr>
            <w:tcW w:w="680" w:type="dxa"/>
            <w:vAlign w:val="bottom"/>
          </w:tcPr>
          <w:p>
            <w:pPr>
              <w:ind w:left="20"/>
              <w:spacing w:after="0" w:line="17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Executive Retention Agreement entered between the Company and Thomas L. Thimot dated June 14, 2021</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10.8</w:t>
            </w:r>
          </w:p>
        </w:tc>
        <w:tc>
          <w:tcPr>
            <w:tcW w:w="6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76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Executive Retention Agreement entered between the Company and Cecil N. Smith III dated June 14, 2021</w:t>
              </w:r>
            </w:hyperlink>
          </w:p>
        </w:tc>
        <w:tc>
          <w:tcPr>
            <w:tcW w:w="242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340" w:type="dxa"/>
            <w:vAlign w:val="bottom"/>
            <w:gridSpan w:val="2"/>
          </w:tcPr>
          <w:p>
            <w:pPr>
              <w:spacing w:after="0" w:line="176" w:lineRule="exact"/>
              <w:rPr>
                <w:sz w:val="20"/>
                <w:szCs w:val="20"/>
                <w:color w:val="auto"/>
              </w:rPr>
            </w:pPr>
            <w:r>
              <w:rPr>
                <w:rFonts w:ascii="Arial" w:cs="Arial" w:eastAsia="Arial" w:hAnsi="Arial"/>
                <w:sz w:val="18"/>
                <w:szCs w:val="18"/>
                <w:color w:val="auto"/>
                <w:w w:val="91"/>
              </w:rPr>
              <w:t>10.9</w:t>
            </w:r>
          </w:p>
        </w:tc>
        <w:tc>
          <w:tcPr>
            <w:tcW w:w="680" w:type="dxa"/>
            <w:vAlign w:val="bottom"/>
          </w:tcPr>
          <w:p>
            <w:pPr>
              <w:ind w:left="20"/>
              <w:spacing w:after="0" w:line="17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Letter Agreement between the Company and Thomas L. Thimot dated June 14, 2021</w:t>
              </w:r>
            </w:hyperlink>
          </w:p>
        </w:tc>
      </w:tr>
      <w:tr>
        <w:trPr>
          <w:trHeight w:val="675"/>
        </w:trPr>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80" w:type="dxa"/>
            <w:vAlign w:val="bottom"/>
            <w:tcBorders>
              <w:top w:val="single" w:sz="8" w:color="0000EE"/>
              <w:bottom w:val="single" w:sz="8" w:color="auto"/>
            </w:tcBorders>
            <w:gridSpan w:val="11"/>
          </w:tcPr>
          <w:p>
            <w:pPr>
              <w:ind w:left="4400"/>
              <w:spacing w:after="0"/>
              <w:rPr>
                <w:sz w:val="20"/>
                <w:szCs w:val="20"/>
                <w:color w:val="auto"/>
              </w:rPr>
            </w:pPr>
            <w:r>
              <w:rPr>
                <w:rFonts w:ascii="Arial" w:cs="Arial" w:eastAsia="Arial" w:hAnsi="Arial"/>
                <w:sz w:val="18"/>
                <w:szCs w:val="18"/>
                <w:color w:val="auto"/>
              </w:rPr>
              <w:t>28</w:t>
            </w:r>
          </w:p>
        </w:tc>
        <w:tc>
          <w:tcPr>
            <w:tcW w:w="144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10.10</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0100" w:type="dxa"/>
            <w:vAlign w:val="bottom"/>
            <w:gridSpan w:val="19"/>
            <w:shd w:val="clear" w:color="auto" w:fill="CCEEFF"/>
          </w:tcPr>
          <w:p>
            <w:pPr>
              <w:spacing w:after="0"/>
              <w:rPr>
                <w:rFonts w:ascii="Arial" w:cs="Arial" w:eastAsia="Arial" w:hAnsi="Arial"/>
                <w:sz w:val="18"/>
                <w:szCs w:val="18"/>
                <w:color w:val="0000EE"/>
              </w:rPr>
            </w:pPr>
            <w:hyperlink r:id="rId75">
              <w:r>
                <w:rPr>
                  <w:rFonts w:ascii="Arial" w:cs="Arial" w:eastAsia="Arial" w:hAnsi="Arial"/>
                  <w:sz w:val="18"/>
                  <w:szCs w:val="18"/>
                  <w:color w:val="0000EE"/>
                </w:rPr>
                <w:t>Letter Agreement between the Company and Cecil N. Smith III dated June 14, 2021</w:t>
              </w:r>
            </w:hyperlink>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10.11 (11)</w:t>
            </w:r>
          </w:p>
        </w:tc>
        <w:tc>
          <w:tcPr>
            <w:tcW w:w="10100" w:type="dxa"/>
            <w:vAlign w:val="bottom"/>
            <w:gridSpan w:val="19"/>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Letter Agreement between the Company and Phillip L. Kumnick dated as November 5, 2021</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10.12</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(11)</w:t>
            </w:r>
          </w:p>
        </w:tc>
        <w:tc>
          <w:tcPr>
            <w:tcW w:w="68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Letter Agreement between the Company and Philip R. Broenniman dated as November 5, 2021</w:t>
              </w:r>
            </w:hyperlink>
          </w:p>
        </w:tc>
        <w:tc>
          <w:tcPr>
            <w:tcW w:w="3220" w:type="dxa"/>
            <w:vAlign w:val="bottom"/>
            <w:tcBorders>
              <w:bottom w:val="single" w:sz="8" w:color="CCEEFF"/>
            </w:tcBorders>
            <w:gridSpan w:val="9"/>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Arial" w:cs="Arial" w:eastAsia="Arial" w:hAnsi="Arial"/>
                <w:sz w:val="18"/>
                <w:szCs w:val="18"/>
                <w:color w:val="auto"/>
                <w:w w:val="93"/>
              </w:rPr>
              <w:t>10.13</w:t>
            </w:r>
          </w:p>
        </w:tc>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(12)</w:t>
            </w:r>
          </w:p>
        </w:tc>
        <w:tc>
          <w:tcPr>
            <w:tcW w:w="10100" w:type="dxa"/>
            <w:vAlign w:val="bottom"/>
            <w:gridSpan w:val="19"/>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AuthID Inc. 2021 Equity Incentive Plan</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10.14</w:t>
            </w:r>
          </w:p>
        </w:tc>
        <w:tc>
          <w:tcPr>
            <w:tcW w:w="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(14)</w:t>
            </w:r>
          </w:p>
        </w:tc>
        <w:tc>
          <w:tcPr>
            <w:tcW w:w="10100" w:type="dxa"/>
            <w:vAlign w:val="bottom"/>
            <w:gridSpan w:val="19"/>
            <w:shd w:val="clear" w:color="auto" w:fill="CCEEFF"/>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Letter Agreement between AuthID Inc. and Thomas Szoke dated November 19, 2021</w:t>
              </w:r>
            </w:hyperlink>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Arial" w:cs="Arial" w:eastAsia="Arial" w:hAnsi="Arial"/>
                <w:sz w:val="18"/>
                <w:szCs w:val="18"/>
                <w:color w:val="auto"/>
                <w:w w:val="93"/>
              </w:rPr>
              <w:t>10.15</w:t>
            </w:r>
          </w:p>
        </w:tc>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(13)</w:t>
            </w:r>
          </w:p>
        </w:tc>
        <w:tc>
          <w:tcPr>
            <w:tcW w:w="10100" w:type="dxa"/>
            <w:vAlign w:val="bottom"/>
            <w:gridSpan w:val="19"/>
          </w:tcPr>
          <w:p>
            <w:pPr>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Form of Securities Purchase Agreement entered into between the Company and the Note Investors dated March 21, 2022.</w:t>
              </w:r>
            </w:hyperlink>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10.16</w:t>
            </w:r>
          </w:p>
        </w:tc>
        <w:tc>
          <w:tcPr>
            <w:tcW w:w="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(13)</w:t>
            </w:r>
          </w:p>
        </w:tc>
        <w:tc>
          <w:tcPr>
            <w:tcW w:w="10100" w:type="dxa"/>
            <w:vAlign w:val="bottom"/>
            <w:gridSpan w:val="19"/>
            <w:shd w:val="clear" w:color="auto" w:fill="CCEEFF"/>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Form of Senior Secured Convertible Note issued by the Company to the Note Investors dated March 21, 2022.</w:t>
              </w:r>
            </w:hyperlink>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tcPr>
          <w:p>
            <w:pPr>
              <w:spacing w:after="0" w:line="176" w:lineRule="exact"/>
              <w:rPr>
                <w:sz w:val="20"/>
                <w:szCs w:val="20"/>
                <w:color w:val="auto"/>
              </w:rPr>
            </w:pPr>
            <w:r>
              <w:rPr>
                <w:rFonts w:ascii="Arial" w:cs="Arial" w:eastAsia="Arial" w:hAnsi="Arial"/>
                <w:sz w:val="18"/>
                <w:szCs w:val="18"/>
                <w:color w:val="auto"/>
                <w:w w:val="93"/>
              </w:rPr>
              <w:t>10.17</w:t>
            </w:r>
          </w:p>
        </w:tc>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(13)</w:t>
            </w:r>
          </w:p>
        </w:tc>
        <w:tc>
          <w:tcPr>
            <w:tcW w:w="10100" w:type="dxa"/>
            <w:vAlign w:val="bottom"/>
            <w:gridSpan w:val="19"/>
          </w:tcPr>
          <w:p>
            <w:pPr>
              <w:spacing w:after="0" w:line="17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Security and Pledge Agreement entered into between the Company and Stephen J. Garchik as Collateral Agent dated March 21, 2022.</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10.19</w:t>
            </w:r>
          </w:p>
        </w:tc>
        <w:tc>
          <w:tcPr>
            <w:tcW w:w="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(13)</w:t>
            </w:r>
          </w:p>
        </w:tc>
        <w:tc>
          <w:tcPr>
            <w:tcW w:w="10100" w:type="dxa"/>
            <w:vAlign w:val="bottom"/>
            <w:gridSpan w:val="19"/>
            <w:shd w:val="clear" w:color="auto" w:fill="CCEEFF"/>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Form of Registration Rights Agreement entered into between the Company and the Note Investors dated March 21, 2022.</w:t>
              </w:r>
            </w:hyperlink>
          </w:p>
        </w:tc>
      </w:tr>
      <w:tr>
        <w:trPr>
          <w:trHeight w:val="175"/>
        </w:trPr>
        <w:tc>
          <w:tcPr>
            <w:tcW w:w="4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3"/>
              </w:rPr>
              <w:t>10.20</w:t>
            </w:r>
          </w:p>
        </w:tc>
        <w:tc>
          <w:tcPr>
            <w:tcW w:w="70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(13)</w:t>
            </w:r>
          </w:p>
        </w:tc>
        <w:tc>
          <w:tcPr>
            <w:tcW w:w="876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r:id="rId84">
              <w:r>
                <w:rPr>
                  <w:rFonts w:ascii="Arial" w:cs="Arial" w:eastAsia="Arial" w:hAnsi="Arial"/>
                  <w:sz w:val="18"/>
                  <w:szCs w:val="18"/>
                  <w:color w:val="0000EE"/>
                </w:rPr>
                <w:t>Facility Agreement entered into between the Company and Stephen J. Garchik dated March 21, 2022.</w:t>
              </w:r>
            </w:hyperlink>
          </w:p>
        </w:tc>
        <w:tc>
          <w:tcPr>
            <w:tcW w:w="1340" w:type="dxa"/>
            <w:vAlign w:val="bottom"/>
            <w:tcBorders>
              <w:top w:val="single" w:sz="8" w:color="CCEEFF"/>
            </w:tcBorders>
            <w:gridSpan w:val="3"/>
          </w:tcPr>
          <w:p>
            <w:pPr>
              <w:spacing w:after="0"/>
              <w:rPr>
                <w:sz w:val="15"/>
                <w:szCs w:val="15"/>
                <w:color w:val="auto"/>
              </w:rPr>
            </w:pPr>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10.21</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(13)</w:t>
            </w:r>
          </w:p>
        </w:tc>
        <w:tc>
          <w:tcPr>
            <w:tcW w:w="83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Form of Subscription Agreement entered into between the Company and the PIPE Investors dated March 21, 2022.</w:t>
              </w:r>
            </w:hyperlink>
          </w:p>
        </w:tc>
        <w:tc>
          <w:tcPr>
            <w:tcW w:w="180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440" w:type="dxa"/>
            <w:vAlign w:val="bottom"/>
          </w:tcPr>
          <w:p>
            <w:pPr>
              <w:spacing w:after="0" w:line="176" w:lineRule="exact"/>
              <w:rPr>
                <w:sz w:val="20"/>
                <w:szCs w:val="20"/>
                <w:color w:val="auto"/>
              </w:rPr>
            </w:pPr>
            <w:r>
              <w:rPr>
                <w:rFonts w:ascii="Arial" w:cs="Arial" w:eastAsia="Arial" w:hAnsi="Arial"/>
                <w:sz w:val="18"/>
                <w:szCs w:val="18"/>
                <w:color w:val="auto"/>
                <w:w w:val="93"/>
              </w:rPr>
              <w:t>10.22</w:t>
            </w:r>
          </w:p>
        </w:tc>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(15)</w:t>
            </w:r>
          </w:p>
        </w:tc>
        <w:tc>
          <w:tcPr>
            <w:tcW w:w="10100" w:type="dxa"/>
            <w:vAlign w:val="bottom"/>
            <w:gridSpan w:val="19"/>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Letter Agreement between Joseph Trelin and AuthID Inc. dated April 18, 2022</w:t>
              </w:r>
            </w:hyperlink>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10.23</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(16)</w:t>
            </w:r>
          </w:p>
        </w:tc>
        <w:tc>
          <w:tcPr>
            <w:tcW w:w="56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Letter Agreement between Annie Pham and AuthID Inc. dated April 25, 2022</w:t>
              </w:r>
            </w:hyperlink>
          </w:p>
        </w:tc>
        <w:tc>
          <w:tcPr>
            <w:tcW w:w="4480" w:type="dxa"/>
            <w:vAlign w:val="bottom"/>
            <w:tcBorders>
              <w:bottom w:val="single" w:sz="8" w:color="CCEEFF"/>
            </w:tcBorders>
            <w:gridSpan w:val="14"/>
            <w:shd w:val="clear" w:color="auto" w:fill="CCEEFF"/>
          </w:tcPr>
          <w:p>
            <w:pPr>
              <w:spacing w:after="0"/>
              <w:rPr>
                <w:sz w:val="17"/>
                <w:szCs w:val="17"/>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14.1 (9)</w:t>
            </w:r>
          </w:p>
        </w:tc>
        <w:tc>
          <w:tcPr>
            <w:tcW w:w="10100" w:type="dxa"/>
            <w:vAlign w:val="bottom"/>
            <w:gridSpan w:val="19"/>
          </w:tcPr>
          <w:p>
            <w:pPr>
              <w:spacing w:after="0" w:line="176" w:lineRule="exact"/>
              <w:rPr>
                <w:rFonts w:ascii="Arial" w:cs="Arial" w:eastAsia="Arial" w:hAnsi="Arial"/>
                <w:sz w:val="18"/>
                <w:szCs w:val="18"/>
                <w:color w:val="0000EE"/>
              </w:rPr>
            </w:pPr>
            <w:hyperlink r:id="rId88">
              <w:r>
                <w:rPr>
                  <w:rFonts w:ascii="Arial" w:cs="Arial" w:eastAsia="Arial" w:hAnsi="Arial"/>
                  <w:sz w:val="18"/>
                  <w:szCs w:val="18"/>
                  <w:color w:val="0000EE"/>
                </w:rPr>
                <w:t>Code of Ethics</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21.1*</w:t>
            </w:r>
          </w:p>
        </w:tc>
        <w:tc>
          <w:tcPr>
            <w:tcW w:w="700" w:type="dxa"/>
            <w:vAlign w:val="bottom"/>
            <w:shd w:val="clear" w:color="auto" w:fill="CCEEFF"/>
          </w:tcPr>
          <w:p>
            <w:pPr>
              <w:spacing w:after="0"/>
              <w:rPr>
                <w:sz w:val="15"/>
                <w:szCs w:val="15"/>
                <w:color w:val="auto"/>
              </w:rPr>
            </w:pPr>
          </w:p>
        </w:tc>
        <w:tc>
          <w:tcPr>
            <w:tcW w:w="101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List of Subsidiaries</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Arial" w:cs="Arial" w:eastAsia="Arial" w:hAnsi="Arial"/>
                <w:sz w:val="18"/>
                <w:szCs w:val="18"/>
                <w:color w:val="auto"/>
                <w:w w:val="99"/>
              </w:rPr>
              <w:t>31.1*</w:t>
            </w:r>
          </w:p>
        </w:tc>
        <w:tc>
          <w:tcPr>
            <w:tcW w:w="700" w:type="dxa"/>
            <w:vAlign w:val="bottom"/>
          </w:tcPr>
          <w:p>
            <w:pPr>
              <w:spacing w:after="0"/>
              <w:rPr>
                <w:sz w:val="15"/>
                <w:szCs w:val="15"/>
                <w:color w:val="auto"/>
              </w:rPr>
            </w:pPr>
          </w:p>
        </w:tc>
        <w:tc>
          <w:tcPr>
            <w:tcW w:w="10100" w:type="dxa"/>
            <w:vAlign w:val="bottom"/>
            <w:gridSpan w:val="19"/>
          </w:tcPr>
          <w:p>
            <w:pPr>
              <w:spacing w:after="0" w:line="176" w:lineRule="exact"/>
              <w:rPr>
                <w:sz w:val="20"/>
                <w:szCs w:val="20"/>
                <w:color w:val="auto"/>
              </w:rPr>
            </w:pPr>
            <w:r>
              <w:rPr>
                <w:rFonts w:ascii="Arial" w:cs="Arial" w:eastAsia="Arial" w:hAnsi="Arial"/>
                <w:sz w:val="18"/>
                <w:szCs w:val="18"/>
                <w:color w:val="0000EE"/>
              </w:rPr>
              <w:t>Certification of Chief Executive Officer pursuant to Rule 13a-14(a)/15d-14(a) of the Securities Exchange Act</w:t>
            </w: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31.2*</w:t>
            </w:r>
          </w:p>
        </w:tc>
        <w:tc>
          <w:tcPr>
            <w:tcW w:w="700" w:type="dxa"/>
            <w:vAlign w:val="bottom"/>
            <w:tcBorders>
              <w:bottom w:val="single" w:sz="8" w:color="CCEEFF"/>
            </w:tcBorders>
            <w:shd w:val="clear" w:color="auto" w:fill="CCEEFF"/>
          </w:tcPr>
          <w:p>
            <w:pPr>
              <w:spacing w:after="0"/>
              <w:rPr>
                <w:sz w:val="17"/>
                <w:szCs w:val="17"/>
                <w:color w:val="auto"/>
              </w:rPr>
            </w:pPr>
          </w:p>
        </w:tc>
        <w:tc>
          <w:tcPr>
            <w:tcW w:w="784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Financial Officer pursuant to Rule 13a-14(a)/15d-14(a) of the Securities Exchange Act</w:t>
            </w:r>
          </w:p>
        </w:tc>
        <w:tc>
          <w:tcPr>
            <w:tcW w:w="2260" w:type="dxa"/>
            <w:vAlign w:val="bottom"/>
            <w:tcBorders>
              <w:bottom w:val="single" w:sz="8" w:color="CCEEFF"/>
            </w:tcBorders>
            <w:gridSpan w:val="7"/>
            <w:shd w:val="clear" w:color="auto" w:fill="CCEEFF"/>
          </w:tcPr>
          <w:p>
            <w:pPr>
              <w:spacing w:after="0"/>
              <w:rPr>
                <w:sz w:val="17"/>
                <w:szCs w:val="17"/>
                <w:color w:val="auto"/>
              </w:rPr>
            </w:pPr>
          </w:p>
        </w:tc>
      </w:tr>
      <w:tr>
        <w:trPr>
          <w:trHeight w:val="176"/>
        </w:trPr>
        <w:tc>
          <w:tcPr>
            <w:tcW w:w="440" w:type="dxa"/>
            <w:vAlign w:val="bottom"/>
          </w:tcPr>
          <w:p>
            <w:pPr>
              <w:spacing w:after="0" w:line="176" w:lineRule="exact"/>
              <w:rPr>
                <w:sz w:val="20"/>
                <w:szCs w:val="20"/>
                <w:color w:val="auto"/>
              </w:rPr>
            </w:pPr>
            <w:r>
              <w:rPr>
                <w:rFonts w:ascii="Arial" w:cs="Arial" w:eastAsia="Arial" w:hAnsi="Arial"/>
                <w:sz w:val="18"/>
                <w:szCs w:val="18"/>
                <w:color w:val="auto"/>
                <w:w w:val="99"/>
              </w:rPr>
              <w:t>32.1*</w:t>
            </w:r>
          </w:p>
        </w:tc>
        <w:tc>
          <w:tcPr>
            <w:tcW w:w="700" w:type="dxa"/>
            <w:vAlign w:val="bottom"/>
          </w:tcPr>
          <w:p>
            <w:pPr>
              <w:spacing w:after="0"/>
              <w:rPr>
                <w:sz w:val="15"/>
                <w:szCs w:val="15"/>
                <w:color w:val="auto"/>
              </w:rPr>
            </w:pPr>
          </w:p>
        </w:tc>
        <w:tc>
          <w:tcPr>
            <w:tcW w:w="10100" w:type="dxa"/>
            <w:vAlign w:val="bottom"/>
            <w:tcBorders>
              <w:bottom w:val="single" w:sz="8" w:color="0000EE"/>
            </w:tcBorders>
            <w:gridSpan w:val="19"/>
          </w:tcPr>
          <w:p>
            <w:pPr>
              <w:spacing w:after="0" w:line="17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§1350, as adopted pursuant to Section 906 of the</w:t>
            </w: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Instance Document *</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 *</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 *</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 *</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 *</w:t>
            </w: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20" w:firstLine="8"/>
        <w:spacing w:after="0" w:line="491" w:lineRule="auto"/>
        <w:tabs>
          <w:tab w:leader="none" w:pos="11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23, 2021.</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15, 2021.</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16, 2019.</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18, 2020.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6, 2021.</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July 12, 2017.</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 2017.</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November 8, 2021.</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S-8 Registration Statement filed with the Securities Exchange Commission on February 1, 2022.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21, 2022.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March 22, 2022.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19, 2022.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27, 2022.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July 19, 2022.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September 21,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authID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Thomas L.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Thomas L. Thimot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Hang Thi Bich Pham</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authID Inc. – List of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authID Gaming Inc., a Delaware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 Holdings, Inc., a Delaware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Solutions Inc., a Delaware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Innovation in Motion Inc., a Florida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Ipsidy Enterprises Limited, a company incorporated in England &amp;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MultiPay S.A.S., a Colombian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IDGS S.A.S., a Colombian company</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Thimot,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authID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10, 2022</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5715</wp:posOffset>
            </wp:positionV>
            <wp:extent cx="276860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2768600" cy="17145"/>
                    </a:xfrm>
                    <a:prstGeom prst="rect">
                      <a:avLst/>
                    </a:prstGeom>
                    <a:noFill/>
                  </pic:spPr>
                </pic:pic>
              </a:graphicData>
            </a:graphic>
          </wp:anchor>
        </w:drawing>
      </w:r>
    </w:p>
    <w:p>
      <w:pPr>
        <w:spacing w:after="0" w:line="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Hang Thi Bich Pham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authID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Hang Thi Bich Pham</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authID Inc. (the “Company”) on Form 10-Q for the quarter ended September 30, 2022 as filed with the Securities and Exchange Commission (the “Report”), I, Thomas Thimot, Chief Executive Officer of the Company, and, Hang Thi Bich Pham, Chief Financial Officer of the Company, certify, pursuant to 18 U.S.C. SS. 1350, as adopted pursuant to SS. 906 of the Sarbanes-Oxley Act of 2002, that:</w:t>
      </w:r>
    </w:p>
    <w:p>
      <w:pPr>
        <w:spacing w:after="0" w:line="16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Hang Thi Bich Pham,</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56" Type="http://schemas.openxmlformats.org/officeDocument/2006/relationships/hyperlink" Target="http://www.sec.gov/Archives/edgar/data/1534154/000121390021017290/ea138222ex3-1_ipsidyinc.htm" TargetMode="External"/><Relationship Id="rId57" Type="http://schemas.openxmlformats.org/officeDocument/2006/relationships/hyperlink" Target="http://www.sec.gov/Archives/edgar/data/1534154/000121390022040296/ea162935ex3-2_authid.htm" TargetMode="External"/><Relationship Id="rId58" Type="http://schemas.openxmlformats.org/officeDocument/2006/relationships/hyperlink" Target="http://www.sec.gov/Archives/edgar/data/1534154/000121390021032569/ea142763ex3-1_ipsidyinc.htm" TargetMode="External"/><Relationship Id="rId59" Type="http://schemas.openxmlformats.org/officeDocument/2006/relationships/hyperlink" Target="http://www.sec.gov/Archives/edgar/data/1534154/000121390022057553/ea166087ex3-1_authid.htm" TargetMode="External"/><Relationship Id="rId60" Type="http://schemas.openxmlformats.org/officeDocument/2006/relationships/hyperlink" Target="http://www.sec.gov/Archives/edgar/data/1534154/000121390021032569/ea142763ex4-1_ipsidyinc.htm" TargetMode="External"/><Relationship Id="rId61" Type="http://schemas.openxmlformats.org/officeDocument/2006/relationships/hyperlink" Target="http://www.sec.gov/Archives/edgar/data/1534154/000121390019026249/f8k121019ex4-3_ipsidy.htm" TargetMode="External"/><Relationship Id="rId62" Type="http://schemas.openxmlformats.org/officeDocument/2006/relationships/hyperlink" Target="http://www.sec.gov/Archives/edgar/data/1534154/000121390020004127/f8k021420ex4-1_ipsidyinc.htm" TargetMode="External"/><Relationship Id="rId63" Type="http://schemas.openxmlformats.org/officeDocument/2006/relationships/hyperlink" Target="http://www.sec.gov/Archives/edgar/data/1534154/000121390020004127/f8k021420ex4-2_ipsidyinc.htm" TargetMode="External"/><Relationship Id="rId64" Type="http://schemas.openxmlformats.org/officeDocument/2006/relationships/hyperlink" Target="http://www.sec.gov/Archives/edgar/data/1534154/000121390020011887/ea121728ex4-1_ipsidyinc.htm" TargetMode="External"/><Relationship Id="rId65" Type="http://schemas.openxmlformats.org/officeDocument/2006/relationships/hyperlink" Target="http://www.sec.gov/Archives/edgar/data/1534154/000121390021024897/f10q0321ex4-15_ipsidyinc.htm" TargetMode="External"/><Relationship Id="rId66" Type="http://schemas.openxmlformats.org/officeDocument/2006/relationships/hyperlink" Target="http://www.sec.gov/Archives/edgar/data/1534154/000121390022014214/f10k2021ex4-7_ipsidyinc.htm" TargetMode="External"/><Relationship Id="rId67" Type="http://schemas.openxmlformats.org/officeDocument/2006/relationships/hyperlink" Target="http://www.sec.gov/Archives/edgar/data/1534154/000121390021032569/ea142763ex10-6_ipsidyinc.htm" TargetMode="External"/><Relationship Id="rId68" Type="http://schemas.openxmlformats.org/officeDocument/2006/relationships/hyperlink" Target="http://www.sec.gov/Archives/edgar/data/1534154/000121390021032569/ea142763ex10-5_ipsidyinc.htm" TargetMode="External"/><Relationship Id="rId69" Type="http://schemas.openxmlformats.org/officeDocument/2006/relationships/hyperlink" Target="http://www.sec.gov/Archives/edgar/data/1534154/000161577417000313/s105211_ex10-3.htm" TargetMode="External"/><Relationship Id="rId70" Type="http://schemas.openxmlformats.org/officeDocument/2006/relationships/hyperlink" Target="http://www.sec.gov/Archives/edgar/data/1534154/000161577417000380/s105242_ex10-2.htm" TargetMode="External"/><Relationship Id="rId71" Type="http://schemas.openxmlformats.org/officeDocument/2006/relationships/hyperlink" Target="http://www.sec.gov/Archives/edgar/data/1534154/000161577418003344/s109839_ex10-27.htm" TargetMode="External"/><Relationship Id="rId72" Type="http://schemas.openxmlformats.org/officeDocument/2006/relationships/hyperlink" Target="http://www.sec.gov/Archives/edgar/data/1534154/000121390021032569/ea142763ex10-1_ipsidyinc.htm" TargetMode="External"/><Relationship Id="rId73" Type="http://schemas.openxmlformats.org/officeDocument/2006/relationships/hyperlink" Target="http://www.sec.gov/Archives/edgar/data/1534154/000121390021032569/ea142763ex10-2_ipsidyinc.htm" TargetMode="External"/><Relationship Id="rId74" Type="http://schemas.openxmlformats.org/officeDocument/2006/relationships/hyperlink" Target="http://www.sec.gov/Archives/edgar/data/1534154/000121390021032569/ea142763ex10-3_ipsidyinc.htm" TargetMode="External"/><Relationship Id="rId75" Type="http://schemas.openxmlformats.org/officeDocument/2006/relationships/hyperlink" Target="http://www.sec.gov/Archives/edgar/data/1534154/000121390021032569/ea142763ex10-4_ipsidyinc.htm" TargetMode="External"/><Relationship Id="rId76" Type="http://schemas.openxmlformats.org/officeDocument/2006/relationships/hyperlink" Target="http://www.sec.gov/Archives/edgar/data/1534154/000121390021057337/f10q0921ex10-11_ipsidyinc.htm" TargetMode="External"/><Relationship Id="rId77" Type="http://schemas.openxmlformats.org/officeDocument/2006/relationships/hyperlink" Target="http://www.sec.gov/Archives/edgar/data/1534154/000121390021057337/f10q0921ex10-12_ipsidyinc.htm" TargetMode="External"/><Relationship Id="rId78" Type="http://schemas.openxmlformats.org/officeDocument/2006/relationships/hyperlink" Target="http://www.sec.gov/Archives/edgar/data/1534154/000121390022004803/ea154748ex4-1_ipsidyinc.htm" TargetMode="External"/><Relationship Id="rId79" Type="http://schemas.openxmlformats.org/officeDocument/2006/relationships/hyperlink" Target="http://www.sec.gov/Archives/edgar/data/1534154/000121390022014214/f10k2021ex10-14_ipsidyinc.htm" TargetMode="External"/><Relationship Id="rId80" Type="http://schemas.openxmlformats.org/officeDocument/2006/relationships/hyperlink" Target="http://www.sec.gov/Archives/edgar/data/1534154/000121390022013739/ea157152ex10-1_ipsidyinc.htm" TargetMode="External"/><Relationship Id="rId81" Type="http://schemas.openxmlformats.org/officeDocument/2006/relationships/hyperlink" Target="http://www.sec.gov/Archives/edgar/data/1534154/000121390022013739/ea157152ex10-2_ipsidyinc.htm" TargetMode="External"/><Relationship Id="rId82" Type="http://schemas.openxmlformats.org/officeDocument/2006/relationships/hyperlink" Target="http://www.sec.gov/Archives/edgar/data/1534154/000121390022013739/ea157152ex10-3_ipsidyinc.htm" TargetMode="External"/><Relationship Id="rId83" Type="http://schemas.openxmlformats.org/officeDocument/2006/relationships/hyperlink" Target="http://www.sec.gov/Archives/edgar/data/1534154/000121390022013739/ea157152ex10-5_ipsidyinc.htm" TargetMode="External"/><Relationship Id="rId84" Type="http://schemas.openxmlformats.org/officeDocument/2006/relationships/hyperlink" Target="http://www.sec.gov/Archives/edgar/data/1534154/000121390022013739/ea157152ex10-6_ipsidyinc.htm" TargetMode="External"/><Relationship Id="rId85" Type="http://schemas.openxmlformats.org/officeDocument/2006/relationships/hyperlink" Target="http://www.sec.gov/Archives/edgar/data/1534154/000121390022013739/ea157152ex10-7_ipsidyinc.htm" TargetMode="External"/><Relationship Id="rId86" Type="http://schemas.openxmlformats.org/officeDocument/2006/relationships/hyperlink" Target="http://www.sec.gov/Archives/edgar/data/1534154/000121390022020476/ea158591ex10-1_ipsidyinc.htm" TargetMode="External"/><Relationship Id="rId87" Type="http://schemas.openxmlformats.org/officeDocument/2006/relationships/hyperlink" Target="http://www.sec.gov/Archives/edgar/data/1534154/000121390022021805/ea158885ex10-1_ipsidyinc.htm" TargetMode="External"/><Relationship Id="rId88" Type="http://schemas.openxmlformats.org/officeDocument/2006/relationships/hyperlink" Target="http://www.sec.gov/Archives/edgar/data/1534154/000161577417003593/s106516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2022-11-10T18:56:19Z</dcterms:created>
  <dcterms:modified xsi:type="dcterms:W3CDTF">2022-11-10T18:56:19Z</dcterms:modified>
</cp:coreProperties>
</file>