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4377-8k_authid.htm"/>
      <w:bookmarkStart w:id="1" w:name="ksea02843778k_authid"/>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8_edei--DocumentType_c2026033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23975"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10096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authID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331"/>
            <w:bookmarkEnd w:id="6"/>
            <w:r>
              <w:rPr>
                <w:rFonts w:ascii="Times New Roman;Times;Serif" w:hAnsi="Times New Roman;Times;Serif"/>
                <w:b/>
                <w:sz w:val="20"/>
              </w:rPr>
              <w:t>001-40747</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46-2069547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6_edei--EntityAddressAddressLine1_"/>
      <w:bookmarkEnd w:id="8"/>
      <w:r>
        <w:rPr>
          <w:rFonts w:ascii="Times New Roman;Times;Serif" w:hAnsi="Times New Roman;Times;Serif"/>
          <w:b w:val="false"/>
          <w:i w:val="false"/>
          <w:caps w:val="false"/>
          <w:smallCaps w:val="false"/>
          <w:sz w:val="20"/>
        </w:rPr>
        <w:t xml:space="preserve">1580 N. Logan St, </w:t>
      </w:r>
      <w:bookmarkStart w:id="9" w:name="xdx_90A_edei--EntityAddressAddressLine2_"/>
      <w:bookmarkEnd w:id="9"/>
      <w:r>
        <w:rPr>
          <w:rFonts w:ascii="Times New Roman;Times;Serif" w:hAnsi="Times New Roman;Times;Serif"/>
          <w:b w:val="false"/>
          <w:i w:val="false"/>
          <w:caps w:val="false"/>
          <w:smallCaps w:val="false"/>
          <w:sz w:val="20"/>
        </w:rPr>
        <w:t xml:space="preserve">Suite 660, </w:t>
      </w:r>
      <w:bookmarkStart w:id="10" w:name="xdx_902_edei--EntityAddressAddressLine3_"/>
      <w:bookmarkEnd w:id="10"/>
      <w:r>
        <w:rPr>
          <w:rFonts w:ascii="Times New Roman;Times;Serif" w:hAnsi="Times New Roman;Times;Serif"/>
          <w:b w:val="false"/>
          <w:i w:val="false"/>
          <w:caps w:val="false"/>
          <w:smallCaps w:val="false"/>
          <w:sz w:val="20"/>
        </w:rPr>
        <w:t xml:space="preserve">Unit 51767, </w:t>
      </w:r>
      <w:bookmarkStart w:id="11" w:name="xdx_900_edei--EntityAddressCityOrTown_c2"/>
      <w:bookmarkEnd w:id="11"/>
      <w:r>
        <w:rPr>
          <w:rFonts w:ascii="Times New Roman;Times;Serif" w:hAnsi="Times New Roman;Times;Serif"/>
          <w:b w:val="false"/>
          <w:i w:val="false"/>
          <w:caps w:val="false"/>
          <w:smallCaps w:val="false"/>
          <w:sz w:val="20"/>
        </w:rPr>
        <w:t xml:space="preserve">Denver, </w:t>
      </w:r>
      <w:bookmarkStart w:id="12" w:name="xdx_907_edei--EntityAddressStateOrProvin"/>
      <w:bookmarkEnd w:id="12"/>
      <w:r>
        <w:rPr>
          <w:rFonts w:ascii="Times New Roman;Times;Serif" w:hAnsi="Times New Roman;Times;Serif"/>
          <w:b w:val="false"/>
          <w:i w:val="false"/>
          <w:caps w:val="false"/>
          <w:smallCaps w:val="false"/>
          <w:sz w:val="20"/>
        </w:rPr>
        <w:t xml:space="preserve">Colorado </w:t>
      </w:r>
      <w:bookmarkStart w:id="13" w:name="xdx_909_edei--EntityAddressPostalZipCode"/>
      <w:bookmarkEnd w:id="13"/>
      <w:r>
        <w:rPr>
          <w:rFonts w:ascii="Times New Roman;Times;Serif" w:hAnsi="Times New Roman;Times;Serif"/>
          <w:b w:val="false"/>
          <w:i w:val="false"/>
          <w:caps w:val="false"/>
          <w:smallCaps w:val="false"/>
          <w:sz w:val="20"/>
        </w:rPr>
        <w:t>80203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1_edei--CityAreaCode_c20260331__20"/>
      <w:bookmarkEnd w:id="14"/>
      <w:r>
        <w:rPr>
          <w:rFonts w:ascii="Times New Roman;Times;Serif" w:hAnsi="Times New Roman;Times;Serif"/>
          <w:b w:val="false"/>
          <w:i w:val="false"/>
          <w:caps w:val="false"/>
          <w:smallCaps w:val="false"/>
          <w:sz w:val="20"/>
        </w:rPr>
        <w:t>516-</w:t>
      </w:r>
      <w:bookmarkStart w:id="15" w:name="xdx_907_edei--LocalPhoneNumber_c20260331"/>
      <w:bookmarkEnd w:id="15"/>
      <w:r>
        <w:rPr>
          <w:rFonts w:ascii="Times New Roman;Times;Serif" w:hAnsi="Times New Roman;Times;Serif"/>
          <w:b w:val="false"/>
          <w:i w:val="false"/>
          <w:caps w:val="false"/>
          <w:smallCaps w:val="false"/>
          <w:sz w:val="20"/>
        </w:rPr>
        <w:t>274-8700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1_edei--WrittenCommunications_c202"/>
            <w:bookmarkEnd w:id="16"/>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9_edei--SolicitingMaterial_c202603"/>
            <w:bookmarkEnd w:id="17"/>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A_edei--PreCommencementTenderOffer"/>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8_edei--PreCommencementIssuerTende"/>
            <w:bookmarkEnd w:id="19"/>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3575"/>
        <w:gridCol w:w="60"/>
        <w:gridCol w:w="1415"/>
        <w:gridCol w:w="60"/>
        <w:gridCol w:w="3710"/>
      </w:tblGrid>
      <w:tr>
        <w:trPr/>
        <w:tc>
          <w:tcPr>
            <w:tcW w:w="35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Security12bTitle_c20260331"/>
            <w:bookmarkEnd w:id="20"/>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5_edei--TradingSymbol_c20260331__2"/>
            <w:bookmarkEnd w:id="21"/>
            <w:r>
              <w:rPr>
                <w:rFonts w:ascii="Times New Roman;Times;Serif" w:hAnsi="Times New Roman;Times;Serif"/>
                <w:sz w:val="20"/>
              </w:rPr>
              <w:t>AUID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w:t>
            </w:r>
            <w:bookmarkStart w:id="22" w:name="xdx_901_edei--SecurityExchangeName_c2026"/>
            <w:bookmarkEnd w:id="22"/>
            <w:r>
              <w:rPr>
                <w:rFonts w:ascii="Times New Roman;Times;Serif" w:hAnsi="Times New Roman;Times;Serif"/>
                <w:sz w:val="20"/>
              </w:rPr>
              <w:t xml:space="preserve"> Nasdaq Stock Market, LLC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6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4"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4" w:right="0" w:firstLine="516"/>
        <w:jc w:val="both"/>
        <w:rPr>
          <w:caps w:val="false"/>
          <w:smallCaps w:val="false"/>
        </w:rPr>
      </w:pPr>
      <w:r>
        <w:rPr>
          <w:caps w:val="false"/>
          <w:smallCaps w:val="false"/>
        </w:rPr>
        <w:t> </w:t>
      </w:r>
    </w:p>
    <w:p>
      <w:pPr>
        <w:pStyle w:val="TextBody"/>
        <w:bidi w:val="0"/>
        <w:spacing w:before="0" w:after="0"/>
        <w:ind w:left="4"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authID Inc. (the “Company”) issued a press release regarding its financial results for the fiscal year ended December 31, 2025. The full text of the press release issued in connection with the announcement is furnished as Exhibit 99.1 to this Current Report on Form 8-K.</w:t>
      </w:r>
    </w:p>
    <w:p>
      <w:pPr>
        <w:pStyle w:val="TextBody"/>
        <w:bidi w:val="0"/>
        <w:spacing w:before="0" w:after="0"/>
        <w:ind w:left="4" w:right="0" w:firstLine="516"/>
        <w:jc w:val="both"/>
        <w:rPr>
          <w:caps w:val="false"/>
          <w:smallCaps w:val="false"/>
        </w:rPr>
      </w:pPr>
      <w:r>
        <w:rPr>
          <w:caps w:val="false"/>
          <w:smallCaps w:val="false"/>
        </w:rPr>
        <w:t> </w:t>
      </w:r>
    </w:p>
    <w:p>
      <w:pPr>
        <w:pStyle w:val="TextBody"/>
        <w:bidi w:val="0"/>
        <w:spacing w:before="0" w:after="0"/>
        <w:ind w:left="4"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ind w:left="4" w:right="0" w:firstLine="516"/>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Index of Exhibits</w:t>
      </w:r>
    </w:p>
    <w:p>
      <w:pPr>
        <w:pStyle w:val="TextBody"/>
        <w:bidi w:val="0"/>
        <w:spacing w:before="0" w:after="0"/>
        <w:ind w:left="0" w:right="0" w:firstLine="720"/>
        <w:jc w:val="left"/>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28437701ex99-1.htm">
              <w:r>
                <w:rPr>
                  <w:rStyle w:val="InternetLink"/>
                  <w:rFonts w:ascii="Times New Roman;Times;Serif" w:hAnsi="Times New Roman;Times;Serif"/>
                  <w:sz w:val="20"/>
                </w:rPr>
                <w:t>Press Release dated March 31, 2026</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104 </w:t>
            </w:r>
          </w:p>
        </w:tc>
        <w:tc>
          <w:tcPr>
            <w:tcW w:w="60" w:type="dxa"/>
            <w:tcBorders/>
            <w:shd w:fill="FFFFFF" w:val="clear"/>
            <w:tcMar>
              <w:bottom w:w="0" w:type="dxa"/>
            </w:tcMar>
            <w:vAlign w:val="center"/>
          </w:tcPr>
          <w:p>
            <w:pPr>
              <w:pStyle w:val="TableContents"/>
              <w:bidi w:val="0"/>
              <w:spacing w:before="0" w:after="283"/>
              <w:jc w:val="both"/>
              <w:rPr/>
            </w:pPr>
            <w:r>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90" w:type="dxa"/>
        <w:jc w:val="left"/>
        <w:tblInd w:w="0" w:type="dxa"/>
        <w:tblLayout w:type="fixed"/>
        <w:tblCellMar>
          <w:top w:w="0" w:type="dxa"/>
          <w:left w:w="0" w:type="dxa"/>
          <w:bottom w:w="0" w:type="dxa"/>
          <w:right w:w="0" w:type="dxa"/>
        </w:tblCellMar>
      </w:tblPr>
      <w:tblGrid>
        <w:gridCol w:w="1805"/>
        <w:gridCol w:w="590"/>
        <w:gridCol w:w="1895"/>
      </w:tblGrid>
      <w:tr>
        <w:trPr/>
        <w:tc>
          <w:tcPr>
            <w:tcW w:w="180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authID Inc.</w:t>
            </w:r>
          </w:p>
        </w:tc>
      </w:tr>
      <w:tr>
        <w:trPr/>
        <w:tc>
          <w:tcPr>
            <w:tcW w:w="180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31,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Sellitto</w:t>
            </w:r>
          </w:p>
        </w:tc>
      </w:tr>
      <w:tr>
        <w:trPr/>
        <w:tc>
          <w:tcPr>
            <w:tcW w:w="180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Sellitto</w:t>
            </w:r>
          </w:p>
        </w:tc>
      </w:tr>
      <w:tr>
        <w:trPr/>
        <w:tc>
          <w:tcPr>
            <w:tcW w:w="180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ea028437701ex99-1.htm"/>
      <w:bookmarkStart w:id="25" w:name="ksea028437701ex991"/>
      <w:bookmarkEnd w:id="24"/>
      <w:bookmarkEnd w:id="25"/>
      <w:r>
        <w:rPr>
          <w:b/>
        </w:rPr>
        <w:t>Exhibit 99.1</w:t>
      </w:r>
      <w:r>
        <w:br w:type="page"/>
      </w:r>
    </w:p>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152525" cy="895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52525" cy="8953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Reports Financial and Operating Results for the Fourth Quarter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March 30, 2026 (GLOBE NEWSWIRE) -- authID® (Nasdaq: AUID) (“authID” or the “Company”), a leading provider of biometric identity verification and authentication solutions, today reported financial and operating results for the Fourth Quarter and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2025 vs. Fourth Quarter 2024 Financial Summary</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2"/>
        <w:gridCol w:w="9946"/>
      </w:tblGrid>
      <w:tr>
        <w:trPr/>
        <w:tc>
          <w:tcPr>
            <w:tcW w:w="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w:t>
            </w:r>
          </w:p>
        </w:tc>
        <w:tc>
          <w:tcPr>
            <w:tcW w:w="994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revenue for the quarter was $0.4 million, compared to $0.2 million a year ago.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expenses were $4.5 million, compared to $4.9 million a year ago.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was $4.0 million, or $0.28 per share, compared to a loss of $4.6 million, or $0.42 per share a year ago.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Loss of $3.0 million (non-GAAP measure as defined below), compared with $4.1 million a year ago.</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bARR (Booked Annual Recurring Revenue) of $0.1 million (non-GAAP measure as defined below), compared with $7.1 million a year ago.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2025 vs. Fiscal Year 2024 Financial Summary</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20"/>
        <w:gridCol w:w="9937"/>
      </w:tblGrid>
      <w:tr>
        <w:trPr/>
        <w:tc>
          <w:tcPr>
            <w:tcW w:w="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revenue for the year was $2.0 million, compared to $0.9 million a year ago.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ARR (Annual Recurring Revenue) was $1.8 million (non-GAAP measure as defined below), compared with $0.8 million a year ago.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7"/>
        <w:gridCol w:w="9928"/>
      </w:tblGrid>
      <w:tr>
        <w:trPr/>
        <w:tc>
          <w:tcPr>
            <w:tcW w:w="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w:t>
            </w:r>
          </w:p>
        </w:tc>
        <w:tc>
          <w:tcPr>
            <w:tcW w:w="99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expenses were $20.2 million, compared to $15.6 million a year ago.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was $17.9 million, or $1.38 per share, compared to a loss of $14.3 million, or $1.40 per share a year ago.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Loss of $14.4 million (non-GAAP measure as defined below), compared with $11.9 million a year ago.</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Gross bARR (Booked Annual Recurring Revenue) of $2.4 million (non-GAAP measure as defined below), compared with $9.0 million a year ago.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2025 was the year the world recognized the deterministic identity problem that authID was built to solve in the new world of AI,” said Rhon Daguro, authID’s Chief Executive Officer. “Our published wins in 2025 and 2026, including a top-20 global retailer, a global technology leader in NESIC, a subsidiary of NEC, a fintech platform serving over 100 financial institutions and a global retailer of personal care products, validate that our biometric authentication platform technologies are setting the standard for identity authentication across a range of industries. At the same time, our product platform expanded meaningfully, with PrivacyKey earning independent industry recognition, the launch of IDX for distributed workforces, and the unveiling of our authID Mandate framework for enterprise Agentic AI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a result, we are in the final stages of our sales cycles with global multi-nationals who are the leaders in their respective industries ranging from financial services, professional services, manufacturing, high tech AI, to retail and healthcare,” added Daguro. “This includes 6 companies that are in the Proof of Concept (POC) stage in the month of March alone. We have reached another critical milestone at authID, which is the significant number of large customers entering live production pilots all at once, which require major resource and time investments by both sides. All our customers are looking to authID to solve critical identity problems that every company is facing and we are excited about our future as we continue to add large customers using the authID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Business and Operational Highlights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Signed a full production agreement with a top-20 global retailer — one of the largest retail chains in the world — to deploy authID’s PrivacyKey technology to secure identity verification and password reset for its back-office workforce, with a contractual pathway to expand into retail stores worldwide. The customer is preparing for an expanded rollout of authID’s identity platform after reporting strong operational results, comprising enrollment increase of 472% for users attaching a biometric to their account, scaling more than 5x while delivering a 97.0% acceptance rate, along with very low abandonment rates. This represents meaningful enterprise-scale validation of authID’s biometric authentication platform.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Expanded the Company’s strategic partnership with NESIC, a subsidiary of NEC Corporation, a $20 billion global technology leader. Phase one of a multi-phase strategy is live, embedding authID’s biometric identity verification and authentication into NESIC’s Symphonict Trust platform for enterprise workforce onboarding in the Japanese market. Jointly launched Identity Exchange (IDX™), providing scalable identity assurance for distributed workforces, supply chains, and AI Agents. By binding human identity to AI Agents through biometric authentication, IDX directly addresses the governance and accountability gap that currently limits enterprise adoption of Agentic AI and extends authID into the Verifiable Credentials market— dramatically expanding authID’s total addressable market.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Signed an agreement with MajorKey Technologies, a premier identity security firm and certified Microsoft Entra Suite services partner, to bring authID’s Proof™ technology to Microsoft customers globally. MajorKey subsequently launched IDProof+, developed in collaboration with authID, delivering high-assurance biometric identity verification into the Microsoft ecosystem and opening a significant new distribution channel for authID.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Signed an agreement with a digital infrastructure platform serving more than 100 financial institutions — banks with assets ranging from $10 billion to $150 billion — to integrate authID’s Proof™ and PrivacyKey™ technologies into its universal onboarding and customer management platform.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Signed an agreement with an international bank for identity onboarding, verification, and authentication.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authID and partner TurboCheck selected by global workforce solutions provider to protect its hiring, onboarding, and daily workforce operations from a fast-growing wave of employment identity fraud.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Integrated with ServiceNow, adding authID to the ServiceNow Store, making authID accessible to over 8400 contact centers worldwide, including 85% of Fortune 500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Signed partner deals with a background screening tech innovator for enhanced reusable digital identity credentials and with a pioneer in financial threat intelligence securing the delivery of their “Intelligence as a Service” for financial organizations with cryptographic identity assurance and full auditability.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Fourth Quarter and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revenue for the three months ended December 31, 2025 was $0.6 million, compared with $0.2 million a year ago. Net revenue, which reflects estimated concessions in the Fourth quarter totaling $0.2 million, was $0.4 million, compared with $0.2 million a year ago. Total net revenue for the twelve months ended December 31, 2025 which reflects estimated concessions totaling $0.9 million, was $2.0 million, compared with $0.9 million a year ago. Our gross and net revenue were impacted by certain accounting adjustments required to reflect challenges with two customer contracts, as further explained in the Annual financial statements filed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three months ended December 31, 2025, were $4.5 million, compared to $4.9 million a year ago. Operating expenses for the twelve months ended December 31, 2025 were $20.2 million, compared with $15.6 million in the year-ago period. The 2025 increase is primarily due to a number of factors including increased headcount and continued investment in sales and R&amp;D, as well as shares issued to management advisors and credit loss expense related to certain customer contracts of approximately $0.8 million. Operating expenses plateaued in Q4 as expenses held steady vs.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three months ended December 31, 2025 was $4.0 million, of which non-cash charges were $1.1 million, compared with a net loss of $4.6 million a year ago, of which non-cash charges were $0.6 million. Net loss for the twelve months ended December 31, 2025 was $17.9 million, of which non-cash charges were $3.8 million, compared with a net loss of $14.3 million a year ago, of which non-cash charges were $2.8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per share for the three months ended December 31, 2025 was $0.28, compared with $0.42 a year ago. Loss per share for the twelve months ended December 31, 2025 was $1.38, compared with $1.40 a year ago.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loss (a non-GAAP measure, as defined below) was $3.0 million for the three months ended December 31, 2025, compared with a loss of $4.1 million a year ago. Adjusted EBITDA loss was $14.4 million for the twelve months ended December 31, 2025, compared with a loss of $11.9 million a year ago. The increase in adjusted EBITDA loss is primarily driven by the increase in headcount investment in sales and R&amp;D. Please refer to Table 1 for reconciliation of net loss to adjusted EBITDA (a non-GAAP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Performance Obligation (RPO) as of December 31, 2025, was $2.2 million, of which $0.5 million is held as deferred revenue and $1.7 million is related to other non-cancellable contracted amounts, compared to RPO of $14.3 million as of December 31, 2024. The Company expects to recognize the full RPO of $2.2 million over the entire life of the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amount of Booked Annual Recurring Revenue or bARR, (a non-GAAP measure, as defined below), signed in the fourth quarter of 2025 was $0.1 million, down from $7.1 million of gross bARR a year ago. The net amount of bARR was a negative $1.0 million, compared to a positive $6.9 million of net bARR signed in the comparable period in 2024. The Q4 bARR is comprised of $0.03 million in Committed Annual Recurring Revenue (cARR) and $0.04 million in estimated Usage Above Commitments (UAC).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amount of Booked Annual Recurring Revenue or bARR, signed in 2025 was $2.4 million, down from $9.0 million of gross bARR a year ago. The net amount of bARR was a negative $6.3 million compared to a positive $7.4 million of net bARR signed in 2024. The 2025 bARR is comprised of $1.06 million in Committed Annual Recurring Revenue (cARR) and $1.37 million in estimated Usage Above Commitments (UAC).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amount of bARR reflects the deduction of the bARR of contracts previously included in reported bARR, due to certain customers experiencing delays in Production Go-Live timing, volume ramping and challenges meeting their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Annual Recurring Revenue or ARR, (a non-GAAP measure, as defined below) as of Q4 2025 was $1.8 million, compared to $0.8 million of ARR as of Q4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below for further definition and explanation of ARR and bARR, non-GAAP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conference call and webcast will be held today at 5:00p.m. EDT, hosted by authID Chief Executive Officer Rhon Daguro and Chief Financial Officer Ed Sellitto to discuss the financial results and provide a corporate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on the live conference call, please access this registration link and you will be provided with dial-in details. To avoid delays, participants are encouraged to dial into the conference call 15 minutes ahead of the scheduled start time. A live webcast of the call will be available at webcast registration and on the “Events &amp; Presentations” page of the Company’s website at investors.authid.ai. Only participants on the live conference call will be able to ask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event will also be available for 90 days at authID’s Investor Relations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authID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(Nasdaq: AUID) ensures enterprises “Know Who’s Behind the Device™” for every customer or employee login and transaction through its easy-to-integrate, patented, biometric identity platform. authID quickly and accurately verifies a user’s identity, leveraging a 1-in-1-billion False Positive Rate for the highest level of assurance, coupled with industry-leading speed and privacy-preserving technology. authID’s IDX platform secures the distributed workforce of employees and contractors, while enforcing authorization and accountability for AI agents. By creating a biometric root of trust for each user, authID stops fraud at onboarding, prevents account takeover, detects and stops deepfakes, eliminates password risks and costs, and provides the fastest, frictionless, and most accurate user identity experience in the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 Contacts</w:t>
      </w:r>
      <w:r>
        <w:rPr>
          <w:rFonts w:ascii="Times New Roman;Times;Serif" w:hAnsi="Times New Roman;Times;Serif"/>
          <w:b w:val="false"/>
          <w:i w:val="false"/>
          <w:caps w:val="false"/>
          <w:smallCaps w:val="false"/>
          <w:sz w:val="20"/>
        </w:rPr>
        <w:br/>
        <w:t>authID Investor Relations</w:t>
        <w:br/>
        <w:t>investor-relations@authID.ai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All statements other than statements of historical facts included herein, including, without limitation, those regarding the future results of operations, growth and sales, potential contract signings, booked Annual Recurring Revenue (bARR) (and its components cARR and UAC), Annual Recurring Revenue (ARR), cash flow, cash position and financial position, business strategy, plans and objectives of management for future operations of both authID Inc. and its business partners, are forward-looking statements. Such forward-looking statements are based on a number of assumptions regarding authID’s present and future business strategies, and the environment in which authID expects to operate in the future, which assumptions may or may not be fulfilled in practice. Actual results may vary materially from the results anticipated by these forward-looking statements as a result of a variety of risk factors, including the Company’s ability to attract and retain customers; successful implementation of the services to be provided under new customer contracts and their adoption by customers’ users; the Company’s ability to compete effectively; changes in laws, regulations and practices; the increase in international tariffs and uncertainty over international trading conditions, changes in domestic and international economic and political conditions, the impact of the wars in Ukraine and the Middle East, inflationary pressures, changes in interest rates, and others. See the Company’s Annual Report on Form 10-K for the Fiscal Year ended December 31, 2025 filed at www.sec.gov and other documents filed with the SEC for other risk factors which investors should consider. These forward-looking statements speak only as to the date of this release and cannot be relied upon as a guide to future performance. authID expressly disclaims any obligation or undertaking to disseminate any updates or revisions to any forward-looking statements contained in this release to reflect any changes in its expectations with regard thereto or any change in events, conditions, or circumstances on which any statement is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certain non-GAAP financial measures in this statement. These non-GAAP key business indicators, which include Adjusted EBITDA, bARR and ARR should not be considered replacements for and should be read in conjunction with the 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financial measure that represents GAAP net income (loss) adjusted to exclude (1) interest expense and debt discount and debt issuance costs amortization expense, (2) interest income, (3) provision for income taxes, (4) depreciation and amortization, (5) stock-based compensation expense and certain other items management believes affect the comparability of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Table 1 below for a reconciliation of Adjusted EBITDA – continuing operations to net loss – continuing operations, the most directly comparable financial measure calculated and presented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Loss from Continuing Operations to Adjusted EBITDA Continuing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0"/>
        <w:gridCol w:w="60"/>
        <w:gridCol w:w="140"/>
        <w:gridCol w:w="1055"/>
        <w:gridCol w:w="95"/>
        <w:gridCol w:w="60"/>
        <w:gridCol w:w="140"/>
        <w:gridCol w:w="1055"/>
        <w:gridCol w:w="95"/>
        <w:gridCol w:w="60"/>
        <w:gridCol w:w="140"/>
        <w:gridCol w:w="1175"/>
        <w:gridCol w:w="95"/>
        <w:gridCol w:w="60"/>
        <w:gridCol w:w="140"/>
        <w:gridCol w:w="1175"/>
        <w:gridCol w:w="110"/>
      </w:tblGrid>
      <w:tr>
        <w:trPr/>
        <w:tc>
          <w:tcPr>
            <w:tcW w:w="45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Twelve Months Ended</w:t>
              <w:br/>
              <w:t>December 31,</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(4,035,313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(4,594,375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(17,932,880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(14,277,994</w:t>
            </w:r>
          </w:p>
        </w:tc>
        <w:tc>
          <w:tcPr>
            <w:tcW w:w="110" w:type="dxa"/>
            <w:tcBorders/>
            <w:shd w:fill="CCEEFF" w:val="clear"/>
            <w:vAlign w:val="center"/>
          </w:tcPr>
          <w:p>
            <w:pPr>
              <w:pStyle w:val="TableContents"/>
              <w:bidi w:val="0"/>
              <w:spacing w:before="0" w:after="283"/>
              <w:jc w:val="left"/>
              <w:rPr/>
            </w:pPr>
            <w:r>
              <w:rPr/>
              <w:t>)</w:t>
            </w:r>
          </w:p>
        </w:tc>
      </w:tr>
      <w:tr>
        <w:trPr/>
        <w:tc>
          <w:tcPr>
            <w:tcW w:w="45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Addback: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48,930</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(36,087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(11,042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(236,134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(455,227</w:t>
            </w:r>
          </w:p>
        </w:tc>
        <w:tc>
          <w:tcPr>
            <w:tcW w:w="110" w:type="dxa"/>
            <w:tcBorders/>
            <w:shd w:fill="FFFFFF" w:val="clear"/>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283"/>
              <w:jc w:val="both"/>
              <w:rPr/>
            </w:pPr>
            <w:r>
              <w:rPr/>
              <w:t>Severance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14,251</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47,865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88,428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179,075</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1,098,754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567,954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3,700,275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2,612,164</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Adjusted EBITDA continuing operations (Non-GAAP)</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(2,960,041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(4,076,887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(14,364,817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(11,878,801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Management believes that bARR and ARR, when viewed with our results under GAAP, provide useful information about the direction of future growth trends of the Company’s revenues. We also rely on bARR as one of several primary measures to review and assess the sales performance of our Company and our management team in connection with our executive compensation. The Company defines Booked Annual Recurring Revenue or bARR, as the amount of annual recurring revenue represented by the estimated amounts of annual recurring revenue we believe will be earned under contracted orders, looking out eighteen months from the date of signing of each customer contract. This estimate is comprised of two components (1) Committed Annual Recurring Revenue (cARR), which represents the minimum amounts that customers are contractually committed to pay each year over the life of the contract and (2) Usage Above Commitments (UAC), which represents our estimate of the rate of annual recurring revenue arising from actual usage of our services above the contractual minimums, that we believe the Customer will achieve after 18 months. The net amount of bARR reflects the deduction of the bARR of contracts previously included in reported bARR, which were subject to attrition, or other downward adjustments during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Annual Recurring Revenue or ARR, as the amount of recurring revenue recognized during the last three months of the relevant period as determined in accordance with GAAP, multiplied by four.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bARR may be distinguished from ARR, as bARR does not take specifically into account the time to implement any contract for authID’s services, nor for any ramp in adoption, or seasonality of usage of our biometric products but is based on the assumption that 18 months after signing these matters will have been generally resolved. Furthermore, bARR is based on estimates of future revenues under particular contracts, whereas ARR, whilst also forward-looking, is based on historical revenues recognized in accordance with GAAP during the relevant period. A reconciliation of bARR and ARR to a GAAP measure is not provided as there are no comparable GAAP measures and we believe that any attempt at such reconciliation may be confusing to investors. bARR and ARR have limitations as analytical tools, and you should not consider them in isolation from, or as a substitute for, analysis of our results as reported under GAAP. Some of these limitations are: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bARR &amp; ARR should not be considered as predictors of future revenues but only as indicators of the direction in which revenues may be trending. Actual revenue results in the future as determined in accordance with GAAP may be significantly different to the amounts indicated as bARR or ARR at any time.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bARR and ARR are to be considered “forward-looking statements” and subject to the same risks, as other such statements (see note on “Forward-Looking Statements” above).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authID INC. AND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60"/>
        <w:gridCol w:w="60"/>
        <w:gridCol w:w="140"/>
        <w:gridCol w:w="1100"/>
        <w:gridCol w:w="95"/>
        <w:gridCol w:w="60"/>
        <w:gridCol w:w="140"/>
        <w:gridCol w:w="1100"/>
        <w:gridCol w:w="95"/>
        <w:gridCol w:w="60"/>
        <w:gridCol w:w="140"/>
        <w:gridCol w:w="1175"/>
        <w:gridCol w:w="95"/>
        <w:gridCol w:w="60"/>
        <w:gridCol w:w="140"/>
        <w:gridCol w:w="1175"/>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b/>
              </w:rPr>
            </w:pPr>
            <w:r>
              <w:rPr>
                <w:b/>
              </w:rPr>
              <w:t>Twelve Months Ended</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Revenues: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587,650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199,749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2,924,842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886,485</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Discounts and concessions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(181,699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(884,182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Total 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405,951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199,749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2,040,660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886,485</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2,538,822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2,815,096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12,416,907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9,149,166</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1,925,924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2,029,494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7,688,845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6,242,535</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47,865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88,428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179,075</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4,476,699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4,892,455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20,194,180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15,570,776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(4,070,748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(4,692,706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(18,153,520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(14,684,291</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236,134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455,227</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(12,711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(48,930</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both"/>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35,435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98,331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220,640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406,297</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Loss from operations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(4,035,313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(4,594,375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(17,932,880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(14,277,994</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(4,035,313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(4,594,375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(17,932,880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(14,277,994</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(1.40</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both"/>
              <w:rPr/>
            </w:pPr>
            <w:r>
              <w:rPr/>
              <w:t>Weighted Average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14,398,069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10,920,872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13,007,045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10,202,371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authID INC. AND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center"/>
              <w:rPr/>
            </w:pPr>
            <w:r>
              <w:rPr/>
              <w:t>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4,608,073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8,471,561</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238,800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97,897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Contract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426,859</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both"/>
              <w:rPr/>
            </w:pPr>
            <w:r>
              <w:rPr/>
              <w:t>Deferred contract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199,380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617,918</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595,692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460,192</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both"/>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5,651,307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10,074,427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both"/>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147,391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213,718</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4,183,232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4,183,232</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9,981,930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14,471,377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center"/>
              <w:rPr/>
            </w:pPr>
            <w:r>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both"/>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876,168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1,715,410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Commission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459,657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both"/>
              <w:rPr/>
            </w:pPr>
            <w:r>
              <w:rPr/>
              <w:t>Severance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325,000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Convertible debt,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240,884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both"/>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477,058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215,237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1,358,160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2,956,188</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1,358,160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2,956,188</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10" w:type="dxa"/>
            <w:tcBorders/>
            <w:shd w:fill="FFFFFF" w:val="clear"/>
            <w:vAlign w:val="center"/>
          </w:tcPr>
          <w:p>
            <w:pPr>
              <w:pStyle w:val="TableContents"/>
              <w:bidi w:val="0"/>
              <w:spacing w:before="0" w:after="283"/>
              <w:jc w:val="both"/>
              <w:rPr/>
            </w:pPr>
            <w:r>
              <w:rPr/>
              <w:t>Common stock, $0.0001 par value, 150,000,000 and 250,000,000 shares authorized as of December 31, 2025 and 2024, respectively; 16,132,487 and 10,920,909 shares issued and outstanding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1,092</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200,353,514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185,312,508</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both"/>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(191,741,409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(173,808,529</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both"/>
              <w:rPr/>
            </w:pPr>
            <w:r>
              <w:rPr/>
              <w:t>Accumulated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10,052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10,118</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both"/>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8,623,770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11,515,189</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both"/>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9,981,930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14,471,377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authID INC. AND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both"/>
        <w:rPr>
          <w:caps w:val="false"/>
          <w:smallCaps w:val="false"/>
        </w:rPr>
      </w:pPr>
      <w:r>
        <w:rPr>
          <w:caps w:val="false"/>
          <w:smallCaps w:val="false"/>
        </w:rPr>
        <w:t> </w:t>
      </w:r>
    </w:p>
    <w:tbl>
      <w:tblPr>
        <w:tblW w:w="9245" w:type="dxa"/>
        <w:jc w:val="left"/>
        <w:tblInd w:w="0" w:type="dxa"/>
        <w:tblLayout w:type="fixed"/>
        <w:tblCellMar>
          <w:top w:w="0" w:type="dxa"/>
          <w:left w:w="0" w:type="dxa"/>
          <w:bottom w:w="0" w:type="dxa"/>
          <w:right w:w="0" w:type="dxa"/>
        </w:tblCellMar>
      </w:tblPr>
      <w:tblGrid>
        <w:gridCol w:w="6290"/>
        <w:gridCol w:w="60"/>
        <w:gridCol w:w="140"/>
        <w:gridCol w:w="1175"/>
        <w:gridCol w:w="95"/>
        <w:gridCol w:w="60"/>
        <w:gridCol w:w="140"/>
        <w:gridCol w:w="1175"/>
        <w:gridCol w:w="11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both"/>
              <w:rPr/>
            </w:pPr>
            <w:r>
              <w:rPr/>
              <w:t>CASH FLOWS FROM OPERATING ACTIVITIES: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(17,932,880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(14,277,994</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both"/>
              <w:rPr/>
            </w:pPr>
            <w:r>
              <w:rPr/>
              <w:t>Adjustments to reconcile net loss with cash flows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3,440,357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2,612,164</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both"/>
              <w:rPr/>
            </w:pPr>
            <w:r>
              <w:rPr/>
              <w:t>Amortization of debt discounts and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16,460</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Non-cash settlement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both"/>
              <w:rPr/>
            </w:pPr>
            <w:r>
              <w:rPr/>
              <w:t>Amortization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88,428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179,075</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Provision for doubtful accounts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(149,720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149,720</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both"/>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(156,340</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both"/>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417,497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(426,859</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both"/>
              <w:rPr/>
            </w:pPr>
            <w:r>
              <w:rPr/>
              <w:t>Deferred contract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418,538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(460,618</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both"/>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(135,500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15,812</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(1,164,242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306,445</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both"/>
              <w:rPr/>
            </w:pPr>
            <w:r>
              <w:rPr/>
              <w:t>Commission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(454,723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335,507</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261,821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83,609</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both"/>
              <w:rPr/>
            </w:pPr>
            <w:r>
              <w:rPr/>
              <w:t>Net cash flows from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(14,991,491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(11,623,019</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both"/>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Purchase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(22,101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(65,792</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both"/>
              <w:rPr/>
            </w:pPr>
            <w:r>
              <w:rPr/>
              <w:t>Net 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(22,101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(65,792</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both"/>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Proceeds from sale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13,914,526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10,995,325</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both"/>
              <w:rPr/>
            </w:pPr>
            <w:r>
              <w:rPr/>
              <w:t>Offering costs from sale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(2,519,356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(1,009,546</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both"/>
              <w:rPr/>
            </w:pPr>
            <w:r>
              <w:rPr/>
              <w:t>Repayment of convertible note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(245,000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both"/>
              <w:rPr/>
            </w:pPr>
            <w:r>
              <w:rPr/>
              <w:t>Net 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11,150,170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9,985,779</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both"/>
              <w:rPr/>
            </w:pPr>
            <w:r>
              <w:rPr/>
              <w:t>Effect of Foreign Currencies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(2,506</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both"/>
              <w:rPr/>
            </w:pPr>
            <w:r>
              <w:rPr/>
              <w:t>Net Change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(3,863,488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(1,705,538</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both"/>
              <w:rPr/>
            </w:pPr>
            <w:r>
              <w:rPr/>
              <w:t>Cash, Beginning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8,471,561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10,177,099</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both"/>
              <w:rPr/>
            </w:pPr>
            <w:r>
              <w:rPr/>
              <w:t>Cash, End of the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4,608,073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8,471,561</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both"/>
              <w:rPr/>
            </w:pPr>
            <w:r>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10,370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32,470</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both"/>
              <w:rPr/>
            </w:pPr>
            <w:r>
              <w:rPr/>
              <w:t>Warrants issued as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1,585,637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877,392</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Cashless option and warrant exercises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438,000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79,556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4098</Words>
  <Characters>23085</Characters>
  <CharactersWithSpaces>27748</CharactersWithSpaces>
  <Paragraphs>1628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